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D9D7F">
      <w:pPr>
        <w:spacing w:line="594" w:lineRule="exact"/>
        <w:jc w:val="center"/>
        <w:rPr>
          <w:rFonts w:eastAsia="方正小标宋_GBK"/>
          <w:b/>
          <w:color w:val="FF0000"/>
          <w:w w:val="55"/>
          <w:sz w:val="120"/>
          <w:szCs w:val="120"/>
        </w:rPr>
      </w:pPr>
      <w:bookmarkStart w:id="0" w:name="_GoBack"/>
      <w:bookmarkEnd w:id="0"/>
      <w:r>
        <w:rPr>
          <w:rFonts w:eastAsia="方正小标宋_GBK"/>
          <w:b/>
          <w:color w:val="FF0000"/>
          <w:sz w:val="120"/>
          <w:szCs w:val="120"/>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lskY7P30+39SSS2ze3CC/KCeD5ffeb+owaPqflQJFzl7DHG/m2bgz1xVknd8y47oNS+ELIJMb30ZMeEsdBE6IIxaQ9ACmrT9Dwgpoy4a646eEiUgF5P/4rrOpgV5aBzJqEZk8/Ek5XjWacXDEMcWGOMgtbYNgUVgwlaeQ4WGWCUoMs7CBidqYwFPDk94K5vo4yPB1VfPN0p1EZtd8x5MzR78mE/Z1g9Dcf0DjcsN861YmqibqCjcuGKQNRSS3SDOXH40kD4WYyrQEhNCzaG7RAH3tHedSMp1bhKQmQvvWPQbwtopjByrkrFtVcXtErpW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hCqdbtIpL7YFgvsOBueo+vxF20/lScdjULWzLGAE4OynF/B39WHuGR91+alx3MKiRZ/LTArWUXSlkIFuAWZv98cKegY6xy/VSj1Pb0StL2xiWXGn1aTCbMxtOxLejukY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KCeD5ffeb+owaPqflQJFzl7DHG/m2bgz1xVknd8y47oNS+ELIJMb30ZMeEsdBE6IIxaQ9ACmrT9Dwgpoy4a646eEiUgF5P/4rrOpgV5aBzJqEZk8/Ek5XjWacXDEMcWGOMgtbYNgUVgwlaeQ4WGWCUoMs7CBidqYwFPDk94K5vo4yPB1VfPN0p1EZtd8x5MzR78mE/Z1g9Dcf0DjcsN861YmqibqCjcuGKQNRSS3SDOXH40kD4WYyrQEhNCzaG7RAH3tHedSMp1bhKQmQvvWPQbwtopjByrkrFtVcXtErpW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hCqdbtIpL7YFgvsOBueo+vxF20/lScdjULWzLGAE4OynF/B39WHuGR91+alx3MKiRZ/LTArWUXSlkIFuAWZv98cKegY6xy/VSj1Pb0StL2xiWXGn1aTCbMxtOxLejukY02/PDQ0m35V7iLBtxolPVtdp2Ii0FpG3wYp/sNLdF4cvgu5ex1NS5seanNx8f+4PM/zMZ1SCg4JwHS0bFINEUw=="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yoFeD9UAAAAJAQAADwAAAAAAAAABACAA&#10;AAAiAAAAZHJzL2Rvd25yZXYueG1sUEsBAhQAFAAAAAgAh07iQFUnaJNnBQAARwgAAA4AAAAAAAAA&#10;AQAgAAAAJAEAAGRycy9lMm9Eb2MueG1sUEsFBgAAAAAGAAYAWQEAAP0IAAAAAA==&#10;">
                <v:fill on="t" focussize="0,0"/>
                <v:stroke color="#000000" joinstyle="miter"/>
                <v:imagedata o:title=""/>
                <o:lock v:ext="edit" aspectratio="f"/>
              </v:rect>
            </w:pict>
          </mc:Fallback>
        </mc:AlternateContent>
      </w:r>
    </w:p>
    <w:p w14:paraId="7E14FC34">
      <w:pPr>
        <w:spacing w:line="594" w:lineRule="exact"/>
        <w:jc w:val="center"/>
        <w:rPr>
          <w:rFonts w:eastAsia="方正小标宋_GBK"/>
          <w:b/>
          <w:color w:val="FF0000"/>
          <w:w w:val="55"/>
          <w:sz w:val="120"/>
          <w:szCs w:val="120"/>
        </w:rPr>
      </w:pPr>
    </w:p>
    <w:p w14:paraId="2D346BB7">
      <w:pPr>
        <w:spacing w:line="594" w:lineRule="exact"/>
        <w:jc w:val="center"/>
        <w:rPr>
          <w:rFonts w:eastAsia="方正小标宋_GBK"/>
          <w:b/>
          <w:color w:val="FF0000"/>
          <w:w w:val="55"/>
          <w:sz w:val="120"/>
          <w:szCs w:val="120"/>
        </w:rPr>
      </w:pPr>
    </w:p>
    <w:p w14:paraId="257BD4EA">
      <w:pPr>
        <w:spacing w:line="1300" w:lineRule="exact"/>
        <w:jc w:val="center"/>
        <w:rPr>
          <w:rFonts w:eastAsia="方正小标宋_GBK"/>
          <w:bCs/>
          <w:color w:val="FF0000"/>
          <w:spacing w:val="-11"/>
          <w:w w:val="50"/>
          <w:sz w:val="106"/>
          <w:szCs w:val="106"/>
        </w:rPr>
      </w:pPr>
      <w:r>
        <w:rPr>
          <w:rFonts w:eastAsia="方正小标宋_GBK"/>
          <w:bCs/>
          <w:color w:val="FF0000"/>
          <w:spacing w:val="-11"/>
          <w:w w:val="50"/>
          <w:sz w:val="106"/>
          <w:szCs w:val="106"/>
        </w:rPr>
        <w:t>重庆市万盛经开区南桐镇人民政府文件</w:t>
      </w:r>
    </w:p>
    <w:p w14:paraId="207B32B6">
      <w:pPr>
        <w:spacing w:line="594" w:lineRule="exact"/>
        <w:jc w:val="center"/>
        <w:rPr>
          <w:rFonts w:eastAsia="方正小标宋_GBK"/>
          <w:b/>
          <w:sz w:val="44"/>
          <w:szCs w:val="44"/>
        </w:rPr>
      </w:pPr>
    </w:p>
    <w:p w14:paraId="73E54864">
      <w:pPr>
        <w:spacing w:line="594" w:lineRule="exact"/>
        <w:jc w:val="center"/>
        <w:rPr>
          <w:szCs w:val="32"/>
        </w:rPr>
      </w:pPr>
    </w:p>
    <w:p w14:paraId="5216A3CB">
      <w:pPr>
        <w:spacing w:line="594" w:lineRule="exact"/>
        <w:jc w:val="center"/>
        <w:rPr>
          <w:szCs w:val="32"/>
        </w:rPr>
      </w:pPr>
      <w:r>
        <w:rPr>
          <w:szCs w:val="32"/>
        </w:rPr>
        <w:t>南桐府</w:t>
      </w:r>
      <w:r>
        <w:rPr>
          <w:rFonts w:hint="eastAsia"/>
          <w:szCs w:val="32"/>
        </w:rPr>
        <w:t>发</w:t>
      </w:r>
      <w:r>
        <w:rPr>
          <w:szCs w:val="32"/>
        </w:rPr>
        <w:t>〔202</w:t>
      </w:r>
      <w:r>
        <w:rPr>
          <w:rFonts w:hint="eastAsia"/>
          <w:szCs w:val="32"/>
        </w:rPr>
        <w:t>5</w:t>
      </w:r>
      <w:r>
        <w:rPr>
          <w:szCs w:val="32"/>
        </w:rPr>
        <w:t>〕</w:t>
      </w:r>
      <w:r>
        <w:rPr>
          <w:rFonts w:hint="eastAsia"/>
          <w:szCs w:val="32"/>
        </w:rPr>
        <w:t>15</w:t>
      </w:r>
      <w:r>
        <w:rPr>
          <w:szCs w:val="32"/>
        </w:rPr>
        <w:t>号</w:t>
      </w:r>
    </w:p>
    <w:p w14:paraId="034FD252">
      <w:pPr>
        <w:spacing w:line="240" w:lineRule="exact"/>
        <w:rPr>
          <w:color w:val="FF0000"/>
          <w:szCs w:val="32"/>
          <w:u w:val="thick"/>
        </w:rPr>
      </w:pPr>
      <w:r>
        <w:rPr>
          <w:color w:val="FF0000"/>
          <w:szCs w:val="32"/>
          <w:u w:val="thick"/>
        </w:rPr>
        <w:t xml:space="preserve">                                                          </w:t>
      </w:r>
    </w:p>
    <w:p w14:paraId="4E90A4C8">
      <w:pPr>
        <w:spacing w:line="500" w:lineRule="exact"/>
        <w:jc w:val="center"/>
        <w:rPr>
          <w:rFonts w:eastAsia="方正小标宋_GBK"/>
          <w:b/>
          <w:sz w:val="44"/>
          <w:szCs w:val="44"/>
        </w:rPr>
      </w:pPr>
    </w:p>
    <w:p w14:paraId="21CD9C97">
      <w:pPr>
        <w:spacing w:line="500" w:lineRule="exact"/>
        <w:jc w:val="center"/>
        <w:rPr>
          <w:rFonts w:eastAsia="方正小标宋_GBK"/>
          <w:b/>
          <w:sz w:val="44"/>
          <w:szCs w:val="44"/>
        </w:rPr>
      </w:pPr>
    </w:p>
    <w:p w14:paraId="59606FE3">
      <w:pPr>
        <w:spacing w:line="594" w:lineRule="exact"/>
        <w:jc w:val="center"/>
        <w:rPr>
          <w:rFonts w:eastAsia="方正小标宋_GBK"/>
          <w:kern w:val="0"/>
          <w:sz w:val="44"/>
          <w:szCs w:val="44"/>
        </w:rPr>
      </w:pPr>
      <w:r>
        <w:rPr>
          <w:rFonts w:eastAsia="方正小标宋_GBK"/>
          <w:kern w:val="0"/>
          <w:sz w:val="44"/>
          <w:szCs w:val="44"/>
        </w:rPr>
        <w:t>重庆市万盛经开区南桐镇人民政府</w:t>
      </w:r>
    </w:p>
    <w:p w14:paraId="7D466880">
      <w:pPr>
        <w:spacing w:line="594" w:lineRule="exact"/>
        <w:jc w:val="center"/>
        <w:rPr>
          <w:rFonts w:eastAsia="方正小标宋_GBK"/>
          <w:kern w:val="0"/>
          <w:sz w:val="44"/>
          <w:szCs w:val="44"/>
        </w:rPr>
      </w:pPr>
      <w:r>
        <w:rPr>
          <w:rFonts w:eastAsia="方正小标宋_GBK"/>
          <w:kern w:val="0"/>
          <w:sz w:val="44"/>
          <w:szCs w:val="44"/>
        </w:rPr>
        <w:t>关于印发《2025年南桐镇耕地地力保护补贴工作实施方案》的通知</w:t>
      </w:r>
    </w:p>
    <w:p w14:paraId="6CCABE6B">
      <w:pPr>
        <w:spacing w:line="460" w:lineRule="exact"/>
        <w:rPr>
          <w:kern w:val="0"/>
          <w:szCs w:val="32"/>
        </w:rPr>
      </w:pPr>
    </w:p>
    <w:p w14:paraId="41813E9B">
      <w:pPr>
        <w:spacing w:line="460" w:lineRule="exact"/>
        <w:rPr>
          <w:rFonts w:eastAsia="方正楷体_GB2312"/>
          <w:kern w:val="0"/>
          <w:szCs w:val="32"/>
        </w:rPr>
      </w:pPr>
      <w:r>
        <w:rPr>
          <w:rFonts w:eastAsia="方正楷体_GB2312"/>
          <w:kern w:val="0"/>
          <w:szCs w:val="32"/>
        </w:rPr>
        <w:t>各村，相关岗位：</w:t>
      </w:r>
    </w:p>
    <w:p w14:paraId="5E88054A">
      <w:pPr>
        <w:spacing w:line="460" w:lineRule="exact"/>
        <w:jc w:val="left"/>
        <w:rPr>
          <w:rFonts w:eastAsia="方正楷体_GB2312"/>
        </w:rPr>
      </w:pPr>
      <w:r>
        <w:rPr>
          <w:rFonts w:eastAsia="方正楷体_GB2312"/>
          <w:kern w:val="0"/>
          <w:szCs w:val="32"/>
        </w:rPr>
        <w:t xml:space="preserve">   根据区</w:t>
      </w:r>
      <w:r>
        <w:rPr>
          <w:rFonts w:hint="eastAsia" w:eastAsia="方正楷体_GB2312"/>
          <w:kern w:val="0"/>
          <w:szCs w:val="32"/>
          <w:lang w:eastAsia="zh-CN"/>
        </w:rPr>
        <w:t>农业农村局</w:t>
      </w:r>
      <w:r>
        <w:rPr>
          <w:rFonts w:eastAsia="方正楷体_GB2312"/>
          <w:kern w:val="0"/>
          <w:szCs w:val="32"/>
        </w:rPr>
        <w:t>、区财政局《关于印发</w:t>
      </w:r>
      <w:r>
        <w:rPr>
          <w:rFonts w:eastAsia="方正楷体_GB2312"/>
          <w:snapToGrid w:val="0"/>
          <w:color w:val="000000"/>
          <w:kern w:val="0"/>
          <w:szCs w:val="32"/>
        </w:rPr>
        <w:t>2025年万盛经开区耕地地力保护补贴工作实施方案的通知</w:t>
      </w:r>
      <w:r>
        <w:rPr>
          <w:rFonts w:eastAsia="方正楷体_GB2312"/>
          <w:kern w:val="0"/>
          <w:szCs w:val="32"/>
        </w:rPr>
        <w:t>》（</w:t>
      </w:r>
      <w:r>
        <w:rPr>
          <w:rFonts w:eastAsia="方正楷体_GB2312"/>
        </w:rPr>
        <w:t>万盛经开农发〔2025〕45号）文件要求，结合我镇实际，制定了《</w:t>
      </w:r>
      <w:r>
        <w:rPr>
          <w:rFonts w:eastAsia="方正楷体_GB2312"/>
          <w:snapToGrid w:val="0"/>
          <w:color w:val="000000"/>
          <w:kern w:val="0"/>
          <w:szCs w:val="32"/>
        </w:rPr>
        <w:t>2025年南桐镇耕地地力保护补贴工作实施方案</w:t>
      </w:r>
      <w:r>
        <w:rPr>
          <w:rFonts w:eastAsia="方正楷体_GB2312"/>
        </w:rPr>
        <w:t>》， 现印发给你们，请认真遵照执行。</w:t>
      </w:r>
    </w:p>
    <w:p w14:paraId="0D9E607E">
      <w:pPr>
        <w:spacing w:line="200" w:lineRule="exact"/>
        <w:jc w:val="left"/>
        <w:rPr>
          <w:rFonts w:eastAsia="方正楷体_GB2312"/>
        </w:rPr>
      </w:pPr>
    </w:p>
    <w:p w14:paraId="71AA8036">
      <w:pPr>
        <w:spacing w:line="460" w:lineRule="exact"/>
        <w:jc w:val="left"/>
        <w:rPr>
          <w:rFonts w:eastAsia="方正楷体_GB2312"/>
          <w:kern w:val="0"/>
          <w:szCs w:val="32"/>
        </w:rPr>
      </w:pPr>
      <w:r>
        <w:rPr>
          <w:rFonts w:eastAsia="方正楷体_GB2312"/>
        </w:rPr>
        <w:t>　　附件：</w:t>
      </w:r>
      <w:r>
        <w:rPr>
          <w:rFonts w:eastAsia="方正楷体_GB2312"/>
          <w:kern w:val="0"/>
          <w:szCs w:val="32"/>
        </w:rPr>
        <w:t>2025年南桐镇耕地地力保护补贴工作实施方案</w:t>
      </w:r>
    </w:p>
    <w:p w14:paraId="5BDEE80F">
      <w:pPr>
        <w:spacing w:line="460" w:lineRule="exact"/>
        <w:jc w:val="left"/>
        <w:rPr>
          <w:rFonts w:eastAsia="方正楷体_GB2312"/>
          <w:kern w:val="0"/>
          <w:szCs w:val="32"/>
        </w:rPr>
      </w:pPr>
    </w:p>
    <w:p w14:paraId="0B7F4242">
      <w:pPr>
        <w:spacing w:line="460" w:lineRule="exact"/>
        <w:jc w:val="left"/>
        <w:rPr>
          <w:rFonts w:eastAsia="方正楷体_GB2312"/>
          <w:kern w:val="0"/>
          <w:szCs w:val="32"/>
        </w:rPr>
      </w:pPr>
      <w:r>
        <w:rPr>
          <w:rFonts w:eastAsia="方正楷体_GB2312"/>
          <w:kern w:val="0"/>
          <w:szCs w:val="32"/>
        </w:rPr>
        <w:t xml:space="preserve">                             </w:t>
      </w:r>
      <w:r>
        <w:rPr>
          <w:rFonts w:hint="eastAsia" w:eastAsia="方正楷体_GB2312"/>
          <w:kern w:val="0"/>
          <w:szCs w:val="32"/>
        </w:rPr>
        <w:t>　　</w:t>
      </w:r>
      <w:r>
        <w:rPr>
          <w:rFonts w:eastAsia="方正楷体_GB2312"/>
          <w:kern w:val="0"/>
          <w:szCs w:val="32"/>
        </w:rPr>
        <w:t xml:space="preserve">  南桐镇人民政府</w:t>
      </w:r>
    </w:p>
    <w:p w14:paraId="2E0821BD">
      <w:pPr>
        <w:spacing w:line="460" w:lineRule="exact"/>
        <w:jc w:val="left"/>
        <w:rPr>
          <w:rFonts w:eastAsia="方正楷体_GB2312"/>
          <w:kern w:val="0"/>
          <w:szCs w:val="32"/>
        </w:rPr>
      </w:pPr>
      <w:r>
        <w:rPr>
          <w:rFonts w:eastAsia="方正楷体_GB2312"/>
          <w:kern w:val="0"/>
          <w:szCs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1" name="矩形 1"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V/FfaAAAADwEAAA8AAAAAAAAAAQAgAAAA&#10;IgAAAGRycy9kb3ducmV2LnhtbFBLAQIUABQAAAAIAIdO4kBBUXMeCQIAAGYEAAAOAAAAAAAAAAEA&#10;IAAAACkBAABkcnMvZTJvRG9jLnhtbFBLBQYAAAAABgAGAFkBAACkBQAAAAA=&#10;">
                <v:fill on="t" opacity="0f" focussize="0,0"/>
                <v:stroke color="#FFFFFF" opacity="0f" joinstyle="miter"/>
                <v:imagedata o:title=""/>
                <o:lock v:ext="edit" aspectratio="f"/>
              </v:rect>
            </w:pict>
          </mc:Fallback>
        </mc:AlternateContent>
      </w:r>
      <w:r>
        <w:rPr>
          <w:rFonts w:eastAsia="方正楷体_GB2312"/>
          <w:kern w:val="0"/>
          <w:szCs w:val="32"/>
        </w:rPr>
        <w:t xml:space="preserve">                                  2025年6月12日 </w:t>
      </w:r>
    </w:p>
    <w:p w14:paraId="62A1CF7C">
      <w:pPr>
        <w:spacing w:line="594" w:lineRule="exact"/>
        <w:jc w:val="center"/>
        <w:rPr>
          <w:rFonts w:eastAsia="方正小标宋_GBK"/>
          <w:kern w:val="0"/>
          <w:sz w:val="44"/>
          <w:szCs w:val="44"/>
        </w:rPr>
      </w:pPr>
      <w:r>
        <w:rPr>
          <w:rFonts w:eastAsia="方正小标宋_GBK"/>
          <w:kern w:val="0"/>
          <w:sz w:val="44"/>
          <w:szCs w:val="44"/>
        </w:rPr>
        <w:t>2025年南桐镇耕地地力保护补贴工作</w:t>
      </w:r>
    </w:p>
    <w:p w14:paraId="3B206BD1">
      <w:pPr>
        <w:spacing w:line="594" w:lineRule="exact"/>
        <w:jc w:val="center"/>
        <w:rPr>
          <w:rFonts w:eastAsia="方正小标宋_GBK"/>
          <w:kern w:val="0"/>
          <w:sz w:val="44"/>
          <w:szCs w:val="44"/>
        </w:rPr>
      </w:pPr>
      <w:r>
        <w:rPr>
          <w:rFonts w:eastAsia="方正小标宋_GBK"/>
          <w:kern w:val="0"/>
          <w:sz w:val="44"/>
          <w:szCs w:val="44"/>
        </w:rPr>
        <w:t>实施方案</w:t>
      </w:r>
    </w:p>
    <w:p w14:paraId="10E587FE">
      <w:pPr>
        <w:spacing w:line="594" w:lineRule="exact"/>
        <w:ind w:firstLine="894" w:firstLineChars="200"/>
        <w:rPr>
          <w:kern w:val="0"/>
          <w:sz w:val="44"/>
          <w:szCs w:val="44"/>
        </w:rPr>
      </w:pPr>
    </w:p>
    <w:p w14:paraId="70636451">
      <w:pPr>
        <w:spacing w:line="594" w:lineRule="exact"/>
        <w:ind w:firstLine="654" w:firstLineChars="200"/>
        <w:rPr>
          <w:szCs w:val="32"/>
        </w:rPr>
      </w:pPr>
      <w:r>
        <w:rPr>
          <w:kern w:val="0"/>
          <w:szCs w:val="32"/>
        </w:rPr>
        <w:t>根据区农林局</w:t>
      </w:r>
      <w:r>
        <w:rPr>
          <w:szCs w:val="32"/>
        </w:rPr>
        <w:t>、</w:t>
      </w:r>
      <w:r>
        <w:rPr>
          <w:kern w:val="0"/>
          <w:szCs w:val="32"/>
        </w:rPr>
        <w:t>区财政局《关于印发2025年万盛经开区耕地地力保护补贴工作实施方案的通知》（万盛经开农发〔2025〕45号）文件要求，结合我镇实际，</w:t>
      </w:r>
      <w:r>
        <w:rPr>
          <w:szCs w:val="32"/>
        </w:rPr>
        <w:t>特制订本实施方案。</w:t>
      </w:r>
    </w:p>
    <w:p w14:paraId="312561A3">
      <w:pPr>
        <w:spacing w:line="594" w:lineRule="exact"/>
        <w:ind w:firstLine="654" w:firstLineChars="200"/>
        <w:rPr>
          <w:rFonts w:eastAsia="方正黑体_GBK"/>
          <w:szCs w:val="32"/>
        </w:rPr>
      </w:pPr>
      <w:r>
        <w:rPr>
          <w:rFonts w:eastAsia="方正黑体_GBK"/>
          <w:szCs w:val="32"/>
        </w:rPr>
        <w:t>一、总体原则</w:t>
      </w:r>
    </w:p>
    <w:p w14:paraId="6F26B3B7">
      <w:pPr>
        <w:spacing w:line="594" w:lineRule="exact"/>
        <w:ind w:firstLine="654" w:firstLineChars="200"/>
      </w:pPr>
      <w:r>
        <w:rPr>
          <w:rFonts w:eastAsia="方正楷体_GBK"/>
        </w:rPr>
        <w:t>（一）耕地地力保护补贴用于支持耕地地力保护。</w:t>
      </w:r>
      <w:r>
        <w:t>对非农征（占）用耕地、已作为畜牧养殖场使用的耕地、林地、草地、成片粮田转为设施农业用地等已改变用途的耕地，以及抛荒地、占补平衡中“补”的面积和质量达不到耕种条件的耕地等不予补贴。同一地块，一年只能享受一次耕地地力保护补贴。</w:t>
      </w:r>
    </w:p>
    <w:p w14:paraId="1C75373B">
      <w:pPr>
        <w:spacing w:line="594" w:lineRule="exact"/>
        <w:ind w:firstLine="654" w:firstLineChars="200"/>
        <w:rPr>
          <w:szCs w:val="32"/>
        </w:rPr>
      </w:pPr>
      <w:r>
        <w:rPr>
          <w:rFonts w:eastAsia="方正楷体_GBK"/>
        </w:rPr>
        <w:t>（二）各村要探索耕地地力保护补贴发放与耕地地力保护行为相挂钩的有效机制。</w:t>
      </w:r>
      <w:r>
        <w:rPr>
          <w:szCs w:val="32"/>
        </w:rPr>
        <w:t>引导农民综合采取秸秆还田、深松整地、科学施肥用药、病虫害绿色防控等措施，自觉保护耕地、提升地力。</w:t>
      </w:r>
    </w:p>
    <w:p w14:paraId="30CD0D6C">
      <w:pPr>
        <w:spacing w:line="594" w:lineRule="exact"/>
        <w:ind w:firstLine="654" w:firstLineChars="200"/>
        <w:rPr>
          <w:szCs w:val="32"/>
        </w:rPr>
      </w:pPr>
      <w:r>
        <w:rPr>
          <w:rFonts w:eastAsia="方正楷体_GBK"/>
        </w:rPr>
        <w:t>（三）严格落实补贴公示制度。</w:t>
      </w:r>
      <w:r>
        <w:rPr>
          <w:szCs w:val="32"/>
        </w:rPr>
        <w:t>各村必须将每个农户的补贴面积、补贴标准、补贴金额必须张榜公布，接受群众监督，确保公示内容与实际补贴发放情况一致。</w:t>
      </w:r>
    </w:p>
    <w:p w14:paraId="767B55E3">
      <w:pPr>
        <w:spacing w:line="594" w:lineRule="exact"/>
        <w:ind w:firstLine="654" w:firstLineChars="200"/>
      </w:pPr>
      <w:r>
        <w:rPr>
          <w:rFonts w:eastAsia="方正楷体_GBK"/>
        </w:rPr>
        <w:t>（四）耕地地力保护补贴资金必须专款专用，严禁以任何方式统筹集中使用，必须全部直补到户。</w:t>
      </w:r>
      <w:r>
        <w:t>任何单位或个人不得截留、滞留、挤占、挪用和骗取。不得由村社干部代领，不得直接抵扣任何农业生产费用或“一事一议”等筹资款。</w:t>
      </w:r>
    </w:p>
    <w:p w14:paraId="31390B5D">
      <w:pPr>
        <w:spacing w:line="594" w:lineRule="exact"/>
        <w:ind w:firstLine="654" w:firstLineChars="200"/>
        <w:rPr>
          <w:rFonts w:eastAsia="方正黑体_GBK"/>
          <w:szCs w:val="32"/>
        </w:rPr>
      </w:pPr>
      <w:r>
        <w:rPr>
          <w:rFonts w:eastAsia="方正黑体_GBK"/>
          <w:szCs w:val="32"/>
        </w:rPr>
        <w:t>二、</w:t>
      </w:r>
      <w:r>
        <w:rPr>
          <w:rFonts w:eastAsia="方正黑体_GBK"/>
        </w:rPr>
        <w:t>补贴对象、依据、标准及程序</w:t>
      </w:r>
    </w:p>
    <w:p w14:paraId="3B0DC331">
      <w:pPr>
        <w:spacing w:line="594" w:lineRule="exact"/>
        <w:ind w:firstLine="654" w:firstLineChars="200"/>
        <w:rPr>
          <w:szCs w:val="32"/>
        </w:rPr>
      </w:pPr>
      <w:r>
        <w:rPr>
          <w:b/>
          <w:bCs/>
          <w:szCs w:val="32"/>
        </w:rPr>
        <w:t>1.补贴对象。</w:t>
      </w:r>
      <w:r>
        <w:t>耕地地力保护补贴对象</w:t>
      </w:r>
      <w:r>
        <w:rPr>
          <w:szCs w:val="32"/>
        </w:rPr>
        <w:t>原则上为拥有耕地承包权的种地农民，</w:t>
      </w:r>
      <w:r>
        <w:t>补贴数额与耕地面积挂钩，直接补贴到户</w:t>
      </w:r>
      <w:r>
        <w:rPr>
          <w:szCs w:val="32"/>
        </w:rPr>
        <w:t>。</w:t>
      </w:r>
    </w:p>
    <w:p w14:paraId="6B21A951">
      <w:pPr>
        <w:kinsoku w:val="0"/>
        <w:autoSpaceDE w:val="0"/>
        <w:autoSpaceDN w:val="0"/>
        <w:adjustRightInd w:val="0"/>
        <w:snapToGrid w:val="0"/>
        <w:spacing w:line="594" w:lineRule="exact"/>
        <w:ind w:firstLine="600"/>
        <w:textAlignment w:val="baseline"/>
        <w:rPr>
          <w:kern w:val="0"/>
          <w:szCs w:val="32"/>
        </w:rPr>
      </w:pPr>
      <w:r>
        <w:rPr>
          <w:b/>
          <w:bCs/>
          <w:szCs w:val="32"/>
        </w:rPr>
        <w:t>2.补贴依据。</w:t>
      </w:r>
      <w:r>
        <w:rPr>
          <w:snapToGrid w:val="0"/>
          <w:color w:val="000000"/>
          <w:kern w:val="0"/>
          <w:szCs w:val="32"/>
        </w:rPr>
        <w:t>根据区管委会批复意见，本次补贴依据:确权耕地面积计算。</w:t>
      </w:r>
    </w:p>
    <w:p w14:paraId="014B63AD">
      <w:pPr>
        <w:spacing w:line="594" w:lineRule="exact"/>
        <w:ind w:firstLine="654" w:firstLineChars="200"/>
        <w:rPr>
          <w:szCs w:val="32"/>
        </w:rPr>
      </w:pPr>
      <w:r>
        <w:rPr>
          <w:b/>
          <w:bCs/>
          <w:szCs w:val="32"/>
        </w:rPr>
        <w:t>3.补贴标准。</w:t>
      </w:r>
      <w:r>
        <w:rPr>
          <w:szCs w:val="32"/>
        </w:rPr>
        <w:t>经各村2024年11月自查修正后锁定上报的面积作为我镇2025年一般农户耕地地力保护补贴面积。全镇锁定面积</w:t>
      </w:r>
      <w:r>
        <w:rPr>
          <w:kern w:val="0"/>
          <w:szCs w:val="32"/>
        </w:rPr>
        <w:t>：15369.958亩，涉及全镇兑付补贴农户：6960户，实际发放户以一卡通直补数据为准。根据区级文件要求，按76.9元/亩标准进行补贴，预计发放补贴资金118.19万元</w:t>
      </w:r>
      <w:r>
        <w:rPr>
          <w:szCs w:val="32"/>
        </w:rPr>
        <w:t>,因麒麟村征占用地未在锁定上报面积时扣除，将核减后发放故实际发放金额少于预计发放资金。</w:t>
      </w:r>
    </w:p>
    <w:p w14:paraId="7912E40F">
      <w:pPr>
        <w:spacing w:line="594" w:lineRule="exact"/>
        <w:ind w:firstLine="654" w:firstLineChars="200"/>
        <w:rPr>
          <w:szCs w:val="32"/>
        </w:rPr>
      </w:pPr>
      <w:r>
        <w:rPr>
          <w:b/>
          <w:bCs/>
          <w:szCs w:val="32"/>
        </w:rPr>
        <w:t>4.补贴程序。</w:t>
      </w:r>
      <w:r>
        <w:rPr>
          <w:szCs w:val="32"/>
        </w:rPr>
        <w:t>各村根据耕地面积和今年统一的补贴标准，按“自下而上”的程序核定到每个承包耕地农户。</w:t>
      </w:r>
      <w:r>
        <w:rPr>
          <w:color w:val="000000"/>
          <w:szCs w:val="32"/>
        </w:rPr>
        <w:t>镇农业农村岗监督各村上报农户的补贴面积、补贴标准和补贴资金等主要信息，</w:t>
      </w:r>
      <w:r>
        <w:rPr>
          <w:szCs w:val="32"/>
        </w:rPr>
        <w:t>按镇、村、社进行三级公示，公示无异议后方可发放。同时，做好公示照片等相关工作资料的保存。耕种村社集体机动地，补贴给种地农户（需提供镇、村两级及规划自然资源所出具土地面积和性质相关证明，村社与农户双方签订的委托代耕代种协议等关键佐证依据）。</w:t>
      </w:r>
    </w:p>
    <w:p w14:paraId="6AC7502C">
      <w:pPr>
        <w:spacing w:line="594" w:lineRule="exact"/>
        <w:ind w:firstLine="654" w:firstLineChars="200"/>
        <w:rPr>
          <w:rFonts w:eastAsia="方正黑体_GBK"/>
          <w:szCs w:val="32"/>
        </w:rPr>
      </w:pPr>
      <w:r>
        <w:rPr>
          <w:rFonts w:eastAsia="方正黑体_GBK"/>
          <w:szCs w:val="32"/>
        </w:rPr>
        <w:t>三、补贴资金管理和兑付</w:t>
      </w:r>
    </w:p>
    <w:p w14:paraId="5D038F4B">
      <w:pPr>
        <w:kinsoku w:val="0"/>
        <w:autoSpaceDE w:val="0"/>
        <w:autoSpaceDN w:val="0"/>
        <w:adjustRightInd w:val="0"/>
        <w:snapToGrid w:val="0"/>
        <w:spacing w:line="594" w:lineRule="exact"/>
        <w:ind w:firstLine="654" w:firstLineChars="200"/>
        <w:textAlignment w:val="baseline"/>
        <w:rPr>
          <w:rFonts w:eastAsia="方正楷体_GBK"/>
          <w:szCs w:val="32"/>
        </w:rPr>
      </w:pPr>
      <w:r>
        <w:rPr>
          <w:rFonts w:eastAsia="方正楷体_GBK"/>
          <w:szCs w:val="32"/>
        </w:rPr>
        <w:t>（一）</w:t>
      </w:r>
      <w:r>
        <w:rPr>
          <w:rFonts w:eastAsia="方正楷体_GBK"/>
          <w:snapToGrid w:val="0"/>
          <w:color w:val="000000"/>
          <w:kern w:val="0"/>
          <w:szCs w:val="32"/>
        </w:rPr>
        <w:t>制定补贴方案。农业农村岗牵头制定镇级2025年耕地地力保护补贴方案，</w:t>
      </w:r>
      <w:r>
        <w:rPr>
          <w:snapToGrid w:val="0"/>
          <w:color w:val="000000"/>
          <w:kern w:val="0"/>
          <w:szCs w:val="32"/>
        </w:rPr>
        <w:t>在6月18日前报区农业农村局备案，并加快推进组织实施。</w:t>
      </w:r>
    </w:p>
    <w:p w14:paraId="1EA6422A">
      <w:pPr>
        <w:spacing w:line="594" w:lineRule="exact"/>
        <w:ind w:firstLine="654" w:firstLineChars="200"/>
        <w:rPr>
          <w:szCs w:val="32"/>
        </w:rPr>
      </w:pPr>
      <w:r>
        <w:rPr>
          <w:rFonts w:eastAsia="方正楷体_GBK"/>
          <w:szCs w:val="32"/>
        </w:rPr>
        <w:t>（二）严格补贴资金管理和兑付。</w:t>
      </w:r>
      <w:r>
        <w:rPr>
          <w:szCs w:val="32"/>
        </w:rPr>
        <w:t>2025年耕地地力保护补贴资金的申报、审核、兑付工作，严格按程序实施，于6月30日前通过“一卡通”</w:t>
      </w:r>
      <w:r>
        <w:rPr>
          <w:kern w:val="0"/>
          <w:szCs w:val="32"/>
        </w:rPr>
        <w:t xml:space="preserve"> 将需兑现到农户的补贴资金发放到位</w:t>
      </w:r>
      <w:r>
        <w:rPr>
          <w:szCs w:val="32"/>
        </w:rPr>
        <w:t>。对于补贴未能成功发放的农户，村、社级要及时查找原因，核对农户信息，相关记录存档备查。</w:t>
      </w:r>
    </w:p>
    <w:p w14:paraId="74911706">
      <w:pPr>
        <w:spacing w:line="594" w:lineRule="exact"/>
        <w:ind w:firstLine="654" w:firstLineChars="200"/>
        <w:rPr>
          <w:snapToGrid w:val="0"/>
          <w:color w:val="000000"/>
          <w:kern w:val="0"/>
          <w:szCs w:val="32"/>
        </w:rPr>
      </w:pPr>
      <w:r>
        <w:rPr>
          <w:rFonts w:eastAsia="方正楷体_GBK"/>
          <w:snapToGrid w:val="0"/>
          <w:color w:val="000000"/>
          <w:kern w:val="0"/>
          <w:szCs w:val="32"/>
        </w:rPr>
        <w:t>（三）</w:t>
      </w:r>
      <w:r>
        <w:rPr>
          <w:rFonts w:eastAsia="方正楷体_GBK"/>
          <w:szCs w:val="32"/>
        </w:rPr>
        <w:t>按时、准确报送补贴落实情况报表资料。</w:t>
      </w:r>
      <w:r>
        <w:rPr>
          <w:rFonts w:eastAsia="方正楷体_GBK"/>
          <w:snapToGrid w:val="0"/>
          <w:color w:val="000000"/>
          <w:kern w:val="0"/>
          <w:szCs w:val="32"/>
        </w:rPr>
        <w:t>镇</w:t>
      </w:r>
      <w:r>
        <w:rPr>
          <w:snapToGrid w:val="0"/>
          <w:color w:val="000000"/>
          <w:kern w:val="0"/>
          <w:szCs w:val="32"/>
        </w:rPr>
        <w:t>农业农村岗及时将各村实时发放的耕地地力保护补贴资金电子数据收集汇总后填入《2025年万盛经开区耕地地力保护补贴政策执行情况统计表》（附件1）在8月15日前上报区农业农村局备案。</w:t>
      </w:r>
    </w:p>
    <w:p w14:paraId="2771047F">
      <w:pPr>
        <w:spacing w:line="594" w:lineRule="exact"/>
        <w:ind w:firstLine="654" w:firstLineChars="200"/>
        <w:rPr>
          <w:szCs w:val="32"/>
        </w:rPr>
      </w:pPr>
      <w:r>
        <w:rPr>
          <w:szCs w:val="32"/>
        </w:rPr>
        <w:t>经区级备案的耕地地力保护补贴汇总数据及实施方案作为审计、专项检查、绩效评价的重要依据。</w:t>
      </w:r>
    </w:p>
    <w:p w14:paraId="076C6A7E">
      <w:pPr>
        <w:spacing w:line="594" w:lineRule="exact"/>
        <w:ind w:firstLine="654" w:firstLineChars="200"/>
        <w:rPr>
          <w:rFonts w:eastAsia="方正黑体_GBK"/>
          <w:szCs w:val="32"/>
        </w:rPr>
      </w:pPr>
      <w:r>
        <w:rPr>
          <w:rFonts w:eastAsia="方正黑体_GBK"/>
          <w:szCs w:val="32"/>
        </w:rPr>
        <w:t xml:space="preserve">四、工作要求 </w:t>
      </w:r>
    </w:p>
    <w:p w14:paraId="152255A9">
      <w:pPr>
        <w:spacing w:line="594" w:lineRule="exact"/>
        <w:ind w:firstLine="654" w:firstLineChars="200"/>
        <w:rPr>
          <w:rFonts w:eastAsia="方正楷体_GBK"/>
          <w:szCs w:val="32"/>
        </w:rPr>
      </w:pPr>
      <w:r>
        <w:rPr>
          <w:rFonts w:eastAsia="方正楷体_GBK"/>
          <w:szCs w:val="32"/>
        </w:rPr>
        <w:t>（一）明确补贴工作职能职责。</w:t>
      </w:r>
      <w:r>
        <w:rPr>
          <w:szCs w:val="32"/>
        </w:rPr>
        <w:t>农业农村岗负责对本镇耕地地力保护补贴政策的落实，财政管理岗、纪检监察岗等岗位配合，相互支持，进一步强化镇、村、社各级补贴工作人员的审核责任，做好补贴资金的公开公示工作。</w:t>
      </w:r>
    </w:p>
    <w:p w14:paraId="0FF052F1">
      <w:pPr>
        <w:spacing w:line="594" w:lineRule="exact"/>
        <w:ind w:firstLine="654" w:firstLineChars="200"/>
        <w:rPr>
          <w:kern w:val="0"/>
          <w:szCs w:val="32"/>
        </w:rPr>
      </w:pPr>
      <w:r>
        <w:rPr>
          <w:rFonts w:eastAsia="方正楷体_GBK"/>
          <w:szCs w:val="32"/>
        </w:rPr>
        <w:t>（二）做好补贴政策宣传解释工作。</w:t>
      </w:r>
      <w:r>
        <w:rPr>
          <w:kern w:val="0"/>
          <w:szCs w:val="32"/>
        </w:rPr>
        <w:t>各村通过召开院坝会、党小组会议，利用村务公开栏、印发资料、社员微信群、大喇叭等多种方式、渠道，宣传耕地地力保护补贴政策及补贴信息公示，把“</w:t>
      </w:r>
      <w:r>
        <w:t>对非农征（占）用耕地、已作为畜牧养殖场使用的耕地、林地、草地、成片粮田转为设施农业用地等已改变用途的耕地，以及抛荒地、占补平衡中“补”的面积和质量达不到耕种条件的耕地等不予补贴。同一地块，一年只能享受一次耕地地力保护补贴</w:t>
      </w:r>
      <w:r>
        <w:rPr>
          <w:kern w:val="0"/>
          <w:szCs w:val="32"/>
        </w:rPr>
        <w:t>”的政策宣传到户，做到补贴范围和补贴依据宣传到户，补贴金额核定到户，补贴申请表填写到户，补贴数额公布到户，补贴通知发放到户，补贴资金兑现到户，实现补贴政策家喻户晓，有效调动农民保护耕地地力的积极性。</w:t>
      </w:r>
    </w:p>
    <w:p w14:paraId="4587C699">
      <w:pPr>
        <w:spacing w:line="594" w:lineRule="exact"/>
        <w:ind w:firstLine="654" w:firstLineChars="200"/>
        <w:rPr>
          <w:szCs w:val="32"/>
        </w:rPr>
      </w:pPr>
      <w:r>
        <w:rPr>
          <w:rFonts w:eastAsia="方正楷体_GBK"/>
          <w:szCs w:val="32"/>
        </w:rPr>
        <w:t>（二）加强项目监管。</w:t>
      </w:r>
      <w:r>
        <w:t>按照南桐镇耕地地力保护补贴长效监管机制（附件4），各村要严格执行补贴资金公开公示、档案管理等规章制度，加强补贴资金监管，农业农村岗、纪检监察岗建立定期检查与重点抽查相结合的补贴监督机制，镇人民政府组织相关工作人员深入村社督促指导，发现问题及时纠正处理，重大事项要及时向镇人民政府报告。要严防补贴资金“跑冒滴漏”，对发现的弄虚作假或者挤占、挪用、滞留资金，以及其他滥用职权、玩忽职守、徇私舞弊等违法违规行为，将依法依规严格追究相应责任。农业农村岗</w:t>
      </w:r>
      <w:r>
        <w:rPr>
          <w:szCs w:val="32"/>
        </w:rPr>
        <w:t>及时组织开展重点村、社的抽查检查工作，抽查3个村，每个村至少3个社，每个社10户以上，实地核查清册和公示情况是否属实等内容，现场填写《</w:t>
      </w:r>
      <w:r>
        <w:rPr>
          <w:kern w:val="0"/>
          <w:szCs w:val="32"/>
        </w:rPr>
        <w:t>2025年耕地地力保护补贴政策入户抽查与群众满意度调查表（镇级）</w:t>
      </w:r>
      <w:r>
        <w:rPr>
          <w:szCs w:val="32"/>
        </w:rPr>
        <w:t>》（附件4）并存档备查。对发现问题及时纠正处理，坚决杜绝虚报冒领、骗取套取、挤占挪用补贴资金等违规现象的发生，确保补贴工作平稳推进。</w:t>
      </w:r>
    </w:p>
    <w:p w14:paraId="509FF8CC">
      <w:pPr>
        <w:spacing w:line="594" w:lineRule="exact"/>
        <w:ind w:firstLine="654" w:firstLineChars="200"/>
        <w:rPr>
          <w:szCs w:val="32"/>
        </w:rPr>
      </w:pPr>
      <w:r>
        <w:rPr>
          <w:rFonts w:eastAsia="方正楷体_GBK"/>
          <w:szCs w:val="32"/>
        </w:rPr>
        <w:t>（四）</w:t>
      </w:r>
      <w:r>
        <w:rPr>
          <w:rFonts w:eastAsia="方正楷体_GBK"/>
          <w:snapToGrid w:val="0"/>
          <w:color w:val="000000"/>
          <w:kern w:val="0"/>
          <w:szCs w:val="32"/>
        </w:rPr>
        <w:t>严格落实定期调度机制</w:t>
      </w:r>
      <w:r>
        <w:rPr>
          <w:rFonts w:eastAsia="方正楷体_GBK"/>
          <w:szCs w:val="32"/>
        </w:rPr>
        <w:t>。</w:t>
      </w:r>
      <w:r>
        <w:rPr>
          <w:snapToGrid w:val="0"/>
          <w:color w:val="000000"/>
          <w:kern w:val="0"/>
          <w:szCs w:val="32"/>
        </w:rPr>
        <w:t>镇严格在11月20日前将补贴工作总结电子文档报送区农业农村局、区财政局。</w:t>
      </w:r>
    </w:p>
    <w:p w14:paraId="66536678">
      <w:pPr>
        <w:spacing w:line="594" w:lineRule="exact"/>
        <w:ind w:firstLine="654" w:firstLineChars="200"/>
        <w:rPr>
          <w:szCs w:val="32"/>
        </w:rPr>
      </w:pPr>
      <w:r>
        <w:rPr>
          <w:rFonts w:eastAsia="方正楷体_GBK"/>
          <w:szCs w:val="32"/>
        </w:rPr>
        <w:t>（五）做好补贴信访受理工作。</w:t>
      </w:r>
      <w:r>
        <w:rPr>
          <w:kern w:val="0"/>
          <w:szCs w:val="32"/>
        </w:rPr>
        <w:t>严格落实信访工作责任制，各村应遵循分级负责、归口管理的原则，针对群众因耕地地力保护补贴引发的信访问题，务必切实履行职责，将农民反映的实际问题及时调查，确保问题得到妥善处理，维护农民合法权益和社会稳定。</w:t>
      </w:r>
    </w:p>
    <w:p w14:paraId="37ECD892">
      <w:pPr>
        <w:kinsoku w:val="0"/>
        <w:autoSpaceDE w:val="0"/>
        <w:autoSpaceDN w:val="0"/>
        <w:adjustRightInd w:val="0"/>
        <w:snapToGrid w:val="0"/>
        <w:spacing w:line="594" w:lineRule="exact"/>
        <w:ind w:firstLine="654" w:firstLineChars="200"/>
        <w:textAlignment w:val="baseline"/>
        <w:rPr>
          <w:snapToGrid w:val="0"/>
          <w:color w:val="000000"/>
          <w:kern w:val="0"/>
          <w:szCs w:val="32"/>
        </w:rPr>
      </w:pPr>
      <w:r>
        <w:rPr>
          <w:rFonts w:eastAsia="方正楷体_GBK"/>
          <w:snapToGrid w:val="0"/>
          <w:color w:val="000000"/>
          <w:kern w:val="0"/>
          <w:szCs w:val="32"/>
        </w:rPr>
        <w:t>（六）做好绩效评估工作。</w:t>
      </w:r>
      <w:r>
        <w:rPr>
          <w:snapToGrid w:val="0"/>
          <w:color w:val="000000"/>
          <w:kern w:val="0"/>
          <w:szCs w:val="32"/>
        </w:rPr>
        <w:t>根据工作任务清单和绩效目标（附件5），自觉组织开展项目绩效自评工作，将政策目标实现情况、任务清单完成情况、资金使用管理情况等纳入日常工作，建档归档。于11月20日前将绩效评价报告、绩效评价表与补贴工作总结一起上报。</w:t>
      </w:r>
    </w:p>
    <w:p w14:paraId="2E81640E">
      <w:pPr>
        <w:kinsoku w:val="0"/>
        <w:autoSpaceDE w:val="0"/>
        <w:autoSpaceDN w:val="0"/>
        <w:adjustRightInd w:val="0"/>
        <w:snapToGrid w:val="0"/>
        <w:spacing w:line="594" w:lineRule="exact"/>
        <w:ind w:firstLine="654" w:firstLineChars="200"/>
        <w:textAlignment w:val="baseline"/>
        <w:rPr>
          <w:szCs w:val="32"/>
        </w:rPr>
      </w:pPr>
      <w:r>
        <w:rPr>
          <w:rFonts w:eastAsia="方正楷体_GBK"/>
          <w:snapToGrid w:val="0"/>
          <w:color w:val="000000"/>
          <w:kern w:val="0"/>
          <w:szCs w:val="32"/>
        </w:rPr>
        <w:t>（七）做好</w:t>
      </w:r>
      <w:r>
        <w:rPr>
          <w:snapToGrid w:val="0"/>
          <w:color w:val="000000"/>
          <w:kern w:val="0"/>
          <w:szCs w:val="32"/>
        </w:rPr>
        <w:t>2026</w:t>
      </w:r>
      <w:r>
        <w:rPr>
          <w:rFonts w:eastAsia="方正楷体_GBK"/>
          <w:snapToGrid w:val="0"/>
          <w:color w:val="000000"/>
          <w:kern w:val="0"/>
          <w:szCs w:val="32"/>
        </w:rPr>
        <w:t>年数据备案工作。</w:t>
      </w:r>
      <w:r>
        <w:rPr>
          <w:snapToGrid w:val="0"/>
          <w:color w:val="000000"/>
          <w:kern w:val="0"/>
          <w:szCs w:val="32"/>
        </w:rPr>
        <w:t>镇村要落实好审核责任，认真做好耕地面积核实工作，经镇、村、社三级公示（公示期不少于5个工作日）且公示无异议后（公示数据需是拟享受农户签字确认（附件3）），务必于2025年12月31日前，通过耕地地力保护补贴管理平台完成本辖区次年受补农户基础数据系统录入工作，为2026年的耕地地力保护补贴工作打好基础。</w:t>
      </w:r>
    </w:p>
    <w:p w14:paraId="4366FDD2">
      <w:pPr>
        <w:kinsoku w:val="0"/>
        <w:autoSpaceDE w:val="0"/>
        <w:autoSpaceDN w:val="0"/>
        <w:adjustRightInd w:val="0"/>
        <w:snapToGrid w:val="0"/>
        <w:spacing w:line="594" w:lineRule="exact"/>
        <w:ind w:firstLine="654" w:firstLineChars="200"/>
        <w:textAlignment w:val="baseline"/>
        <w:rPr>
          <w:szCs w:val="32"/>
        </w:rPr>
      </w:pPr>
    </w:p>
    <w:p w14:paraId="32533D91">
      <w:pPr>
        <w:kinsoku w:val="0"/>
        <w:autoSpaceDE w:val="0"/>
        <w:autoSpaceDN w:val="0"/>
        <w:adjustRightInd w:val="0"/>
        <w:snapToGrid w:val="0"/>
        <w:spacing w:line="594" w:lineRule="exact"/>
        <w:ind w:firstLine="654" w:firstLineChars="200"/>
        <w:textAlignment w:val="baseline"/>
        <w:rPr>
          <w:w w:val="95"/>
          <w:kern w:val="0"/>
          <w:szCs w:val="32"/>
        </w:rPr>
      </w:pPr>
      <w:r>
        <w:rPr>
          <w:szCs w:val="32"/>
        </w:rPr>
        <w:t>附件：1.</w:t>
      </w:r>
      <w:r>
        <w:rPr>
          <w:w w:val="95"/>
          <w:kern w:val="0"/>
          <w:szCs w:val="32"/>
        </w:rPr>
        <w:t>2025年</w:t>
      </w:r>
      <w:r>
        <w:rPr>
          <w:spacing w:val="-6"/>
          <w:w w:val="95"/>
          <w:szCs w:val="32"/>
        </w:rPr>
        <w:t>**村</w:t>
      </w:r>
      <w:r>
        <w:rPr>
          <w:w w:val="95"/>
          <w:kern w:val="0"/>
          <w:szCs w:val="32"/>
        </w:rPr>
        <w:t>耕地地力保护补贴政策执行情况统计表</w:t>
      </w:r>
    </w:p>
    <w:p w14:paraId="3F46CC57">
      <w:pPr>
        <w:spacing w:line="594" w:lineRule="exact"/>
        <w:ind w:firstLine="1635" w:firstLineChars="500"/>
        <w:rPr>
          <w:kern w:val="0"/>
          <w:szCs w:val="32"/>
        </w:rPr>
      </w:pPr>
      <w:r>
        <w:rPr>
          <w:kern w:val="0"/>
          <w:szCs w:val="32"/>
        </w:rPr>
        <w:t>2.2025年耕地地力保护补贴政策入户抽查与群众满</w:t>
      </w:r>
    </w:p>
    <w:p w14:paraId="02825912">
      <w:pPr>
        <w:spacing w:line="594" w:lineRule="exact"/>
        <w:ind w:left="158" w:hanging="163" w:hangingChars="50"/>
        <w:rPr>
          <w:kern w:val="0"/>
          <w:szCs w:val="32"/>
        </w:rPr>
      </w:pPr>
      <w:r>
        <w:rPr>
          <w:rFonts w:hint="eastAsia"/>
          <w:kern w:val="0"/>
          <w:szCs w:val="32"/>
        </w:rPr>
        <w:t>　　　　　</w:t>
      </w:r>
      <w:r>
        <w:rPr>
          <w:kern w:val="0"/>
          <w:szCs w:val="32"/>
        </w:rPr>
        <w:t>意度调查表（镇级）</w:t>
      </w:r>
    </w:p>
    <w:p w14:paraId="5E570949">
      <w:pPr>
        <w:spacing w:line="594" w:lineRule="exact"/>
        <w:ind w:firstLine="1635" w:firstLineChars="500"/>
        <w:rPr>
          <w:snapToGrid w:val="0"/>
          <w:color w:val="000000"/>
          <w:kern w:val="0"/>
          <w:szCs w:val="32"/>
        </w:rPr>
      </w:pPr>
      <w:r>
        <w:rPr>
          <w:kern w:val="0"/>
          <w:szCs w:val="32"/>
        </w:rPr>
        <w:t>3.</w:t>
      </w:r>
      <w:r>
        <w:rPr>
          <w:snapToGrid w:val="0"/>
          <w:color w:val="000000"/>
          <w:kern w:val="0"/>
          <w:szCs w:val="32"/>
        </w:rPr>
        <w:t>耕地地力保护补贴面积签字（样表）</w:t>
      </w:r>
    </w:p>
    <w:p w14:paraId="35987229">
      <w:pPr>
        <w:numPr>
          <w:ilvl w:val="0"/>
          <w:numId w:val="1"/>
        </w:numPr>
        <w:spacing w:line="594" w:lineRule="exact"/>
        <w:ind w:firstLine="1635" w:firstLineChars="500"/>
        <w:rPr>
          <w:szCs w:val="32"/>
        </w:rPr>
      </w:pPr>
      <w:r>
        <w:rPr>
          <w:kern w:val="0"/>
          <w:szCs w:val="32"/>
        </w:rPr>
        <w:t>南桐镇耕地地力保护补贴长效监管机制</w:t>
      </w:r>
    </w:p>
    <w:p w14:paraId="16419BA6">
      <w:pPr>
        <w:tabs>
          <w:tab w:val="left" w:pos="312"/>
        </w:tabs>
        <w:spacing w:line="594" w:lineRule="exact"/>
        <w:rPr>
          <w:kern w:val="0"/>
          <w:szCs w:val="32"/>
        </w:rPr>
      </w:pPr>
    </w:p>
    <w:p w14:paraId="2D0AFCE6">
      <w:pPr>
        <w:tabs>
          <w:tab w:val="left" w:pos="312"/>
        </w:tabs>
        <w:spacing w:line="594" w:lineRule="exact"/>
        <w:rPr>
          <w:kern w:val="0"/>
          <w:szCs w:val="32"/>
        </w:rPr>
      </w:pPr>
    </w:p>
    <w:p w14:paraId="2D7F48ED">
      <w:pPr>
        <w:tabs>
          <w:tab w:val="left" w:pos="312"/>
        </w:tabs>
        <w:spacing w:line="594" w:lineRule="exact"/>
        <w:rPr>
          <w:kern w:val="0"/>
          <w:szCs w:val="32"/>
        </w:rPr>
      </w:pPr>
    </w:p>
    <w:p w14:paraId="3BCECBD1">
      <w:pPr>
        <w:tabs>
          <w:tab w:val="left" w:pos="312"/>
        </w:tabs>
        <w:spacing w:line="594" w:lineRule="exact"/>
        <w:rPr>
          <w:kern w:val="0"/>
          <w:szCs w:val="32"/>
        </w:rPr>
      </w:pPr>
    </w:p>
    <w:p w14:paraId="66F5FA9B">
      <w:pPr>
        <w:tabs>
          <w:tab w:val="left" w:pos="312"/>
        </w:tabs>
        <w:spacing w:line="594" w:lineRule="exact"/>
        <w:rPr>
          <w:kern w:val="0"/>
          <w:szCs w:val="32"/>
        </w:rPr>
      </w:pPr>
    </w:p>
    <w:p w14:paraId="31C2B802">
      <w:pPr>
        <w:tabs>
          <w:tab w:val="left" w:pos="312"/>
        </w:tabs>
        <w:spacing w:line="594" w:lineRule="exact"/>
        <w:rPr>
          <w:kern w:val="0"/>
          <w:szCs w:val="32"/>
        </w:rPr>
      </w:pPr>
    </w:p>
    <w:p w14:paraId="4AE3F6A1">
      <w:pPr>
        <w:tabs>
          <w:tab w:val="left" w:pos="312"/>
        </w:tabs>
        <w:spacing w:line="594" w:lineRule="exact"/>
        <w:rPr>
          <w:kern w:val="0"/>
          <w:szCs w:val="32"/>
        </w:rPr>
      </w:pPr>
    </w:p>
    <w:p w14:paraId="245E4FF9">
      <w:pPr>
        <w:tabs>
          <w:tab w:val="left" w:pos="312"/>
        </w:tabs>
        <w:spacing w:line="594" w:lineRule="exact"/>
        <w:rPr>
          <w:kern w:val="0"/>
          <w:szCs w:val="32"/>
        </w:rPr>
      </w:pPr>
    </w:p>
    <w:p w14:paraId="6024BA3A">
      <w:pPr>
        <w:tabs>
          <w:tab w:val="left" w:pos="312"/>
        </w:tabs>
        <w:spacing w:line="594" w:lineRule="exact"/>
        <w:rPr>
          <w:kern w:val="0"/>
          <w:szCs w:val="32"/>
        </w:rPr>
      </w:pPr>
    </w:p>
    <w:p w14:paraId="319A17B9">
      <w:pPr>
        <w:tabs>
          <w:tab w:val="left" w:pos="312"/>
        </w:tabs>
        <w:spacing w:line="594" w:lineRule="exact"/>
        <w:rPr>
          <w:kern w:val="0"/>
          <w:szCs w:val="32"/>
        </w:rPr>
      </w:pPr>
    </w:p>
    <w:p w14:paraId="4CC4B180">
      <w:pPr>
        <w:tabs>
          <w:tab w:val="left" w:pos="312"/>
        </w:tabs>
        <w:spacing w:line="594" w:lineRule="exact"/>
        <w:rPr>
          <w:kern w:val="0"/>
          <w:szCs w:val="32"/>
        </w:rPr>
      </w:pPr>
    </w:p>
    <w:p w14:paraId="170A9091">
      <w:pPr>
        <w:tabs>
          <w:tab w:val="left" w:pos="312"/>
        </w:tabs>
        <w:spacing w:line="594" w:lineRule="exact"/>
        <w:rPr>
          <w:kern w:val="0"/>
          <w:szCs w:val="32"/>
        </w:rPr>
      </w:pPr>
    </w:p>
    <w:p w14:paraId="15244B53">
      <w:pPr>
        <w:tabs>
          <w:tab w:val="left" w:pos="312"/>
        </w:tabs>
        <w:spacing w:line="594" w:lineRule="exact"/>
        <w:rPr>
          <w:kern w:val="0"/>
          <w:szCs w:val="32"/>
        </w:rPr>
      </w:pPr>
    </w:p>
    <w:p w14:paraId="7A98CD51">
      <w:pPr>
        <w:tabs>
          <w:tab w:val="left" w:pos="312"/>
        </w:tabs>
        <w:spacing w:line="594" w:lineRule="exact"/>
        <w:rPr>
          <w:kern w:val="0"/>
          <w:szCs w:val="32"/>
        </w:rPr>
      </w:pPr>
    </w:p>
    <w:p w14:paraId="01E6602A">
      <w:pPr>
        <w:spacing w:line="594" w:lineRule="exact"/>
        <w:rPr>
          <w:szCs w:val="32"/>
        </w:rPr>
      </w:pPr>
    </w:p>
    <w:p w14:paraId="11B2D364">
      <w:pPr>
        <w:spacing w:line="594" w:lineRule="exact"/>
        <w:rPr>
          <w:szCs w:val="32"/>
        </w:rPr>
      </w:pPr>
    </w:p>
    <w:p w14:paraId="086E69C8">
      <w:pPr>
        <w:spacing w:line="594" w:lineRule="exact"/>
        <w:rPr>
          <w:szCs w:val="32"/>
        </w:rPr>
      </w:pPr>
    </w:p>
    <w:p w14:paraId="68A0FD11">
      <w:pPr>
        <w:spacing w:line="594" w:lineRule="exact"/>
        <w:rPr>
          <w:szCs w:val="32"/>
        </w:rPr>
      </w:pPr>
    </w:p>
    <w:p w14:paraId="1F0795CE">
      <w:pPr>
        <w:spacing w:line="594" w:lineRule="exact"/>
        <w:rPr>
          <w:szCs w:val="32"/>
        </w:rPr>
      </w:pPr>
    </w:p>
    <w:p w14:paraId="4A44AE57">
      <w:pPr>
        <w:spacing w:line="594" w:lineRule="exact"/>
        <w:rPr>
          <w:szCs w:val="32"/>
        </w:rPr>
      </w:pPr>
    </w:p>
    <w:p w14:paraId="6CACA7DB">
      <w:pPr>
        <w:spacing w:line="594" w:lineRule="exact"/>
        <w:rPr>
          <w:szCs w:val="32"/>
        </w:rPr>
      </w:pPr>
    </w:p>
    <w:p w14:paraId="4269E156">
      <w:pPr>
        <w:spacing w:line="594" w:lineRule="exact"/>
        <w:rPr>
          <w:szCs w:val="32"/>
        </w:rPr>
      </w:pPr>
    </w:p>
    <w:p w14:paraId="34C5D432">
      <w:pPr>
        <w:spacing w:line="594" w:lineRule="exact"/>
        <w:rPr>
          <w:szCs w:val="32"/>
        </w:rPr>
      </w:pPr>
    </w:p>
    <w:p w14:paraId="7F283F65">
      <w:pPr>
        <w:spacing w:line="594" w:lineRule="exact"/>
        <w:rPr>
          <w:szCs w:val="32"/>
        </w:rPr>
      </w:pPr>
    </w:p>
    <w:p w14:paraId="5349C352">
      <w:pPr>
        <w:spacing w:line="594" w:lineRule="exact"/>
        <w:rPr>
          <w:szCs w:val="32"/>
        </w:rPr>
      </w:pPr>
    </w:p>
    <w:p w14:paraId="067569B8">
      <w:pPr>
        <w:spacing w:line="594" w:lineRule="exact"/>
        <w:rPr>
          <w:szCs w:val="32"/>
        </w:rPr>
      </w:pPr>
    </w:p>
    <w:p w14:paraId="66C959CA">
      <w:pPr>
        <w:spacing w:line="594" w:lineRule="exact"/>
        <w:rPr>
          <w:szCs w:val="32"/>
        </w:rPr>
      </w:pPr>
    </w:p>
    <w:p w14:paraId="17C6631C">
      <w:pPr>
        <w:spacing w:line="594" w:lineRule="exact"/>
        <w:rPr>
          <w:szCs w:val="32"/>
        </w:rPr>
      </w:pPr>
    </w:p>
    <w:p w14:paraId="4FB5239F">
      <w:pPr>
        <w:spacing w:line="594" w:lineRule="exact"/>
        <w:rPr>
          <w:szCs w:val="32"/>
        </w:rPr>
      </w:pPr>
    </w:p>
    <w:p w14:paraId="5991E097">
      <w:pPr>
        <w:spacing w:line="594" w:lineRule="exact"/>
        <w:rPr>
          <w:szCs w:val="32"/>
        </w:rPr>
      </w:pPr>
    </w:p>
    <w:p w14:paraId="2C7201CC">
      <w:pPr>
        <w:spacing w:line="594" w:lineRule="exact"/>
        <w:rPr>
          <w:szCs w:val="32"/>
        </w:rPr>
      </w:pPr>
    </w:p>
    <w:p w14:paraId="6EF35587">
      <w:pPr>
        <w:spacing w:line="594" w:lineRule="exact"/>
        <w:rPr>
          <w:szCs w:val="32"/>
        </w:rPr>
      </w:pPr>
    </w:p>
    <w:p w14:paraId="25B6DA42">
      <w:pPr>
        <w:spacing w:line="594" w:lineRule="exact"/>
        <w:rPr>
          <w:szCs w:val="32"/>
        </w:rPr>
      </w:pPr>
    </w:p>
    <w:p w14:paraId="21076A61">
      <w:pPr>
        <w:pStyle w:val="6"/>
        <w:pBdr>
          <w:top w:val="single" w:color="auto" w:sz="8" w:space="1"/>
          <w:left w:val="none" w:color="auto" w:sz="0" w:space="4"/>
          <w:bottom w:val="single" w:color="auto" w:sz="8" w:space="1"/>
          <w:right w:val="none" w:color="auto" w:sz="0" w:space="4"/>
        </w:pBdr>
        <w:spacing w:line="594" w:lineRule="exact"/>
      </w:pPr>
      <w:r>
        <w:rPr>
          <w:rFonts w:hint="eastAsia" w:ascii="Times New Roman" w:cs="Times New Roman"/>
          <w:sz w:val="28"/>
          <w:szCs w:val="28"/>
        </w:rPr>
        <w:t>　南桐镇基层治理综合指挥室　　　　　　　　20025年6月12日印发</w:t>
      </w:r>
    </w:p>
    <w:sectPr>
      <w:headerReference r:id="rId3" w:type="default"/>
      <w:footerReference r:id="rId4" w:type="default"/>
      <w:pgSz w:w="11906" w:h="16838"/>
      <w:pgMar w:top="2098" w:right="1474" w:bottom="1984" w:left="1587" w:header="851" w:footer="1474" w:gutter="0"/>
      <w:cols w:space="720" w:num="1"/>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CE32E0A5-E61E-4D5C-AD8B-22CC1E66BF4A}"/>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9FABDD62-806E-45E5-A0BE-8CDD7A4BCD3F}"/>
  </w:font>
  <w:font w:name="方正楷体_GB2312">
    <w:panose1 w:val="02000000000000000000"/>
    <w:charset w:val="86"/>
    <w:family w:val="auto"/>
    <w:pitch w:val="default"/>
    <w:sig w:usb0="A00002BF" w:usb1="184F6CFA" w:usb2="00000012" w:usb3="00000000" w:csb0="00040001" w:csb1="00000000"/>
    <w:embedRegular r:id="rId3" w:fontKey="{15213EC7-6506-4C6F-BA28-A50DBD30DE09}"/>
  </w:font>
  <w:font w:name="方正黑体_GBK">
    <w:panose1 w:val="03000509000000000000"/>
    <w:charset w:val="86"/>
    <w:family w:val="script"/>
    <w:pitch w:val="default"/>
    <w:sig w:usb0="00000001" w:usb1="080E0000" w:usb2="00000000" w:usb3="00000000" w:csb0="00040000" w:csb1="00000000"/>
    <w:embedRegular r:id="rId4" w:fontKey="{462116C2-F64E-4AA4-B563-EC3C8DE63353}"/>
  </w:font>
  <w:font w:name="方正楷体_GBK">
    <w:panose1 w:val="03000509000000000000"/>
    <w:charset w:val="86"/>
    <w:family w:val="script"/>
    <w:pitch w:val="default"/>
    <w:sig w:usb0="00000001" w:usb1="080E0000" w:usb2="00000000" w:usb3="00000000" w:csb0="00040000" w:csb1="00000000"/>
    <w:embedRegular r:id="rId5" w:fontKey="{D1EA6AF2-4EEE-4A86-A827-EDE6D773B64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B6ED">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50EDD9">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lRLzLRAAAABAEAAA8AAAAAAAAAAQAgAAAAIgAAAGRycy9kb3du&#10;cmV2LnhtbFBLAQIUABQAAAAIAIdO4kBHdP5/zQEAAKkDAAAOAAAAAAAAAAEAIAAAACABAABkcnMv&#10;ZTJvRG9jLnhtbFBLBQYAAAAABgAGAFkBAABfBQAAAAA=&#10;">
              <v:fill on="f" focussize="0,0"/>
              <v:stroke on="f"/>
              <v:imagedata o:title=""/>
              <o:lock v:ext="edit" aspectratio="f"/>
              <v:textbox inset="0mm,0mm,0mm,0mm" style="mso-fit-shape-to-text:t;">
                <w:txbxContent>
                  <w:p w14:paraId="1950EDD9">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18CD">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DF5C9"/>
    <w:multiLevelType w:val="singleLevel"/>
    <w:tmpl w:val="B5BDF5C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03D5"/>
    <w:rsid w:val="65806F75"/>
    <w:rsid w:val="72C7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2845</Words>
  <Characters>2957</Characters>
  <Lines>0</Lines>
  <Paragraphs>0</Paragraphs>
  <TotalTime>0</TotalTime>
  <ScaleCrop>false</ScaleCrop>
  <LinksUpToDate>false</LinksUpToDate>
  <CharactersWithSpaces>3105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2025-07-02T06:07:00Z</dcterms:created>
  <dc:creator>Administrator</dc:creator>
  <cp:lastModifiedBy>Lydia</cp:lastModifiedBy>
  <dcterms:modified xsi:type="dcterms:W3CDTF">2025-09-15T06:20:27Z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eyJoZGlkIjoiMjQ2Y2NkMDhmMTAwMDc0ZGJiNjdlNzM2ZTlmYjJjMzEiLCJ1c2VySWQiOiIzODQxODAxOTEifQ==</vt:lpwstr>
  </property>
  <property fmtid="{D5CDD505-2E9C-101B-9397-08002B2CF9AE}" pid="4" name="ICV">
    <vt:lpwstr>BA09564CDE4044EFB772F742DD709D5F_12</vt:lpwstr>
  </property>
</Properties>
</file>