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default" w:ascii="Times New Roman" w:hAnsi="Times New Roman"/>
          <w:szCs w:val="32"/>
          <w:lang w:eastAsia="zh-CN"/>
        </w:rPr>
      </w:pPr>
    </w:p>
    <w:p>
      <w:pPr>
        <w:bidi w:val="0"/>
        <w:jc w:val="left"/>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p>
    <w:p>
      <w:pPr>
        <w:bidi w:val="0"/>
        <w:jc w:val="left"/>
        <w:rPr>
          <w:rFonts w:hint="eastAsia" w:ascii="Times New Roman" w:hAnsi="Times New Roman" w:eastAsia="方正仿宋_GBK" w:cs="方正仿宋_GBK"/>
          <w:sz w:val="32"/>
          <w:szCs w:val="32"/>
          <w:lang w:eastAsia="zh-CN"/>
        </w:rPr>
      </w:pPr>
    </w:p>
    <w:p>
      <w:pPr>
        <w:spacing w:line="680" w:lineRule="exact"/>
        <w:jc w:val="center"/>
        <w:rPr>
          <w:rFonts w:hint="eastAsia" w:ascii="方正小标宋_GBK" w:hAnsi="方正小标宋_GBK" w:eastAsia="方正小标宋_GBK"/>
          <w:bCs/>
          <w:sz w:val="44"/>
          <w:szCs w:val="44"/>
        </w:rPr>
      </w:pPr>
      <w:r>
        <w:rPr>
          <w:rFonts w:hint="eastAsia" w:ascii="方正小标宋_GBK" w:hAnsi="方正小标宋_GBK" w:eastAsia="方正小标宋_GBK"/>
          <w:bCs/>
          <w:sz w:val="44"/>
          <w:szCs w:val="44"/>
        </w:rPr>
        <w:t>重庆市万盛经开区管委会</w:t>
      </w:r>
    </w:p>
    <w:p>
      <w:pPr>
        <w:spacing w:line="68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关于印发重庆市万盛经济技术开发区</w:t>
      </w:r>
    </w:p>
    <w:p>
      <w:pPr>
        <w:spacing w:line="68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最低生活保障条件认定实施细则的通知</w:t>
      </w:r>
    </w:p>
    <w:p>
      <w:pPr>
        <w:pStyle w:val="5"/>
        <w:jc w:val="center"/>
        <w:rPr>
          <w:rFonts w:hint="default"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万盛经开发〔2023〕15号</w:t>
      </w:r>
    </w:p>
    <w:p>
      <w:pPr>
        <w:jc w:val="left"/>
        <w:rPr>
          <w:rFonts w:hint="default" w:ascii="Times New Roman" w:hAnsi="Times New Roman" w:eastAsia="方正仿宋_GBK" w:cs="Times New Roman"/>
          <w:b w:val="0"/>
          <w:color w:val="auto"/>
          <w:kern w:val="2"/>
          <w:sz w:val="32"/>
          <w:szCs w:val="32"/>
          <w:lang w:val="en-US" w:eastAsia="zh-CN" w:bidi="ar-SA"/>
        </w:rPr>
      </w:pPr>
    </w:p>
    <w:p>
      <w:pPr>
        <w:ind w:firstLine="64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为进一步规范经开区城乡居民最低生活保障制度，切实保障城乡居民的基本生活，根据有关法律法规规定，结合经开区实际，现将关于《印发重庆市万盛经济技术开发区最低生活保障条件认定实施细则的通知》如下：</w:t>
      </w:r>
    </w:p>
    <w:p>
      <w:pPr>
        <w:wordWrap/>
        <w:spacing w:line="560" w:lineRule="exact"/>
        <w:ind w:firstLine="640" w:firstLineChars="200"/>
        <w:jc w:val="center"/>
        <w:rPr>
          <w:rFonts w:hint="eastAsia" w:ascii="方正黑体_GBK" w:hAnsi="方正黑体_GBK" w:eastAsia="方正黑体_GBK" w:cs="方正黑体_GBK"/>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第一章  总则</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第一条</w:t>
      </w:r>
      <w:r>
        <w:rPr>
          <w:rFonts w:hint="eastAsia" w:ascii="Times New Roman" w:hAnsi="Times New Roman" w:eastAsia="方正仿宋_GBK" w:cs="Times New Roman"/>
          <w:b w:val="0"/>
          <w:color w:val="auto"/>
          <w:kern w:val="2"/>
          <w:sz w:val="32"/>
          <w:szCs w:val="32"/>
          <w:lang w:val="en-US" w:eastAsia="zh-CN" w:bidi="ar-SA"/>
        </w:rPr>
        <w:t xml:space="preserve">  为进一步明确最低生活保障条件，公平公正公开认定保障对象，依据《重庆市人民政府办公厅关于印发重庆市最低生活保障条件认定办法（修订）的通知》（渝府办发〔2022〕128号）和有关法律法规，结合我区实际，制定本细则。</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第二条</w:t>
      </w:r>
      <w:r>
        <w:rPr>
          <w:rFonts w:hint="eastAsia" w:ascii="Times New Roman" w:hAnsi="Times New Roman" w:eastAsia="方正仿宋_GBK" w:cs="Times New Roman"/>
          <w:b w:val="0"/>
          <w:color w:val="auto"/>
          <w:kern w:val="2"/>
          <w:sz w:val="32"/>
          <w:szCs w:val="32"/>
          <w:lang w:val="en-US" w:eastAsia="zh-CN" w:bidi="ar-SA"/>
        </w:rPr>
        <w:t xml:space="preserve">  最低生活保障条件是指居民家庭申请最低生活保障的具体条件，包括家庭成员、家庭收入、家庭财产、家庭消费支出4个方面。</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第三条</w:t>
      </w:r>
      <w:r>
        <w:rPr>
          <w:rFonts w:hint="eastAsia" w:ascii="Times New Roman" w:hAnsi="Times New Roman" w:eastAsia="方正仿宋_GBK" w:cs="Times New Roman"/>
          <w:b w:val="0"/>
          <w:color w:val="auto"/>
          <w:kern w:val="2"/>
          <w:sz w:val="32"/>
          <w:szCs w:val="32"/>
          <w:lang w:val="en-US" w:eastAsia="zh-CN" w:bidi="ar-SA"/>
        </w:rPr>
        <w:t xml:space="preserve">  本细则主要用于认定我区居民家庭是否具备获得最低生活保障的资格条件。</w:t>
      </w:r>
    </w:p>
    <w:p>
      <w:pPr>
        <w:wordWrap/>
        <w:spacing w:line="560" w:lineRule="exact"/>
        <w:ind w:firstLine="640" w:firstLineChars="200"/>
        <w:jc w:val="center"/>
        <w:rPr>
          <w:rFonts w:hint="eastAsia" w:ascii="方正黑体_GBK" w:hAnsi="方正黑体_GBK" w:eastAsia="方正黑体_GBK" w:cs="方正黑体_GBK"/>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第二章  家庭成员</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第四条</w:t>
      </w:r>
      <w:r>
        <w:rPr>
          <w:rFonts w:hint="eastAsia" w:ascii="Times New Roman" w:hAnsi="Times New Roman" w:eastAsia="方正仿宋_GBK" w:cs="Times New Roman"/>
          <w:b w:val="0"/>
          <w:color w:val="auto"/>
          <w:kern w:val="2"/>
          <w:sz w:val="32"/>
          <w:szCs w:val="32"/>
          <w:lang w:val="en-US" w:eastAsia="zh-CN" w:bidi="ar-SA"/>
        </w:rPr>
        <w:t xml:space="preserve">  申请最低生活保障的申请人应具有我区户籍，其家庭成员应当是具有法定赡养、扶养、抚养义务关系的共同生活家庭成员。</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第五条</w:t>
      </w:r>
      <w:r>
        <w:rPr>
          <w:rFonts w:hint="eastAsia" w:ascii="Times New Roman" w:hAnsi="Times New Roman" w:eastAsia="方正仿宋_GBK" w:cs="Times New Roman"/>
          <w:b w:val="0"/>
          <w:color w:val="auto"/>
          <w:kern w:val="2"/>
          <w:sz w:val="32"/>
          <w:szCs w:val="32"/>
          <w:lang w:val="en-US" w:eastAsia="zh-CN" w:bidi="ar-SA"/>
        </w:rPr>
        <w:t xml:space="preserve">  共同生活的家庭成员包括：配偶；未成年子女；已成年但不能独立生活的子女，包括在校接受全日制本科及以下学历教育的子女；其他具有法定赡养、扶养、抚养义务关系并长期共同居住的人员。</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第六条</w:t>
      </w:r>
      <w:r>
        <w:rPr>
          <w:rFonts w:hint="eastAsia" w:ascii="Times New Roman" w:hAnsi="Times New Roman" w:eastAsia="方正仿宋_GBK" w:cs="Times New Roman"/>
          <w:b w:val="0"/>
          <w:color w:val="auto"/>
          <w:kern w:val="2"/>
          <w:sz w:val="32"/>
          <w:szCs w:val="32"/>
          <w:lang w:val="en-US" w:eastAsia="zh-CN" w:bidi="ar-SA"/>
        </w:rPr>
        <w:t xml:space="preserve">  特殊情形的共同生活家庭成员认定：</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（一）连续3年以上（含3年）脱离家庭独立生活的宗教教职人员，在监狱内服刑、在戒毒所强制隔离戒毒人员或者宣告失踪的人员，不计入共同生活的家庭成员。</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（二）回到家庭生活的刑满释放、监外执行、保外就医人员，计入共同生活的家庭成员。</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第七条</w:t>
      </w:r>
      <w:r>
        <w:rPr>
          <w:rFonts w:hint="eastAsia" w:ascii="Times New Roman" w:hAnsi="Times New Roman" w:eastAsia="方正仿宋_GBK" w:cs="Times New Roman"/>
          <w:b w:val="0"/>
          <w:color w:val="auto"/>
          <w:kern w:val="2"/>
          <w:sz w:val="32"/>
          <w:szCs w:val="32"/>
          <w:lang w:val="en-US" w:eastAsia="zh-CN" w:bidi="ar-SA"/>
        </w:rPr>
        <w:t xml:space="preserve">  符合下列情形之一的人员，可以单独提出申请：</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（一）最低生活保障边缘家庭中持有中华人民共和国残疾人证的一级、二级重度残疾人和三级智力残疾人、三级精神残疾人。</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（二）最低生活保障边缘家庭中患有我区医保部门认定的重特大疾病的人员。</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（三）脱离家庭、在宗教场所居住3年以上（含3年）的生活困难宗教教职人员。</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（四）家庭月人均收入在当地最低生活保障标准3倍以内，靠父母、兄弟姐妹供养，已成年且丧失劳动能力的残疾人或者身患重特大疾病长期卧床不起的人员。</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（五）符合区民政局及上级民政部门相关文件规定的特殊困难人员。</w:t>
      </w:r>
    </w:p>
    <w:p>
      <w:pPr>
        <w:wordWrap/>
        <w:spacing w:line="560" w:lineRule="exact"/>
        <w:jc w:val="center"/>
        <w:rPr>
          <w:rFonts w:hint="eastAsia" w:ascii="方正黑体_GBK" w:hAnsi="方正黑体_GBK" w:eastAsia="方正黑体_GBK" w:cs="方正黑体_GBK"/>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第三章  家庭收入</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第八条</w:t>
      </w:r>
      <w:r>
        <w:rPr>
          <w:rFonts w:hint="eastAsia" w:ascii="Times New Roman" w:hAnsi="Times New Roman" w:eastAsia="方正仿宋_GBK" w:cs="Times New Roman"/>
          <w:b w:val="0"/>
          <w:color w:val="auto"/>
          <w:kern w:val="2"/>
          <w:sz w:val="32"/>
          <w:szCs w:val="32"/>
          <w:lang w:val="en-US" w:eastAsia="zh-CN" w:bidi="ar-SA"/>
        </w:rPr>
        <w:t xml:space="preserve">  家庭收入指共同生活的家庭成员在规定期限内获得的全部现金及实物收入。</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第九条</w:t>
      </w:r>
      <w:r>
        <w:rPr>
          <w:rFonts w:hint="eastAsia" w:ascii="Times New Roman" w:hAnsi="Times New Roman" w:eastAsia="方正仿宋_GBK" w:cs="Times New Roman"/>
          <w:b w:val="0"/>
          <w:color w:val="auto"/>
          <w:kern w:val="2"/>
          <w:sz w:val="32"/>
          <w:szCs w:val="32"/>
          <w:lang w:val="en-US" w:eastAsia="zh-CN" w:bidi="ar-SA"/>
        </w:rPr>
        <w:t xml:space="preserve">  获得最低生活保障，家庭月人均收入应当低于最低生活保障标准。家庭月人均收入，按照申请人家庭月收入总额除以核定的家庭人口数确定。</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第十条</w:t>
      </w:r>
      <w:r>
        <w:rPr>
          <w:rFonts w:hint="eastAsia" w:ascii="Times New Roman" w:hAnsi="Times New Roman" w:eastAsia="方正仿宋_GBK" w:cs="Times New Roman"/>
          <w:b w:val="0"/>
          <w:color w:val="auto"/>
          <w:kern w:val="2"/>
          <w:sz w:val="32"/>
          <w:szCs w:val="32"/>
          <w:lang w:val="en-US" w:eastAsia="zh-CN" w:bidi="ar-SA"/>
        </w:rPr>
        <w:t xml:space="preserve">  家庭收入主要包括：</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一）工资性收入。工资性收入指就业人员通过各种途径得到的全部劳动报酬和各种福利并扣除必要的就业成本，包括因任职或者受雇而取得的工资、薪金、奖金、劳动分红、津贴、补贴以及与任职或者受雇有关的其他所得等。</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稳定就业或长期在外务工人员的工资性收入，按用人单位劳资部门出具的收入证明计算，也可根据社会保险、个人所得税缴纳情况计算；不能提供收入证明或无法通过社会保险、个人所得税缴纳情况测算的，参照市级统计部门公布的上年度同行业就业人员平均工资计算。</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灵活就业人员劳务收入，参照市级统计部门公布的上年度同行业就业人员平均工资标准，按实际务工月数或天数据实计算。</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二）经营净收入。经营净收入指从事生产经营及有偿服务活动所获得全部经营收入扣除经营费用、生产性固定资产折旧和生产税等之后得到的收入，包括从事种植、养殖、采集及加工等农林牧渔业的生产收入，从事工业、建筑业、手工业、交通运输业、批发和零售贸易业、餐饮业、文教卫生业和社会服务业等经营及有偿服务活动的收入等。</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种植、养殖、采集及加工等农林牧渔业（规模化种植、养殖除外）收入，按照我区统计部门公布的农村常住居民人均可支配收入为核算基数，根据家庭成员劳动力系数指标折算核定。（详见附件）</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三）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转租承包土地经营权、出租或者出让房产以及其他不动产收入等。</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出让、租赁等收入，参照双方签订的相关合法有效合同计算；个人不能提供相关合同或合同确定的收入明显低于市场平均收益的，参照我区同类资产出让、租赁的平均价格计算。</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储蓄存款利息、有价证券红利、储蓄性保险投资以及其他股息和红利等按照金融机构提供的信息计算，集体财产收入分红等按集体出具的分配记录计算。</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土地、林地承包经营权流转收入按有关规定据实计算。</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四）转移净收入。转移净收入指转移性收入扣减转移性支出之后的收入。其中，转移性收入指国家、机关企事业单位、社会组织对居民的各种经常性转移支付和居民之间的经常性收入转移，包括赡养费、扶养费、抚养费、离退休金、失业保险金，遗属补助金、赔偿收入、接受捐赠（赠送）收入等；转移性支出指居民对国家、企事业单位、社会组织、居民的经常性转移支出，包括缴纳的税款、各项社会保障支出、赡养支出以及其他经常性转移支出等。</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赡养、扶养、抚养费，有离婚协议书、法院调解书、判决书的，按文书确定的金额认定；无文书确定的，每位被赡养、扶养、抚养人的赡养、扶养、抚养费收入按义务人家庭月人均收入减去最低生活保障标准后余额的20%计算。</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法定赡养、扶养、抚养义务人有下列情形的，视为暂无赡养、扶养、抚养能力，不计算赡养、扶养、抚养费：</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1．特困供养人员；</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2．最低生活保障家庭人员及最低生活保障边缘家庭人员；</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3．家庭中有重特大疾病患者、重度残疾人，造成家庭支出过大，实际生活困难的。</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（五）区管委会确定的其他应当计入家庭收入的项目。</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第十一条</w:t>
      </w:r>
      <w:r>
        <w:rPr>
          <w:rFonts w:hint="eastAsia" w:ascii="Times New Roman" w:hAnsi="Times New Roman" w:eastAsia="方正仿宋_GBK" w:cs="Times New Roman"/>
          <w:b w:val="0"/>
          <w:color w:val="auto"/>
          <w:kern w:val="2"/>
          <w:sz w:val="32"/>
          <w:szCs w:val="32"/>
          <w:lang w:val="en-US" w:eastAsia="zh-CN" w:bidi="ar-SA"/>
        </w:rPr>
        <w:t xml:space="preserve">  不应当计入家庭收入的项目包括：</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一）国家规定的优待抚恤金、计划生育奖励与扶助金、奖学金、见义勇为等奖励性补助；老党员定期补助，经济困难的高龄失能老年人养老服务补贴，家庭经济困难学生助学金及生活补助，精简退职职工定期定量救济金、困难残疾人生活补贴、重度残疾人护理补贴。</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（二）政府发放的各类社会救助款物，低保金、特困金、孤儿生活保障金除外。</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（三）“十四五”期间中央确定的城乡居民基本养老保险基础养老金。</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（四）因重大疾病、重大灾害出卖唯一住房的销售款。</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（五）区管委会确定的其他不应当计入家庭收入的项目。</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共同生活的家庭成员因残疾、因患重病、因学等增加的刚性支出、必要的就业成本等，在核算家庭收入时可按规定适当扣减，扣减标准按以下规定执行：</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1．因残支出：家庭成员因意外、因灾害等原因造成身体残疾，为恢复基本自理能力而产生的必要的康复治疗、康复训练、照料护理、康复辅具等费用，按自负部分据实扣减。</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2．因病支出：家庭成员一年内因病住院（或门诊）按规定享受基本医疗保险、大病保险、医疗救助等政策后，个人负担的医疗费用根据发票（或医保部门提供的医疗数据）据实予以扣减，非意外原因实施医美项目的不予扣减。</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3．因学支出：家庭成员在国内全日制普通本科高校、高等专科学校、高等职业学校、普通高中在校就读期间负担（扣除各级政府各类救助补助、单位和个人捐赠）的学费、教材费、住宿费和交通费（不含飞机）等费用根据发票据实扣减；就学期间必要的生活费按当地低保标准每月予以扣减。</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4．就业成本分区内、市内、市外三种情形，分别按当地最低工资标准的10%、20%、30%予以扣除。</w:t>
      </w:r>
    </w:p>
    <w:p>
      <w:pPr>
        <w:wordWrap/>
        <w:spacing w:line="560" w:lineRule="exact"/>
        <w:ind w:firstLine="640" w:firstLineChars="200"/>
        <w:jc w:val="center"/>
        <w:rPr>
          <w:rFonts w:hint="eastAsia" w:ascii="方正黑体_GBK" w:hAnsi="方正黑体_GBK" w:eastAsia="方正黑体_GBK" w:cs="方正黑体_GBK"/>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第四章  家庭财产</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第十二条</w:t>
      </w:r>
      <w:r>
        <w:rPr>
          <w:rFonts w:hint="eastAsia" w:ascii="Times New Roman" w:hAnsi="Times New Roman" w:eastAsia="方正仿宋_GBK" w:cs="Times New Roman"/>
          <w:b w:val="0"/>
          <w:color w:val="auto"/>
          <w:kern w:val="2"/>
          <w:sz w:val="32"/>
          <w:szCs w:val="32"/>
          <w:lang w:val="en-US" w:eastAsia="zh-CN" w:bidi="ar-SA"/>
        </w:rPr>
        <w:t xml:space="preserve">  家庭财产是指共同生活的家庭成员拥有的全部动产和不动产。动产主要包括银行存款、证券、基金、商业保险、债权、互联网金融资产以及车辆等。不动产主要包括房屋、林木等定着物。</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第十三条</w:t>
      </w:r>
      <w:r>
        <w:rPr>
          <w:rFonts w:hint="eastAsia" w:ascii="Times New Roman" w:hAnsi="Times New Roman" w:eastAsia="方正仿宋_GBK" w:cs="Times New Roman"/>
          <w:b w:val="0"/>
          <w:color w:val="auto"/>
          <w:kern w:val="2"/>
          <w:sz w:val="32"/>
          <w:szCs w:val="32"/>
          <w:lang w:val="en-US" w:eastAsia="zh-CN" w:bidi="ar-SA"/>
        </w:rPr>
        <w:t xml:space="preserve">  家庭财产状况有下列情形之一的，视为不符合最低生活保障认定条件：</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（一）银行存款、证券、基金、商业保险、债权、互联网金融资产等人均总值，超过我区城市最低生活保障标准的24倍。</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（二）拥有2套及以上住房（不含C、D级危房），且人均拥有建筑面积超过最低住房保障标准3倍。</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（三）拥有出租或自营的商业门面、店铺。</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（四）拥有机动车辆（享受燃油补贴的残疾人机动轮椅车、普通两轮摩托车除外）、船舶、工程机械以及大型农机具等。</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（五）主动放弃合法收益的（因向国家捐赠个人财产导致基本生活困难的除外）。</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（六）法定赡、扶、抚养人拥有工程机械、经营性客货运车辆、大型农机具、船舶或两套（含两套）以上商品房的及管委会规定的其他情形。</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对于维持家庭生产生活的必需财产，可以在认定家庭财产状况时予以豁免。</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第十四条</w:t>
      </w:r>
      <w:r>
        <w:rPr>
          <w:rFonts w:hint="eastAsia" w:ascii="Times New Roman" w:hAnsi="Times New Roman" w:eastAsia="方正仿宋_GBK" w:cs="Times New Roman"/>
          <w:b w:val="0"/>
          <w:color w:val="auto"/>
          <w:kern w:val="2"/>
          <w:sz w:val="32"/>
          <w:szCs w:val="32"/>
          <w:lang w:val="en-US" w:eastAsia="zh-CN" w:bidi="ar-SA"/>
        </w:rPr>
        <w:t xml:space="preserve">  家庭财产采取实名认定，根据有关部门和管理单位的登记信息和实际拥有情况确认。</w:t>
      </w:r>
    </w:p>
    <w:p>
      <w:pPr>
        <w:wordWrap/>
        <w:spacing w:line="560" w:lineRule="exact"/>
        <w:ind w:firstLine="640" w:firstLineChars="200"/>
        <w:jc w:val="center"/>
        <w:rPr>
          <w:rFonts w:hint="eastAsia" w:ascii="方正黑体_GBK" w:hAnsi="方正黑体_GBK" w:eastAsia="方正黑体_GBK" w:cs="方正黑体_GBK"/>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第五章  家庭消费支出</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第十五条</w:t>
      </w:r>
      <w:r>
        <w:rPr>
          <w:rFonts w:hint="eastAsia" w:ascii="Times New Roman" w:hAnsi="Times New Roman" w:eastAsia="方正仿宋_GBK" w:cs="Times New Roman"/>
          <w:b w:val="0"/>
          <w:color w:val="auto"/>
          <w:kern w:val="2"/>
          <w:sz w:val="32"/>
          <w:szCs w:val="32"/>
          <w:lang w:val="en-US" w:eastAsia="zh-CN" w:bidi="ar-SA"/>
        </w:rPr>
        <w:t xml:space="preserve">  家庭消费支出是指共同生活的家庭成员在一定时期内的消费支出情况和实际生活状况。家庭消费支出根据调查核实情况认定。</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第十六条</w:t>
      </w:r>
      <w:r>
        <w:rPr>
          <w:rFonts w:hint="eastAsia" w:ascii="Times New Roman" w:hAnsi="Times New Roman" w:eastAsia="方正仿宋_GBK" w:cs="Times New Roman"/>
          <w:b w:val="0"/>
          <w:color w:val="auto"/>
          <w:kern w:val="2"/>
          <w:sz w:val="32"/>
          <w:szCs w:val="32"/>
          <w:lang w:val="en-US" w:eastAsia="zh-CN" w:bidi="ar-SA"/>
        </w:rPr>
        <w:t xml:space="preserve">  家庭消费支出有下列情形之一的，不能获得最低生活保障：</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（一）3年内修建自有住房、按揭或全款购买商品房（不含因灾重建、排危、国家基础设施建设拆迁房屋等唯一住房）或高标准装修住房；家庭发生重大变故，造成家庭基本生活困难的除外。</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（二）有非公派出国留学、义务教育、学前教育阶段缴纳超过低保标准12倍（含）以上学费（每人每年）在民办学校读书的。</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（三）近1年内自费出国旅游的。</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（四）自费购买商业保险，每人每年缴纳保险费用在低保标准12倍（含）以上的。</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（五）区管委会规定的其他情形。</w:t>
      </w:r>
    </w:p>
    <w:p>
      <w:pPr>
        <w:wordWrap/>
        <w:spacing w:line="560" w:lineRule="exact"/>
        <w:ind w:firstLine="640" w:firstLineChars="200"/>
        <w:jc w:val="center"/>
        <w:rPr>
          <w:rFonts w:hint="eastAsia" w:ascii="方正黑体_GBK" w:hAnsi="方正黑体_GBK" w:eastAsia="方正黑体_GBK" w:cs="方正黑体_GBK"/>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第六</w:t>
      </w:r>
      <w:bookmarkStart w:id="0" w:name="_GoBack"/>
      <w:bookmarkEnd w:id="0"/>
      <w:r>
        <w:rPr>
          <w:rFonts w:hint="eastAsia" w:ascii="方正黑体_GBK" w:hAnsi="方正黑体_GBK" w:eastAsia="方正黑体_GBK" w:cs="方正黑体_GBK"/>
          <w:b w:val="0"/>
          <w:color w:val="auto"/>
          <w:kern w:val="2"/>
          <w:sz w:val="32"/>
          <w:szCs w:val="32"/>
          <w:lang w:val="en-US" w:eastAsia="zh-CN" w:bidi="ar-SA"/>
        </w:rPr>
        <w:t>章  附则</w:t>
      </w:r>
    </w:p>
    <w:p>
      <w:pPr>
        <w:wordWrap/>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方正黑体_GBK" w:hAnsi="方正黑体_GBK" w:eastAsia="方正黑体_GBK" w:cs="方正黑体_GBK"/>
          <w:b w:val="0"/>
          <w:color w:val="auto"/>
          <w:kern w:val="2"/>
          <w:sz w:val="32"/>
          <w:szCs w:val="32"/>
          <w:lang w:val="en-US" w:eastAsia="zh-CN" w:bidi="ar-SA"/>
        </w:rPr>
        <w:t>第十七条</w:t>
      </w:r>
      <w:r>
        <w:rPr>
          <w:rFonts w:hint="eastAsia" w:ascii="Times New Roman" w:hAnsi="Times New Roman" w:eastAsia="方正仿宋_GBK" w:cs="Times New Roman"/>
          <w:b w:val="0"/>
          <w:color w:val="auto"/>
          <w:kern w:val="2"/>
          <w:sz w:val="32"/>
          <w:szCs w:val="32"/>
          <w:lang w:val="en-US" w:eastAsia="zh-CN" w:bidi="ar-SA"/>
        </w:rPr>
        <w:t xml:space="preserve">  本细则自印发之日起施行。《重庆市万盛经济技术开发区管委会关于印发重庆市万盛经济技术开发区城乡居民最低生活保障实施办法的通知》（万盛经开发〔2012〕49号）同时废止。</w:t>
      </w:r>
    </w:p>
    <w:p>
      <w:pPr>
        <w:wordWrap w:val="0"/>
        <w:spacing w:line="560" w:lineRule="exact"/>
        <w:ind w:firstLine="640" w:firstLineChars="200"/>
        <w:jc w:val="left"/>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附件：万盛经开区农村劳动力系数测算表</w:t>
      </w:r>
    </w:p>
    <w:p>
      <w:pPr>
        <w:wordWrap/>
        <w:spacing w:line="560" w:lineRule="exact"/>
        <w:jc w:val="left"/>
        <w:rPr>
          <w:rFonts w:hint="eastAsia" w:ascii="Times New Roman" w:hAnsi="Times New Roman" w:eastAsia="方正仿宋_GBK" w:cs="Times New Roman"/>
          <w:b w:val="0"/>
          <w:color w:val="auto"/>
          <w:kern w:val="2"/>
          <w:sz w:val="32"/>
          <w:szCs w:val="32"/>
          <w:lang w:val="en-US" w:eastAsia="zh-CN" w:bidi="ar-SA"/>
        </w:rPr>
      </w:pPr>
    </w:p>
    <w:p>
      <w:pPr>
        <w:wordWrap/>
        <w:spacing w:line="560" w:lineRule="exact"/>
        <w:jc w:val="left"/>
        <w:rPr>
          <w:rFonts w:hint="eastAsia" w:ascii="Times New Roman" w:hAnsi="Times New Roman" w:eastAsia="方正仿宋_GBK" w:cs="Times New Roman"/>
          <w:b w:val="0"/>
          <w:color w:val="auto"/>
          <w:kern w:val="2"/>
          <w:sz w:val="32"/>
          <w:szCs w:val="32"/>
          <w:lang w:val="en-US" w:eastAsia="zh-CN" w:bidi="ar-SA"/>
        </w:rPr>
      </w:pPr>
    </w:p>
    <w:p>
      <w:pPr>
        <w:wordWrap/>
        <w:spacing w:line="560" w:lineRule="exact"/>
        <w:jc w:val="right"/>
        <w:rPr>
          <w:rFonts w:hint="eastAsia" w:eastAsia="方正仿宋_GBK"/>
          <w:sz w:val="32"/>
          <w:szCs w:val="32"/>
        </w:rPr>
      </w:pPr>
      <w:r>
        <w:rPr>
          <w:rFonts w:eastAsia="方正仿宋_GBK"/>
          <w:sz w:val="32"/>
          <w:szCs w:val="32"/>
        </w:rPr>
        <w:t>万盛经开区管委会</w:t>
      </w:r>
      <w:r>
        <w:rPr>
          <w:rFonts w:hint="eastAsia" w:eastAsia="方正仿宋_GBK"/>
          <w:sz w:val="32"/>
          <w:szCs w:val="32"/>
        </w:rPr>
        <w:t xml:space="preserve">        </w:t>
      </w:r>
    </w:p>
    <w:p>
      <w:pPr>
        <w:wordWrap/>
        <w:spacing w:line="560" w:lineRule="exact"/>
        <w:jc w:val="right"/>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23</w:t>
      </w:r>
      <w:r>
        <w:rPr>
          <w:rFonts w:hint="eastAsia" w:ascii="方正仿宋_GBK" w:hAnsi="方正仿宋_GBK" w:eastAsia="方正仿宋_GBK" w:cs="方正仿宋_GBK"/>
          <w:sz w:val="32"/>
          <w:szCs w:val="32"/>
        </w:rPr>
        <w:t xml:space="preserve">日        </w:t>
      </w:r>
    </w:p>
    <w:p>
      <w:pPr>
        <w:spacing w:line="574" w:lineRule="exact"/>
        <w:ind w:firstLine="640" w:firstLineChars="200"/>
        <w:jc w:val="left"/>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（此件公开发布）</w:t>
      </w:r>
    </w:p>
    <w:tbl>
      <w:tblPr>
        <w:tblStyle w:val="11"/>
        <w:tblW w:w="5000" w:type="pct"/>
        <w:tblInd w:w="0" w:type="dxa"/>
        <w:tblLayout w:type="autofit"/>
        <w:tblCellMar>
          <w:top w:w="0" w:type="dxa"/>
          <w:left w:w="108" w:type="dxa"/>
          <w:bottom w:w="0" w:type="dxa"/>
          <w:right w:w="108" w:type="dxa"/>
        </w:tblCellMar>
      </w:tblPr>
      <w:tblGrid>
        <w:gridCol w:w="3005"/>
        <w:gridCol w:w="1452"/>
        <w:gridCol w:w="1125"/>
        <w:gridCol w:w="1236"/>
        <w:gridCol w:w="951"/>
        <w:gridCol w:w="1292"/>
      </w:tblGrid>
      <w:tr>
        <w:tblPrEx>
          <w:tblCellMar>
            <w:top w:w="0" w:type="dxa"/>
            <w:left w:w="108" w:type="dxa"/>
            <w:bottom w:w="0" w:type="dxa"/>
            <w:right w:w="108" w:type="dxa"/>
          </w:tblCellMar>
        </w:tblPrEx>
        <w:trPr>
          <w:trHeight w:val="364" w:hRule="atLeast"/>
        </w:trPr>
        <w:tc>
          <w:tcPr>
            <w:tcW w:w="5000" w:type="pct"/>
            <w:gridSpan w:val="6"/>
            <w:tcBorders>
              <w:top w:val="nil"/>
              <w:left w:val="nil"/>
              <w:bottom w:val="single" w:color="auto" w:sz="4" w:space="0"/>
              <w:right w:val="nil"/>
            </w:tcBorders>
            <w:noWrap w:val="0"/>
            <w:vAlign w:val="center"/>
          </w:tcPr>
          <w:p>
            <w:pPr>
              <w:jc w:val="center"/>
              <w:textAlignment w:val="center"/>
              <w:rPr>
                <w:rFonts w:ascii="Times New Roman" w:hAnsi="Times New Roman" w:eastAsia="方正仿宋_GBK"/>
                <w:b/>
                <w:bCs/>
                <w:color w:val="000000"/>
                <w:sz w:val="48"/>
                <w:szCs w:val="48"/>
              </w:rPr>
            </w:pPr>
            <w:r>
              <w:rPr>
                <w:rFonts w:ascii="Times New Roman" w:hAnsi="Times New Roman" w:eastAsia="方正小标宋_GBK"/>
                <w:color w:val="000000"/>
                <w:kern w:val="0"/>
                <w:sz w:val="36"/>
                <w:szCs w:val="36"/>
                <w:lang w:bidi="ar"/>
              </w:rPr>
              <w:t>万盛经开区农村低保劳动力系数测算标准</w:t>
            </w:r>
          </w:p>
        </w:tc>
      </w:tr>
      <w:tr>
        <w:tblPrEx>
          <w:tblCellMar>
            <w:top w:w="0" w:type="dxa"/>
            <w:left w:w="108" w:type="dxa"/>
            <w:bottom w:w="0" w:type="dxa"/>
            <w:right w:w="108" w:type="dxa"/>
          </w:tblCellMar>
        </w:tblPrEx>
        <w:trPr>
          <w:trHeight w:val="785" w:hRule="atLeast"/>
        </w:trPr>
        <w:tc>
          <w:tcPr>
            <w:tcW w:w="165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类别及等级</w:t>
            </w:r>
          </w:p>
        </w:tc>
        <w:tc>
          <w:tcPr>
            <w:tcW w:w="80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男18周岁-60周岁女18周岁-55周岁</w:t>
            </w:r>
          </w:p>
        </w:tc>
        <w:tc>
          <w:tcPr>
            <w:tcW w:w="62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男61周岁-65周岁，女56周岁-60周岁</w:t>
            </w:r>
          </w:p>
        </w:tc>
        <w:tc>
          <w:tcPr>
            <w:tcW w:w="68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男65周岁以上，女60周岁以上，70周岁以下</w:t>
            </w:r>
          </w:p>
        </w:tc>
        <w:tc>
          <w:tcPr>
            <w:tcW w:w="52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71周岁-79周岁</w:t>
            </w:r>
          </w:p>
        </w:tc>
        <w:tc>
          <w:tcPr>
            <w:tcW w:w="71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spacing w:val="-6"/>
                <w:kern w:val="0"/>
                <w:sz w:val="24"/>
                <w:lang w:bidi="ar"/>
              </w:rPr>
              <w:t>18周岁以下人员及在校学生、80周岁以上</w:t>
            </w:r>
          </w:p>
        </w:tc>
      </w:tr>
      <w:tr>
        <w:tblPrEx>
          <w:tblCellMar>
            <w:top w:w="0" w:type="dxa"/>
            <w:left w:w="108" w:type="dxa"/>
            <w:bottom w:w="0" w:type="dxa"/>
            <w:right w:w="108" w:type="dxa"/>
          </w:tblCellMar>
        </w:tblPrEx>
        <w:trPr>
          <w:trHeight w:val="90" w:hRule="atLeast"/>
        </w:trPr>
        <w:tc>
          <w:tcPr>
            <w:tcW w:w="165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eastAsia="方正仿宋_GBK"/>
                <w:color w:val="000000"/>
                <w:sz w:val="24"/>
              </w:rPr>
            </w:pPr>
          </w:p>
        </w:tc>
        <w:tc>
          <w:tcPr>
            <w:tcW w:w="80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系数</w:t>
            </w:r>
          </w:p>
        </w:tc>
        <w:tc>
          <w:tcPr>
            <w:tcW w:w="62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系数</w:t>
            </w:r>
          </w:p>
        </w:tc>
        <w:tc>
          <w:tcPr>
            <w:tcW w:w="68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系数</w:t>
            </w:r>
          </w:p>
        </w:tc>
        <w:tc>
          <w:tcPr>
            <w:tcW w:w="52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系数</w:t>
            </w:r>
          </w:p>
        </w:tc>
        <w:tc>
          <w:tcPr>
            <w:tcW w:w="71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系数</w:t>
            </w:r>
          </w:p>
        </w:tc>
      </w:tr>
      <w:tr>
        <w:tblPrEx>
          <w:tblCellMar>
            <w:top w:w="0" w:type="dxa"/>
            <w:left w:w="108" w:type="dxa"/>
            <w:bottom w:w="0" w:type="dxa"/>
            <w:right w:w="108" w:type="dxa"/>
          </w:tblCellMar>
        </w:tblPrEx>
        <w:trPr>
          <w:trHeight w:val="325" w:hRule="atLeast"/>
        </w:trPr>
        <w:tc>
          <w:tcPr>
            <w:tcW w:w="1658" w:type="pct"/>
            <w:tcBorders>
              <w:top w:val="single" w:color="auto" w:sz="4" w:space="0"/>
              <w:left w:val="single" w:color="000000" w:sz="4" w:space="0"/>
              <w:bottom w:val="single" w:color="000000" w:sz="4" w:space="0"/>
              <w:right w:val="single" w:color="000000"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正常人员</w:t>
            </w:r>
          </w:p>
        </w:tc>
        <w:tc>
          <w:tcPr>
            <w:tcW w:w="801" w:type="pct"/>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1</w:t>
            </w:r>
          </w:p>
        </w:tc>
        <w:tc>
          <w:tcPr>
            <w:tcW w:w="621" w:type="pct"/>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0.4</w:t>
            </w:r>
          </w:p>
        </w:tc>
        <w:tc>
          <w:tcPr>
            <w:tcW w:w="682" w:type="pct"/>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525" w:type="pct"/>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711" w:type="pct"/>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r>
      <w:tr>
        <w:tblPrEx>
          <w:tblCellMar>
            <w:top w:w="0" w:type="dxa"/>
            <w:left w:w="108" w:type="dxa"/>
            <w:bottom w:w="0" w:type="dxa"/>
            <w:right w:w="108" w:type="dxa"/>
          </w:tblCellMar>
        </w:tblPrEx>
        <w:trPr>
          <w:trHeight w:val="90" w:hRule="atLeast"/>
        </w:trPr>
        <w:tc>
          <w:tcPr>
            <w:tcW w:w="165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有部分劳动能力的残疾人员（智力、精神、语言、听力残疾</w:t>
            </w:r>
            <w:r>
              <w:rPr>
                <w:rStyle w:val="15"/>
                <w:rFonts w:eastAsia="方正仿宋_GBK"/>
                <w:lang w:bidi="ar"/>
              </w:rPr>
              <w:t>4</w:t>
            </w:r>
            <w:r>
              <w:rPr>
                <w:rStyle w:val="16"/>
                <w:rFonts w:hint="default" w:ascii="Times New Roman" w:hAnsi="Times New Roman" w:cs="Times New Roman"/>
                <w:lang w:bidi="ar"/>
              </w:rPr>
              <w:t>级）</w:t>
            </w:r>
          </w:p>
        </w:tc>
        <w:tc>
          <w:tcPr>
            <w:tcW w:w="80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0.6</w:t>
            </w:r>
          </w:p>
        </w:tc>
        <w:tc>
          <w:tcPr>
            <w:tcW w:w="62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0.3</w:t>
            </w:r>
          </w:p>
        </w:tc>
        <w:tc>
          <w:tcPr>
            <w:tcW w:w="682"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525"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r>
      <w:tr>
        <w:tblPrEx>
          <w:tblCellMar>
            <w:top w:w="0" w:type="dxa"/>
            <w:left w:w="108" w:type="dxa"/>
            <w:bottom w:w="0" w:type="dxa"/>
            <w:right w:w="108" w:type="dxa"/>
          </w:tblCellMar>
        </w:tblPrEx>
        <w:trPr>
          <w:trHeight w:val="315" w:hRule="atLeast"/>
        </w:trPr>
        <w:tc>
          <w:tcPr>
            <w:tcW w:w="165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肢体、视力残疾</w:t>
            </w:r>
            <w:r>
              <w:rPr>
                <w:rStyle w:val="15"/>
                <w:rFonts w:eastAsia="方正仿宋_GBK"/>
                <w:lang w:bidi="ar"/>
              </w:rPr>
              <w:t>4</w:t>
            </w:r>
            <w:r>
              <w:rPr>
                <w:rStyle w:val="16"/>
                <w:rFonts w:hint="default" w:ascii="Times New Roman" w:hAnsi="Times New Roman" w:cs="Times New Roman"/>
                <w:lang w:bidi="ar"/>
              </w:rPr>
              <w:t>级</w:t>
            </w:r>
          </w:p>
        </w:tc>
        <w:tc>
          <w:tcPr>
            <w:tcW w:w="80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0.5</w:t>
            </w:r>
          </w:p>
        </w:tc>
        <w:tc>
          <w:tcPr>
            <w:tcW w:w="62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0.2</w:t>
            </w:r>
          </w:p>
        </w:tc>
        <w:tc>
          <w:tcPr>
            <w:tcW w:w="682"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525"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r>
      <w:tr>
        <w:tblPrEx>
          <w:tblCellMar>
            <w:top w:w="0" w:type="dxa"/>
            <w:left w:w="108" w:type="dxa"/>
            <w:bottom w:w="0" w:type="dxa"/>
            <w:right w:w="108" w:type="dxa"/>
          </w:tblCellMar>
        </w:tblPrEx>
        <w:trPr>
          <w:trHeight w:val="350" w:hRule="atLeast"/>
        </w:trPr>
        <w:tc>
          <w:tcPr>
            <w:tcW w:w="165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患有慢性疾病人员（病种附后）</w:t>
            </w:r>
          </w:p>
        </w:tc>
        <w:tc>
          <w:tcPr>
            <w:tcW w:w="80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0.4</w:t>
            </w:r>
          </w:p>
        </w:tc>
        <w:tc>
          <w:tcPr>
            <w:tcW w:w="62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0.2</w:t>
            </w:r>
          </w:p>
        </w:tc>
        <w:tc>
          <w:tcPr>
            <w:tcW w:w="682"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525"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r>
      <w:tr>
        <w:tblPrEx>
          <w:tblCellMar>
            <w:top w:w="0" w:type="dxa"/>
            <w:left w:w="108" w:type="dxa"/>
            <w:bottom w:w="0" w:type="dxa"/>
            <w:right w:w="108" w:type="dxa"/>
          </w:tblCellMar>
        </w:tblPrEx>
        <w:trPr>
          <w:trHeight w:val="530" w:hRule="atLeast"/>
        </w:trPr>
        <w:tc>
          <w:tcPr>
            <w:tcW w:w="165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有少部分劳动能力的残疾人员（语言、听力、残疾</w:t>
            </w:r>
            <w:r>
              <w:rPr>
                <w:rStyle w:val="15"/>
                <w:rFonts w:eastAsia="方正仿宋_GBK"/>
                <w:lang w:bidi="ar"/>
              </w:rPr>
              <w:t>3</w:t>
            </w:r>
            <w:r>
              <w:rPr>
                <w:rStyle w:val="16"/>
                <w:rFonts w:hint="default" w:ascii="Times New Roman" w:hAnsi="Times New Roman" w:cs="Times New Roman"/>
                <w:lang w:bidi="ar"/>
              </w:rPr>
              <w:t>级）</w:t>
            </w:r>
          </w:p>
        </w:tc>
        <w:tc>
          <w:tcPr>
            <w:tcW w:w="80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0.2</w:t>
            </w:r>
          </w:p>
        </w:tc>
        <w:tc>
          <w:tcPr>
            <w:tcW w:w="62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682"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525"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r>
      <w:tr>
        <w:tblPrEx>
          <w:tblCellMar>
            <w:top w:w="0" w:type="dxa"/>
            <w:left w:w="108" w:type="dxa"/>
            <w:bottom w:w="0" w:type="dxa"/>
            <w:right w:w="108" w:type="dxa"/>
          </w:tblCellMar>
        </w:tblPrEx>
        <w:trPr>
          <w:trHeight w:val="831" w:hRule="atLeast"/>
        </w:trPr>
        <w:tc>
          <w:tcPr>
            <w:tcW w:w="165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完全丧失劳动能力的重残人员（</w:t>
            </w:r>
            <w:r>
              <w:rPr>
                <w:rStyle w:val="15"/>
                <w:rFonts w:eastAsia="方正仿宋_GBK"/>
                <w:lang w:bidi="ar"/>
              </w:rPr>
              <w:t>1</w:t>
            </w:r>
            <w:r>
              <w:rPr>
                <w:rStyle w:val="16"/>
                <w:rFonts w:hint="default" w:ascii="Times New Roman" w:hAnsi="Times New Roman" w:cs="Times New Roman"/>
                <w:lang w:bidi="ar"/>
              </w:rPr>
              <w:t>、</w:t>
            </w:r>
            <w:r>
              <w:rPr>
                <w:rStyle w:val="15"/>
                <w:rFonts w:eastAsia="方正仿宋_GBK"/>
                <w:lang w:bidi="ar"/>
              </w:rPr>
              <w:t>2</w:t>
            </w:r>
            <w:r>
              <w:rPr>
                <w:rStyle w:val="16"/>
                <w:rFonts w:hint="default" w:ascii="Times New Roman" w:hAnsi="Times New Roman" w:cs="Times New Roman"/>
                <w:lang w:bidi="ar"/>
              </w:rPr>
              <w:t>级残疾人；</w:t>
            </w:r>
            <w:r>
              <w:rPr>
                <w:rStyle w:val="15"/>
                <w:rFonts w:eastAsia="方正仿宋_GBK"/>
                <w:lang w:bidi="ar"/>
              </w:rPr>
              <w:t>3</w:t>
            </w:r>
            <w:r>
              <w:rPr>
                <w:rStyle w:val="16"/>
                <w:rFonts w:hint="default" w:ascii="Times New Roman" w:hAnsi="Times New Roman" w:cs="Times New Roman"/>
                <w:lang w:bidi="ar"/>
              </w:rPr>
              <w:t>级智力、精神、肢体、视力残疾）；重病且完全丧失劳动能力人员</w:t>
            </w:r>
          </w:p>
        </w:tc>
        <w:tc>
          <w:tcPr>
            <w:tcW w:w="80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62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682"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525"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c>
          <w:tcPr>
            <w:tcW w:w="711"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0</w:t>
            </w:r>
          </w:p>
        </w:tc>
      </w:tr>
      <w:tr>
        <w:tblPrEx>
          <w:tblCellMar>
            <w:top w:w="0" w:type="dxa"/>
            <w:left w:w="108" w:type="dxa"/>
            <w:bottom w:w="0" w:type="dxa"/>
            <w:right w:w="108" w:type="dxa"/>
          </w:tblCellMar>
        </w:tblPrEx>
        <w:trPr>
          <w:trHeight w:val="90" w:hRule="atLeast"/>
        </w:trPr>
        <w:tc>
          <w:tcPr>
            <w:tcW w:w="165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center"/>
              <w:rPr>
                <w:rFonts w:ascii="Times New Roman" w:hAnsi="Times New Roman" w:eastAsia="方正仿宋_GBK"/>
                <w:color w:val="000000"/>
                <w:sz w:val="24"/>
              </w:rPr>
            </w:pPr>
            <w:r>
              <w:rPr>
                <w:rStyle w:val="16"/>
                <w:rFonts w:hint="default" w:ascii="Times New Roman" w:hAnsi="Times New Roman" w:cs="Times New Roman"/>
                <w:lang w:bidi="ar"/>
              </w:rPr>
              <w:t>家庭劳动力系数扣减条件</w:t>
            </w:r>
          </w:p>
        </w:tc>
        <w:tc>
          <w:tcPr>
            <w:tcW w:w="3341" w:type="pct"/>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1.</w:t>
            </w:r>
            <w:r>
              <w:rPr>
                <w:rStyle w:val="16"/>
                <w:rFonts w:hint="default" w:ascii="Times New Roman" w:hAnsi="Times New Roman" w:cs="Times New Roman"/>
                <w:lang w:bidi="ar"/>
              </w:rPr>
              <w:t>长期共同生活的有</w:t>
            </w:r>
            <w:r>
              <w:rPr>
                <w:rStyle w:val="15"/>
                <w:rFonts w:eastAsia="方正仿宋_GBK"/>
                <w:lang w:bidi="ar"/>
              </w:rPr>
              <w:t>1</w:t>
            </w:r>
            <w:r>
              <w:rPr>
                <w:rStyle w:val="16"/>
                <w:rFonts w:hint="default" w:ascii="Times New Roman" w:hAnsi="Times New Roman" w:cs="Times New Roman"/>
                <w:lang w:bidi="ar"/>
              </w:rPr>
              <w:t>名需要照顾的完全丧失劳动能力的重残人员家庭、重病人员家庭</w:t>
            </w:r>
            <w:r>
              <w:rPr>
                <w:rStyle w:val="15"/>
                <w:rFonts w:eastAsia="方正仿宋_GBK"/>
                <w:lang w:bidi="ar"/>
              </w:rPr>
              <w:t>,</w:t>
            </w:r>
            <w:r>
              <w:rPr>
                <w:rStyle w:val="16"/>
                <w:rFonts w:hint="default" w:ascii="Times New Roman" w:hAnsi="Times New Roman" w:cs="Times New Roman"/>
                <w:lang w:bidi="ar"/>
              </w:rPr>
              <w:t>家庭劳动力系数扣减</w:t>
            </w:r>
            <w:r>
              <w:rPr>
                <w:rStyle w:val="15"/>
                <w:rFonts w:eastAsia="方正仿宋_GBK"/>
                <w:lang w:bidi="ar"/>
              </w:rPr>
              <w:t>0.3</w:t>
            </w:r>
            <w:r>
              <w:rPr>
                <w:rStyle w:val="16"/>
                <w:rFonts w:hint="default" w:ascii="Times New Roman" w:hAnsi="Times New Roman" w:cs="Times New Roman"/>
                <w:lang w:bidi="ar"/>
              </w:rPr>
              <w:t>；有</w:t>
            </w:r>
            <w:r>
              <w:rPr>
                <w:rStyle w:val="15"/>
                <w:rFonts w:eastAsia="方正仿宋_GBK"/>
                <w:lang w:bidi="ar"/>
              </w:rPr>
              <w:t>2</w:t>
            </w:r>
            <w:r>
              <w:rPr>
                <w:rStyle w:val="16"/>
                <w:rFonts w:hint="default" w:ascii="Times New Roman" w:hAnsi="Times New Roman" w:cs="Times New Roman"/>
                <w:lang w:bidi="ar"/>
              </w:rPr>
              <w:t>名以上（含</w:t>
            </w:r>
            <w:r>
              <w:rPr>
                <w:rStyle w:val="15"/>
                <w:rFonts w:eastAsia="方正仿宋_GBK"/>
                <w:lang w:bidi="ar"/>
              </w:rPr>
              <w:t>2</w:t>
            </w:r>
            <w:r>
              <w:rPr>
                <w:rStyle w:val="16"/>
                <w:rFonts w:hint="default" w:ascii="Times New Roman" w:hAnsi="Times New Roman" w:cs="Times New Roman"/>
                <w:lang w:bidi="ar"/>
              </w:rPr>
              <w:t>名）需要照顾的完全丧失劳动能力的重残、重病人员家庭，家庭劳动力系数扣减</w:t>
            </w:r>
            <w:r>
              <w:rPr>
                <w:rStyle w:val="15"/>
                <w:rFonts w:eastAsia="方正仿宋_GBK"/>
                <w:lang w:bidi="ar"/>
              </w:rPr>
              <w:t>0.5</w:t>
            </w:r>
            <w:r>
              <w:rPr>
                <w:rStyle w:val="16"/>
                <w:rFonts w:hint="default" w:ascii="Times New Roman" w:hAnsi="Times New Roman" w:cs="Times New Roman"/>
                <w:lang w:bidi="ar"/>
              </w:rPr>
              <w:t>。</w:t>
            </w:r>
            <w:r>
              <w:rPr>
                <w:rStyle w:val="15"/>
                <w:rFonts w:eastAsia="方正仿宋_GBK"/>
                <w:lang w:bidi="ar"/>
              </w:rPr>
              <w:t>2.</w:t>
            </w:r>
            <w:r>
              <w:rPr>
                <w:rStyle w:val="16"/>
                <w:rFonts w:hint="default" w:ascii="Times New Roman" w:hAnsi="Times New Roman" w:cs="Times New Roman"/>
                <w:lang w:bidi="ar"/>
              </w:rPr>
              <w:t>家庭中有需要照顾的</w:t>
            </w:r>
            <w:r>
              <w:rPr>
                <w:rStyle w:val="15"/>
                <w:rFonts w:eastAsia="方正仿宋_GBK"/>
                <w:lang w:bidi="ar"/>
              </w:rPr>
              <w:t>80</w:t>
            </w:r>
            <w:r>
              <w:rPr>
                <w:rStyle w:val="16"/>
                <w:rFonts w:hint="default" w:ascii="Times New Roman" w:hAnsi="Times New Roman" w:cs="Times New Roman"/>
                <w:lang w:bidi="ar"/>
              </w:rPr>
              <w:t>周岁以上的高龄高人和</w:t>
            </w:r>
            <w:r>
              <w:rPr>
                <w:rStyle w:val="15"/>
                <w:rFonts w:eastAsia="方正仿宋_GBK"/>
                <w:lang w:bidi="ar"/>
              </w:rPr>
              <w:t>3</w:t>
            </w:r>
            <w:r>
              <w:rPr>
                <w:rStyle w:val="16"/>
                <w:rFonts w:hint="default" w:ascii="Times New Roman" w:hAnsi="Times New Roman" w:cs="Times New Roman"/>
                <w:lang w:bidi="ar"/>
              </w:rPr>
              <w:t>周岁以下的婴幼儿</w:t>
            </w:r>
            <w:r>
              <w:rPr>
                <w:rStyle w:val="15"/>
                <w:rFonts w:eastAsia="方正仿宋_GBK"/>
                <w:lang w:bidi="ar"/>
              </w:rPr>
              <w:t>,</w:t>
            </w:r>
            <w:r>
              <w:rPr>
                <w:rStyle w:val="16"/>
                <w:rFonts w:hint="default" w:ascii="Times New Roman" w:hAnsi="Times New Roman" w:cs="Times New Roman"/>
                <w:lang w:bidi="ar"/>
              </w:rPr>
              <w:t>每名扣减劳动力系数</w:t>
            </w:r>
            <w:r>
              <w:rPr>
                <w:rStyle w:val="15"/>
                <w:rFonts w:eastAsia="方正仿宋_GBK"/>
                <w:lang w:bidi="ar"/>
              </w:rPr>
              <w:t>0.2</w:t>
            </w:r>
            <w:r>
              <w:rPr>
                <w:rStyle w:val="16"/>
                <w:rFonts w:hint="default" w:ascii="Times New Roman" w:hAnsi="Times New Roman" w:cs="Times New Roman"/>
                <w:lang w:bidi="ar"/>
              </w:rPr>
              <w:t>。</w:t>
            </w:r>
            <w:r>
              <w:rPr>
                <w:rStyle w:val="15"/>
                <w:rFonts w:eastAsia="方正仿宋_GBK"/>
                <w:lang w:bidi="ar"/>
              </w:rPr>
              <w:t>3.</w:t>
            </w:r>
            <w:r>
              <w:rPr>
                <w:rStyle w:val="16"/>
                <w:rFonts w:hint="default" w:ascii="Times New Roman" w:hAnsi="Times New Roman" w:cs="Times New Roman"/>
                <w:lang w:bidi="ar"/>
              </w:rPr>
              <w:t>当家庭劳动力系数扣减后出现负数时，按</w:t>
            </w:r>
            <w:r>
              <w:rPr>
                <w:rStyle w:val="15"/>
                <w:rFonts w:eastAsia="方正仿宋_GBK"/>
                <w:lang w:bidi="ar"/>
              </w:rPr>
              <w:t>0</w:t>
            </w:r>
            <w:r>
              <w:rPr>
                <w:rStyle w:val="16"/>
                <w:rFonts w:hint="default" w:ascii="Times New Roman" w:hAnsi="Times New Roman" w:cs="Times New Roman"/>
                <w:lang w:bidi="ar"/>
              </w:rPr>
              <w:t>系数计算。</w:t>
            </w:r>
          </w:p>
        </w:tc>
      </w:tr>
      <w:tr>
        <w:tblPrEx>
          <w:tblCellMar>
            <w:top w:w="0" w:type="dxa"/>
            <w:left w:w="108" w:type="dxa"/>
            <w:bottom w:w="0" w:type="dxa"/>
            <w:right w:w="108" w:type="dxa"/>
          </w:tblCellMar>
        </w:tblPrEx>
        <w:trPr>
          <w:trHeight w:val="1573"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center"/>
              <w:rPr>
                <w:rFonts w:ascii="Times New Roman" w:hAnsi="Times New Roman" w:eastAsia="方正仿宋_GBK"/>
                <w:color w:val="000000"/>
                <w:sz w:val="24"/>
              </w:rPr>
            </w:pPr>
            <w:r>
              <w:rPr>
                <w:rFonts w:ascii="Times New Roman" w:hAnsi="Times New Roman" w:eastAsia="方正仿宋_GBK"/>
                <w:color w:val="000000"/>
                <w:kern w:val="0"/>
                <w:sz w:val="22"/>
                <w:szCs w:val="22"/>
                <w:lang w:bidi="ar"/>
              </w:rPr>
              <w:t>1</w:t>
            </w:r>
            <w:r>
              <w:rPr>
                <w:rStyle w:val="16"/>
                <w:rFonts w:hint="default" w:ascii="Times New Roman" w:hAnsi="Times New Roman" w:cs="Times New Roman"/>
                <w:sz w:val="22"/>
                <w:szCs w:val="22"/>
                <w:lang w:bidi="ar"/>
              </w:rPr>
              <w:t>、重病范围：凭二级以上医院出具的检查报告中患有以下病种的人员：血友病、恶性肿瘤晚期、肾功能衰竭透析治疗的病人、糖尿病并发症、系统性红斑狼疮晚期、心肌梗塞、脑中风、风湿性心斑膜病、肝硬化（失代偿期）、再生障碍性贫血晚期、严重多器官衰竭（心、肝、肺、脑、肾）、肾脏、心脏瓣膜、造血干细胞移植术后的抗排异治疗、儿童先心病、艾滋病机会性感染。</w:t>
            </w:r>
            <w:r>
              <w:rPr>
                <w:rStyle w:val="15"/>
                <w:rFonts w:eastAsia="方正仿宋_GBK"/>
                <w:sz w:val="22"/>
                <w:szCs w:val="22"/>
                <w:lang w:bidi="ar"/>
              </w:rPr>
              <w:br w:type="textWrapping"/>
            </w:r>
            <w:r>
              <w:rPr>
                <w:rStyle w:val="15"/>
                <w:rFonts w:eastAsia="方正仿宋_GBK"/>
                <w:sz w:val="22"/>
                <w:szCs w:val="22"/>
                <w:lang w:bidi="ar"/>
              </w:rPr>
              <w:t>2</w:t>
            </w:r>
            <w:r>
              <w:rPr>
                <w:rStyle w:val="16"/>
                <w:rFonts w:hint="default" w:ascii="Times New Roman" w:hAnsi="Times New Roman" w:cs="Times New Roman"/>
                <w:sz w:val="22"/>
                <w:szCs w:val="22"/>
                <w:lang w:bidi="ar"/>
              </w:rPr>
              <w:t>、慢性病范围：凭二级以上医院出具的患有以下病种的人员：脑血管意外后遗症、系统性红斑狼疮、结核病、精神分裂症、偏执型精神障碍、躁狂抑郁症、高血压（伴有心、脑、肾、眼等并发症之一）、糖尿病、冠心病、支气管哮喘、慢性支气管炎伴阻塞性肺气肿、慢性肺源性心脏病。</w:t>
            </w:r>
            <w:r>
              <w:rPr>
                <w:rStyle w:val="15"/>
                <w:rFonts w:eastAsia="方正仿宋_GBK"/>
                <w:sz w:val="22"/>
                <w:szCs w:val="22"/>
                <w:lang w:bidi="ar"/>
              </w:rPr>
              <w:br w:type="textWrapping"/>
            </w:r>
            <w:r>
              <w:rPr>
                <w:rStyle w:val="15"/>
                <w:rFonts w:eastAsia="方正仿宋_GBK"/>
                <w:sz w:val="22"/>
                <w:szCs w:val="22"/>
                <w:lang w:bidi="ar"/>
              </w:rPr>
              <w:t>3</w:t>
            </w:r>
            <w:r>
              <w:rPr>
                <w:rStyle w:val="16"/>
                <w:rFonts w:hint="default" w:ascii="Times New Roman" w:hAnsi="Times New Roman" w:cs="Times New Roman"/>
                <w:sz w:val="22"/>
                <w:szCs w:val="22"/>
                <w:lang w:bidi="ar"/>
              </w:rPr>
              <w:t>、成员农业生产经营月收入</w:t>
            </w:r>
            <w:r>
              <w:rPr>
                <w:rStyle w:val="15"/>
                <w:rFonts w:eastAsia="方正仿宋_GBK"/>
                <w:sz w:val="22"/>
                <w:szCs w:val="22"/>
                <w:lang w:bidi="ar"/>
              </w:rPr>
              <w:t>=</w:t>
            </w:r>
            <w:r>
              <w:rPr>
                <w:rStyle w:val="16"/>
                <w:rFonts w:hint="default" w:ascii="Times New Roman" w:hAnsi="Times New Roman" w:cs="Times New Roman"/>
                <w:sz w:val="22"/>
                <w:szCs w:val="22"/>
                <w:lang w:bidi="ar"/>
              </w:rPr>
              <w:t>上年度农村常住居民人均可支配收入</w:t>
            </w:r>
            <w:r>
              <w:rPr>
                <w:rStyle w:val="15"/>
                <w:rFonts w:eastAsia="方正仿宋_GBK"/>
                <w:sz w:val="22"/>
                <w:szCs w:val="22"/>
                <w:lang w:bidi="ar"/>
              </w:rPr>
              <w:t>×60%/12×</w:t>
            </w:r>
            <w:r>
              <w:rPr>
                <w:rStyle w:val="16"/>
                <w:rFonts w:hint="default" w:ascii="Times New Roman" w:hAnsi="Times New Roman" w:cs="Times New Roman"/>
                <w:sz w:val="22"/>
                <w:szCs w:val="22"/>
                <w:lang w:bidi="ar"/>
              </w:rPr>
              <w:t>劳动力系数。</w:t>
            </w:r>
          </w:p>
        </w:tc>
      </w:tr>
    </w:tbl>
    <w:p>
      <w:pPr>
        <w:spacing w:line="574" w:lineRule="exact"/>
        <w:ind w:firstLine="640" w:firstLineChars="200"/>
        <w:jc w:val="left"/>
        <w:rPr>
          <w:rFonts w:hint="eastAsia" w:ascii="Times New Roman" w:hAnsi="Times New Roman" w:eastAsia="方正仿宋_GBK" w:cs="方正仿宋_GBK"/>
          <w:color w:val="000000"/>
          <w:sz w:val="32"/>
          <w:szCs w:val="32"/>
        </w:rPr>
      </w:pPr>
    </w:p>
    <w:p>
      <w:pPr>
        <w:tabs>
          <w:tab w:val="left" w:pos="616"/>
        </w:tabs>
        <w:bidi w:val="0"/>
        <w:jc w:val="left"/>
        <w:rPr>
          <w:rFonts w:hint="eastAsia" w:ascii="Times New Roman" w:hAnsi="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206" w:leftChars="2003" w:firstLine="6979" w:firstLineChars="218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万盛经开区管委会办公室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万盛经开区管委会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YTg5YTVmNDBkYjJhOGZkNzA1OWNkMjRkZGUzOGEifQ=="/>
  </w:docVars>
  <w:rsids>
    <w:rsidRoot w:val="00172A27"/>
    <w:rsid w:val="019E71BD"/>
    <w:rsid w:val="04B679C3"/>
    <w:rsid w:val="05F07036"/>
    <w:rsid w:val="06E00104"/>
    <w:rsid w:val="080F63D8"/>
    <w:rsid w:val="09341458"/>
    <w:rsid w:val="098254C2"/>
    <w:rsid w:val="0A766EDE"/>
    <w:rsid w:val="0AA96190"/>
    <w:rsid w:val="0AD64BE8"/>
    <w:rsid w:val="0B0912D7"/>
    <w:rsid w:val="0C265CFF"/>
    <w:rsid w:val="0E025194"/>
    <w:rsid w:val="0E703EE6"/>
    <w:rsid w:val="152D2DCA"/>
    <w:rsid w:val="156F5384"/>
    <w:rsid w:val="17A92AB8"/>
    <w:rsid w:val="187168EA"/>
    <w:rsid w:val="196673CA"/>
    <w:rsid w:val="1CF734C9"/>
    <w:rsid w:val="1DEC284C"/>
    <w:rsid w:val="1E4E59B9"/>
    <w:rsid w:val="1E6523AC"/>
    <w:rsid w:val="20C067BC"/>
    <w:rsid w:val="22440422"/>
    <w:rsid w:val="22BB4BBB"/>
    <w:rsid w:val="238E4AB7"/>
    <w:rsid w:val="268D0EEE"/>
    <w:rsid w:val="2AEB3417"/>
    <w:rsid w:val="31A15F24"/>
    <w:rsid w:val="32FD11AA"/>
    <w:rsid w:val="36FB1DF0"/>
    <w:rsid w:val="395347B5"/>
    <w:rsid w:val="39A232A0"/>
    <w:rsid w:val="39E745AA"/>
    <w:rsid w:val="3B5A6BBB"/>
    <w:rsid w:val="3EDA13A6"/>
    <w:rsid w:val="417B75E9"/>
    <w:rsid w:val="42F058B7"/>
    <w:rsid w:val="436109F6"/>
    <w:rsid w:val="441A38D4"/>
    <w:rsid w:val="44E87F0C"/>
    <w:rsid w:val="4504239D"/>
    <w:rsid w:val="47803BAF"/>
    <w:rsid w:val="4B211C20"/>
    <w:rsid w:val="4BC77339"/>
    <w:rsid w:val="4C9236C5"/>
    <w:rsid w:val="4DEA5000"/>
    <w:rsid w:val="4E250A85"/>
    <w:rsid w:val="4FFD4925"/>
    <w:rsid w:val="505C172E"/>
    <w:rsid w:val="506405EA"/>
    <w:rsid w:val="52F46F0B"/>
    <w:rsid w:val="532B6A10"/>
    <w:rsid w:val="53D8014D"/>
    <w:rsid w:val="55E064E0"/>
    <w:rsid w:val="567E0277"/>
    <w:rsid w:val="572C6D10"/>
    <w:rsid w:val="5D5D34DB"/>
    <w:rsid w:val="5DC34279"/>
    <w:rsid w:val="5FCD688E"/>
    <w:rsid w:val="5FF9BDAA"/>
    <w:rsid w:val="608816D1"/>
    <w:rsid w:val="60EF4E7F"/>
    <w:rsid w:val="64654C7D"/>
    <w:rsid w:val="648B0A32"/>
    <w:rsid w:val="648B70AB"/>
    <w:rsid w:val="665233C1"/>
    <w:rsid w:val="693578A9"/>
    <w:rsid w:val="69A00331"/>
    <w:rsid w:val="69AC0D42"/>
    <w:rsid w:val="69AE7C10"/>
    <w:rsid w:val="6AD9688B"/>
    <w:rsid w:val="6B480E55"/>
    <w:rsid w:val="6CF272CA"/>
    <w:rsid w:val="6D0E3F22"/>
    <w:rsid w:val="6ED76005"/>
    <w:rsid w:val="744E4660"/>
    <w:rsid w:val="753355A2"/>
    <w:rsid w:val="759F1C61"/>
    <w:rsid w:val="75A75EC4"/>
    <w:rsid w:val="769F2DE8"/>
    <w:rsid w:val="76FDEB7C"/>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line="580" w:lineRule="exact"/>
      <w:outlineLvl w:val="0"/>
    </w:pPr>
    <w:rPr>
      <w:rFonts w:ascii="方正小标宋_GBK" w:hAnsi="Calibri" w:eastAsia="方正小标宋_GBK" w:cs="黑体"/>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5"/>
    <w:qFormat/>
    <w:uiPriority w:val="0"/>
    <w:pPr>
      <w:ind w:firstLine="420" w:firstLineChars="100"/>
    </w:p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font51"/>
    <w:basedOn w:val="12"/>
    <w:qFormat/>
    <w:uiPriority w:val="0"/>
    <w:rPr>
      <w:rFonts w:hint="default" w:ascii="Times New Roman" w:hAnsi="Times New Roman" w:cs="Times New Roman"/>
      <w:color w:val="000000"/>
      <w:sz w:val="24"/>
      <w:szCs w:val="24"/>
      <w:u w:val="none"/>
    </w:rPr>
  </w:style>
  <w:style w:type="character" w:customStyle="1" w:styleId="16">
    <w:name w:val="font41"/>
    <w:basedOn w:val="12"/>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4904</Words>
  <Characters>4959</Characters>
  <Lines>1</Lines>
  <Paragraphs>1</Paragraphs>
  <TotalTime>5</TotalTime>
  <ScaleCrop>false</ScaleCrop>
  <LinksUpToDate>false</LinksUpToDate>
  <CharactersWithSpaces>4982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李明珠</cp:lastModifiedBy>
  <cp:lastPrinted>2022-05-11T08:46:00Z</cp:lastPrinted>
  <dcterms:modified xsi:type="dcterms:W3CDTF">2023-10-26T08:27:14Z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FB6AB369A9F04DA4A45F3295EF82E648_13</vt:lpwstr>
  </property>
</Properties>
</file>