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910"/>
        <w:gridCol w:w="640"/>
        <w:gridCol w:w="1327"/>
        <w:gridCol w:w="1142"/>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826" w:type="dxa"/>
            <w:noWrap w:val="0"/>
            <w:vAlign w:val="center"/>
          </w:tcPr>
          <w:p>
            <w:pPr>
              <w:pStyle w:val="4"/>
              <w:jc w:val="center"/>
              <w:rPr>
                <w:rFonts w:ascii="Times New Roman" w:hAnsi="Times New Roman" w:eastAsia="方正黑体_GBK" w:cs="Times New Roman"/>
                <w:sz w:val="21"/>
              </w:rPr>
            </w:pPr>
            <w:r>
              <w:rPr>
                <w:rFonts w:ascii="Times New Roman" w:hAnsi="Times New Roman" w:eastAsia="方正黑体_GBK" w:cs="Times New Roman"/>
                <w:sz w:val="21"/>
              </w:rPr>
              <w:t>序号</w:t>
            </w:r>
          </w:p>
        </w:tc>
        <w:tc>
          <w:tcPr>
            <w:tcW w:w="3910" w:type="dxa"/>
            <w:noWrap w:val="0"/>
            <w:vAlign w:val="center"/>
          </w:tcPr>
          <w:p>
            <w:pPr>
              <w:pStyle w:val="4"/>
              <w:jc w:val="center"/>
              <w:rPr>
                <w:rFonts w:ascii="Times New Roman" w:hAnsi="Times New Roman" w:eastAsia="方正黑体_GBK" w:cs="Times New Roman"/>
                <w:sz w:val="21"/>
              </w:rPr>
            </w:pPr>
            <w:r>
              <w:rPr>
                <w:rFonts w:ascii="Times New Roman" w:hAnsi="Times New Roman" w:eastAsia="方正黑体_GBK" w:cs="Times New Roman"/>
                <w:sz w:val="21"/>
              </w:rPr>
              <w:t>工作任务</w:t>
            </w:r>
          </w:p>
        </w:tc>
        <w:tc>
          <w:tcPr>
            <w:tcW w:w="640" w:type="dxa"/>
            <w:noWrap w:val="0"/>
            <w:vAlign w:val="center"/>
          </w:tcPr>
          <w:p>
            <w:pPr>
              <w:pStyle w:val="4"/>
              <w:jc w:val="center"/>
              <w:rPr>
                <w:rFonts w:ascii="Times New Roman" w:hAnsi="Times New Roman" w:eastAsia="方正黑体_GBK" w:cs="Times New Roman"/>
                <w:sz w:val="21"/>
              </w:rPr>
            </w:pPr>
            <w:r>
              <w:rPr>
                <w:rFonts w:hint="eastAsia" w:ascii="Times New Roman" w:hAnsi="Times New Roman" w:eastAsia="方正黑体_GBK" w:cs="Times New Roman"/>
                <w:sz w:val="21"/>
              </w:rPr>
              <w:t>类别</w:t>
            </w:r>
          </w:p>
        </w:tc>
        <w:tc>
          <w:tcPr>
            <w:tcW w:w="1327" w:type="dxa"/>
            <w:noWrap w:val="0"/>
            <w:vAlign w:val="center"/>
          </w:tcPr>
          <w:p>
            <w:pPr>
              <w:pStyle w:val="4"/>
              <w:jc w:val="center"/>
              <w:rPr>
                <w:rFonts w:hint="eastAsia" w:ascii="Times New Roman" w:hAnsi="Times New Roman" w:eastAsia="方正黑体_GBK" w:cs="Times New Roman"/>
                <w:sz w:val="21"/>
              </w:rPr>
            </w:pPr>
            <w:r>
              <w:rPr>
                <w:rFonts w:hint="eastAsia" w:ascii="Times New Roman" w:hAnsi="Times New Roman" w:eastAsia="方正黑体_GBK" w:cs="Times New Roman"/>
                <w:sz w:val="21"/>
              </w:rPr>
              <w:t>牵头单位</w:t>
            </w:r>
          </w:p>
        </w:tc>
        <w:tc>
          <w:tcPr>
            <w:tcW w:w="1142" w:type="dxa"/>
            <w:noWrap w:val="0"/>
            <w:vAlign w:val="center"/>
          </w:tcPr>
          <w:p>
            <w:pPr>
              <w:pStyle w:val="4"/>
              <w:jc w:val="center"/>
              <w:rPr>
                <w:rFonts w:ascii="Times New Roman" w:hAnsi="Times New Roman" w:eastAsia="方正黑体_GBK" w:cs="Times New Roman"/>
                <w:sz w:val="21"/>
              </w:rPr>
            </w:pPr>
            <w:r>
              <w:rPr>
                <w:rFonts w:hint="eastAsia" w:ascii="Times New Roman" w:hAnsi="Times New Roman" w:eastAsia="方正黑体_GBK" w:cs="Times New Roman"/>
                <w:sz w:val="21"/>
              </w:rPr>
              <w:t>配合单位</w:t>
            </w:r>
          </w:p>
        </w:tc>
        <w:tc>
          <w:tcPr>
            <w:tcW w:w="894" w:type="dxa"/>
            <w:noWrap w:val="0"/>
            <w:vAlign w:val="center"/>
          </w:tcPr>
          <w:p>
            <w:pPr>
              <w:pStyle w:val="4"/>
              <w:jc w:val="center"/>
              <w:rPr>
                <w:rFonts w:hint="eastAsia" w:ascii="Times New Roman" w:hAnsi="Times New Roman" w:eastAsia="方正黑体_GBK" w:cs="Times New Roman"/>
                <w:sz w:val="21"/>
              </w:rPr>
            </w:pPr>
            <w:r>
              <w:rPr>
                <w:rFonts w:hint="eastAsia" w:ascii="Times New Roman" w:hAnsi="Times New Roman" w:eastAsia="方正黑体_GBK" w:cs="Times New Roman"/>
                <w:sz w:val="21"/>
              </w:rPr>
              <w:t>完成</w:t>
            </w:r>
          </w:p>
          <w:p>
            <w:pPr>
              <w:pStyle w:val="4"/>
              <w:jc w:val="center"/>
              <w:rPr>
                <w:rFonts w:hint="eastAsia" w:ascii="Times New Roman" w:hAnsi="Times New Roman" w:eastAsia="方正黑体_GBK" w:cs="Times New Roman"/>
                <w:sz w:val="21"/>
              </w:rPr>
            </w:pPr>
            <w:r>
              <w:rPr>
                <w:rFonts w:hint="eastAsia" w:ascii="Times New Roman" w:hAnsi="Times New Roman" w:eastAsia="方正黑体_GBK" w:cs="Times New Roman"/>
                <w:sz w:val="21"/>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39" w:type="dxa"/>
            <w:gridSpan w:val="6"/>
            <w:noWrap w:val="0"/>
            <w:vAlign w:val="center"/>
          </w:tcPr>
          <w:p>
            <w:pPr>
              <w:pStyle w:val="4"/>
              <w:rPr>
                <w:rFonts w:hint="eastAsia" w:ascii="Times New Roman" w:hAnsi="Times New Roman" w:eastAsia="方正黑体_GBK" w:cs="方正黑体_GBK"/>
                <w:sz w:val="21"/>
              </w:rPr>
            </w:pPr>
            <w:r>
              <w:rPr>
                <w:rFonts w:hint="eastAsia" w:ascii="Times New Roman" w:hAnsi="Times New Roman" w:eastAsia="方正黑体_GBK" w:cs="方正黑体_GBK"/>
                <w:sz w:val="21"/>
              </w:rPr>
              <w:t>一、营造规范有序的市场环境（统筹单位：市场监管局）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39" w:type="dxa"/>
            <w:gridSpan w:val="6"/>
            <w:noWrap w:val="0"/>
            <w:vAlign w:val="center"/>
          </w:tcPr>
          <w:p>
            <w:pPr>
              <w:pStyle w:val="4"/>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（一）</w:t>
            </w:r>
            <w:r>
              <w:rPr>
                <w:rFonts w:hint="eastAsia" w:ascii="Times New Roman" w:hAnsi="Times New Roman" w:eastAsia="方正楷体_GBK" w:cs="方正楷体_GBK"/>
                <w:sz w:val="21"/>
              </w:rPr>
              <w:t>市场准入更便利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1</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开办企业自助化，实现营业执照、许可证、渝快办办理事项、企业年报、企业信用信息自助打印，打通开办企业自助打印服务“最后一公里”，提供更高效、更便捷、更优质的开办企业服务。</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市场监管局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行政服务中心</w:t>
            </w:r>
          </w:p>
        </w:tc>
        <w:tc>
          <w:tcPr>
            <w:tcW w:w="894" w:type="dxa"/>
            <w:noWrap w:val="0"/>
            <w:vAlign w:val="center"/>
          </w:tcPr>
          <w:p>
            <w:pPr>
              <w:pStyle w:val="4"/>
              <w:jc w:val="center"/>
              <w:rPr>
                <w:rFonts w:ascii="Times New Roman" w:hAnsi="Times New Roman" w:cs="方正仿宋_GBK"/>
                <w:kern w:val="0"/>
                <w:sz w:val="21"/>
              </w:rPr>
            </w:pPr>
            <w:r>
              <w:rPr>
                <w:rFonts w:hint="eastAsia" w:ascii="Times New Roman" w:hAnsi="Times New Roman" w:cs="Times New Roman"/>
                <w:sz w:val="21"/>
              </w:rPr>
              <w:t>2024</w:t>
            </w:r>
            <w:r>
              <w:rPr>
                <w:rFonts w:hint="eastAsia" w:ascii="Times New Roman" w:hAnsi="Times New Roman" w:cs="方正仿宋_GBK"/>
                <w:kern w:val="0"/>
                <w:sz w:val="21"/>
              </w:rPr>
              <w:t>年</w:t>
            </w:r>
            <w:r>
              <w:rPr>
                <w:rFonts w:hint="eastAsia" w:ascii="Times New Roman" w:hAnsi="Times New Roman" w:cs="Times New Roman"/>
                <w:sz w:val="21"/>
              </w:rPr>
              <w:t>12</w:t>
            </w:r>
            <w:r>
              <w:rPr>
                <w:rFonts w:hint="eastAsia" w:ascii="Times New Roman" w:hAnsi="Times New Roman" w:cs="方正仿宋_GBK"/>
                <w:kern w:val="0"/>
                <w:sz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2</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负面清单清除化，开展违背市场准入负面清单典型案例归集，畅通市场准入隐性壁垒投诉渠道，全面清理在市场准入负面清单之外违规设立的许可事项。</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市场监管局</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3</w:t>
            </w:r>
          </w:p>
        </w:tc>
        <w:tc>
          <w:tcPr>
            <w:tcW w:w="3910" w:type="dxa"/>
            <w:noWrap w:val="0"/>
            <w:vAlign w:val="center"/>
          </w:tcPr>
          <w:p>
            <w:pPr>
              <w:pStyle w:val="4"/>
              <w:rPr>
                <w:rFonts w:hint="eastAsia" w:ascii="Times New Roman" w:hAnsi="Times New Roman" w:cs="方正仿宋_GBK"/>
                <w:spacing w:val="-6"/>
                <w:sz w:val="21"/>
              </w:rPr>
            </w:pPr>
            <w:r>
              <w:rPr>
                <w:rFonts w:hint="eastAsia" w:ascii="Times New Roman" w:hAnsi="Times New Roman" w:cs="方正仿宋_GBK"/>
                <w:spacing w:val="-6"/>
                <w:sz w:val="21"/>
              </w:rPr>
              <w:t>企业名称申报承诺化，全面推行企业名称申报承诺制度，提升开办企业“</w:t>
            </w:r>
            <w:r>
              <w:rPr>
                <w:rFonts w:ascii="Times New Roman" w:hAnsi="Times New Roman" w:cs="Times New Roman"/>
                <w:spacing w:val="-6"/>
                <w:sz w:val="21"/>
              </w:rPr>
              <w:t>E</w:t>
            </w:r>
            <w:r>
              <w:rPr>
                <w:rFonts w:hint="eastAsia" w:ascii="Times New Roman" w:hAnsi="Times New Roman" w:cs="方正仿宋_GBK"/>
                <w:spacing w:val="-6"/>
                <w:sz w:val="21"/>
              </w:rPr>
              <w:t>企办”服务能力，规范不含行政区划企业名称登记管理，加强企业名称预防性承诺制保护。</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市场监管局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w:t>
            </w:r>
          </w:p>
        </w:tc>
        <w:tc>
          <w:tcPr>
            <w:tcW w:w="894" w:type="dxa"/>
            <w:noWrap w:val="0"/>
            <w:vAlign w:val="center"/>
          </w:tcPr>
          <w:p>
            <w:pPr>
              <w:jc w:val="center"/>
              <w:rPr>
                <w:rFonts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8739" w:type="dxa"/>
            <w:gridSpan w:val="6"/>
            <w:noWrap w:val="0"/>
            <w:vAlign w:val="center"/>
          </w:tcPr>
          <w:p>
            <w:pPr>
              <w:pStyle w:val="4"/>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（二）经营主体培育更精准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4</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深入推进“个转企”和“四上企业”培育，加强政策精准推送和梯次帮扶培育，推动形成“个转企、小升规、规改股、股上市”的良性发展格局，全年个转企实现</w:t>
            </w:r>
            <w:r>
              <w:rPr>
                <w:rFonts w:ascii="Times New Roman" w:hAnsi="Times New Roman" w:cs="Times New Roman"/>
                <w:sz w:val="21"/>
              </w:rPr>
              <w:t>100</w:t>
            </w:r>
            <w:r>
              <w:rPr>
                <w:rFonts w:hint="eastAsia" w:ascii="Times New Roman" w:hAnsi="Times New Roman" w:cs="方正仿宋_GBK"/>
                <w:sz w:val="21"/>
              </w:rPr>
              <w:t>户，“四上企业”培育</w:t>
            </w:r>
            <w:r>
              <w:rPr>
                <w:rFonts w:hint="eastAsia" w:ascii="Times New Roman" w:hAnsi="Times New Roman" w:cs="Times New Roman"/>
                <w:sz w:val="21"/>
              </w:rPr>
              <w:t>50</w:t>
            </w:r>
            <w:r>
              <w:rPr>
                <w:rFonts w:hint="eastAsia" w:ascii="Times New Roman" w:hAnsi="Times New Roman" w:cs="方正仿宋_GBK"/>
                <w:sz w:val="21"/>
              </w:rPr>
              <w:t>户。</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市场监管局、发展改革局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各有关单位</w:t>
            </w:r>
          </w:p>
        </w:tc>
        <w:tc>
          <w:tcPr>
            <w:tcW w:w="894" w:type="dxa"/>
            <w:noWrap w:val="0"/>
            <w:vAlign w:val="center"/>
          </w:tcPr>
          <w:p>
            <w:pPr>
              <w:jc w:val="center"/>
              <w:rPr>
                <w:rFonts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5</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建立个体工商户“双机制”，以“听诉求、解难题、护权益、促发展”为主题，探索建立个体工商户支持政策“免申即享”机制和个体工商户诉求处理闭环管理机制，切实帮助小微企业和个体工商户解决发展难题，提振发展信心。</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市场监管局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6</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梯度培育改革优质中小企业，全面摸排中小企业情况，结合实际梯度培育中小企业发展质量提升和效益改善，实施领军企业跨越发展鲲鹏计划，开展企业上市“千里马”行动和中小企业多元融资提升行动。</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8739" w:type="dxa"/>
            <w:gridSpan w:val="6"/>
            <w:noWrap w:val="0"/>
            <w:vAlign w:val="center"/>
          </w:tcPr>
          <w:p>
            <w:pPr>
              <w:pStyle w:val="4"/>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（三）经营主体退出更简易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7</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不断优化企业注销“一件事一次办”，推行企业迁移“一站式”办理和“企业迁移一件事”服务，推动食品经营许可等高频涉企经营许可事项与营业执照同步注销。</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市场监管局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人力社保局、税务局等有关单位</w:t>
            </w:r>
          </w:p>
        </w:tc>
        <w:tc>
          <w:tcPr>
            <w:tcW w:w="894" w:type="dxa"/>
            <w:noWrap w:val="0"/>
            <w:vAlign w:val="center"/>
          </w:tcPr>
          <w:p>
            <w:pPr>
              <w:jc w:val="center"/>
              <w:rPr>
                <w:rFonts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8</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不断简化迁移登记工作流程，将经营主体申请迁移、变更登记、调档三个环节合并为一次办理。</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市场监管局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人力社保局、税务局等有关单位</w:t>
            </w:r>
          </w:p>
        </w:tc>
        <w:tc>
          <w:tcPr>
            <w:tcW w:w="894" w:type="dxa"/>
            <w:noWrap w:val="0"/>
            <w:vAlign w:val="center"/>
          </w:tcPr>
          <w:p>
            <w:pPr>
              <w:jc w:val="center"/>
              <w:rPr>
                <w:rFonts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9</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不断创新税务迁移登记模式，推行税务“直接迁移、及时办结、携票流转”迁移登记模式，实现市内跨区（县）迁移“不注销”、发票“不缴销”、流转“不卡壳”。</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探索创新</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市场监管局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人力社保局、税务局等有关单位</w:t>
            </w:r>
          </w:p>
        </w:tc>
        <w:tc>
          <w:tcPr>
            <w:tcW w:w="894" w:type="dxa"/>
            <w:noWrap w:val="0"/>
            <w:vAlign w:val="center"/>
          </w:tcPr>
          <w:p>
            <w:pPr>
              <w:pStyle w:val="4"/>
              <w:jc w:val="center"/>
              <w:rPr>
                <w:rFonts w:ascii="Times New Roman" w:hAnsi="Times New Roman" w:cs="方正仿宋_GBK"/>
                <w:kern w:val="0"/>
                <w:sz w:val="21"/>
              </w:rPr>
            </w:pPr>
            <w:r>
              <w:rPr>
                <w:rFonts w:hint="eastAsia" w:ascii="Times New Roman" w:hAnsi="Times New Roman" w:cs="Times New Roman"/>
                <w:sz w:val="21"/>
              </w:rPr>
              <w:t>2024</w:t>
            </w:r>
            <w:r>
              <w:rPr>
                <w:rFonts w:hint="eastAsia" w:ascii="Times New Roman" w:hAnsi="Times New Roman" w:cs="方正仿宋_GBK"/>
                <w:kern w:val="0"/>
                <w:sz w:val="21"/>
              </w:rPr>
              <w:t>年</w:t>
            </w:r>
            <w:r>
              <w:rPr>
                <w:rFonts w:hint="eastAsia" w:ascii="Times New Roman" w:hAnsi="Times New Roman" w:cs="Times New Roman"/>
                <w:sz w:val="21"/>
              </w:rPr>
              <w:t>12</w:t>
            </w:r>
            <w:r>
              <w:rPr>
                <w:rFonts w:hint="eastAsia" w:ascii="Times New Roman" w:hAnsi="Times New Roman" w:cs="方正仿宋_GBK"/>
                <w:kern w:val="0"/>
                <w:sz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39" w:type="dxa"/>
            <w:gridSpan w:val="6"/>
            <w:noWrap w:val="0"/>
            <w:vAlign w:val="center"/>
          </w:tcPr>
          <w:p>
            <w:pPr>
              <w:pStyle w:val="4"/>
              <w:rPr>
                <w:rFonts w:hint="eastAsia" w:ascii="Times New Roman" w:hAnsi="Times New Roman" w:eastAsia="方正黑体_GBK" w:cs="方正黑体_GBK"/>
                <w:sz w:val="21"/>
              </w:rPr>
            </w:pPr>
            <w:r>
              <w:rPr>
                <w:rFonts w:hint="eastAsia" w:ascii="Times New Roman" w:hAnsi="Times New Roman" w:eastAsia="方正黑体_GBK" w:cs="方正黑体_GBK"/>
                <w:sz w:val="21"/>
              </w:rPr>
              <w:t>二、打造群众满意的政务环境（统筹单位：行政服务中心）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39" w:type="dxa"/>
            <w:gridSpan w:val="6"/>
            <w:noWrap w:val="0"/>
            <w:vAlign w:val="center"/>
          </w:tcPr>
          <w:p>
            <w:pPr>
              <w:pStyle w:val="4"/>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（一）加强政务服务渠道建设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10</w:t>
            </w:r>
          </w:p>
        </w:tc>
        <w:tc>
          <w:tcPr>
            <w:tcW w:w="3910" w:type="dxa"/>
            <w:noWrap w:val="0"/>
            <w:vAlign w:val="center"/>
          </w:tcPr>
          <w:p>
            <w:pPr>
              <w:pStyle w:val="4"/>
              <w:rPr>
                <w:rFonts w:hint="eastAsia" w:ascii="Times New Roman" w:hAnsi="Times New Roman" w:cs="方正仿宋_GBK"/>
                <w:kern w:val="0"/>
                <w:sz w:val="21"/>
              </w:rPr>
            </w:pPr>
            <w:r>
              <w:rPr>
                <w:rFonts w:hint="eastAsia" w:ascii="Times New Roman" w:hAnsi="Times New Roman" w:cs="方正仿宋_GBK"/>
                <w:kern w:val="0"/>
                <w:sz w:val="21"/>
              </w:rPr>
              <w:t>深化“一窗综办”改革，推动政务服务事项集中进驻、统一受理、“一站式”办理，全面实现“一窗综办”。</w:t>
            </w:r>
          </w:p>
        </w:tc>
        <w:tc>
          <w:tcPr>
            <w:tcW w:w="640"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全面完成</w:t>
            </w:r>
          </w:p>
        </w:tc>
        <w:tc>
          <w:tcPr>
            <w:tcW w:w="1327" w:type="dxa"/>
            <w:noWrap w:val="0"/>
            <w:vAlign w:val="center"/>
          </w:tcPr>
          <w:p>
            <w:pPr>
              <w:pStyle w:val="4"/>
              <w:jc w:val="center"/>
              <w:rPr>
                <w:rFonts w:hint="eastAsia" w:ascii="Times New Roman" w:hAnsi="Times New Roman" w:cs="Times New Roman"/>
                <w:kern w:val="0"/>
                <w:sz w:val="21"/>
              </w:rPr>
            </w:pPr>
            <w:r>
              <w:rPr>
                <w:rFonts w:hint="eastAsia" w:ascii="Times New Roman" w:hAnsi="Times New Roman" w:cs="Times New Roman"/>
                <w:kern w:val="0"/>
                <w:sz w:val="21"/>
              </w:rPr>
              <w:t>行政服务中心</w:t>
            </w:r>
          </w:p>
        </w:tc>
        <w:tc>
          <w:tcPr>
            <w:tcW w:w="1142" w:type="dxa"/>
            <w:noWrap w:val="0"/>
            <w:vAlign w:val="center"/>
          </w:tcPr>
          <w:p>
            <w:pPr>
              <w:pStyle w:val="4"/>
              <w:jc w:val="center"/>
              <w:rPr>
                <w:rFonts w:hint="eastAsia" w:ascii="Times New Roman" w:hAnsi="Times New Roman" w:cs="Times New Roman"/>
                <w:kern w:val="0"/>
                <w:sz w:val="21"/>
              </w:rPr>
            </w:pPr>
            <w:r>
              <w:rPr>
                <w:rFonts w:hint="eastAsia" w:ascii="Times New Roman" w:hAnsi="Times New Roman" w:cs="Times New Roman"/>
                <w:kern w:val="0"/>
                <w:sz w:val="21"/>
              </w:rPr>
              <w:t>各有关单位</w:t>
            </w:r>
          </w:p>
        </w:tc>
        <w:tc>
          <w:tcPr>
            <w:tcW w:w="894" w:type="dxa"/>
            <w:noWrap w:val="0"/>
            <w:vAlign w:val="center"/>
          </w:tcPr>
          <w:p>
            <w:pPr>
              <w:jc w:val="center"/>
              <w:rPr>
                <w:rFonts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11</w:t>
            </w:r>
          </w:p>
        </w:tc>
        <w:tc>
          <w:tcPr>
            <w:tcW w:w="3910" w:type="dxa"/>
            <w:noWrap w:val="0"/>
            <w:vAlign w:val="center"/>
          </w:tcPr>
          <w:p>
            <w:pPr>
              <w:pStyle w:val="4"/>
              <w:rPr>
                <w:rFonts w:hint="eastAsia" w:ascii="Times New Roman" w:hAnsi="Times New Roman" w:cs="方正仿宋_GBK"/>
                <w:kern w:val="0"/>
                <w:sz w:val="21"/>
              </w:rPr>
            </w:pPr>
            <w:r>
              <w:rPr>
                <w:rFonts w:hint="eastAsia" w:ascii="Times New Roman" w:hAnsi="Times New Roman" w:cs="方正仿宋_GBK"/>
                <w:kern w:val="0"/>
                <w:sz w:val="21"/>
              </w:rPr>
              <w:t>推动“一网通办”平台升级，协调处理新旧版“渝快办”平台交替运行中出现的问题，全面高效实现“一网通办”。</w:t>
            </w:r>
          </w:p>
        </w:tc>
        <w:tc>
          <w:tcPr>
            <w:tcW w:w="640"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全面完成</w:t>
            </w:r>
          </w:p>
        </w:tc>
        <w:tc>
          <w:tcPr>
            <w:tcW w:w="1327" w:type="dxa"/>
            <w:noWrap w:val="0"/>
            <w:vAlign w:val="center"/>
          </w:tcPr>
          <w:p>
            <w:pPr>
              <w:pStyle w:val="4"/>
              <w:jc w:val="center"/>
              <w:rPr>
                <w:rFonts w:hint="eastAsia" w:ascii="Times New Roman" w:hAnsi="Times New Roman" w:cs="Times New Roman"/>
                <w:kern w:val="0"/>
                <w:sz w:val="21"/>
              </w:rPr>
            </w:pPr>
            <w:r>
              <w:rPr>
                <w:rFonts w:hint="eastAsia" w:ascii="Times New Roman" w:hAnsi="Times New Roman" w:cs="Times New Roman"/>
                <w:kern w:val="0"/>
                <w:sz w:val="21"/>
              </w:rPr>
              <w:t>行政服务中心</w:t>
            </w:r>
          </w:p>
        </w:tc>
        <w:tc>
          <w:tcPr>
            <w:tcW w:w="1142" w:type="dxa"/>
            <w:noWrap w:val="0"/>
            <w:vAlign w:val="center"/>
          </w:tcPr>
          <w:p>
            <w:pPr>
              <w:pStyle w:val="4"/>
              <w:jc w:val="center"/>
              <w:rPr>
                <w:rFonts w:hint="eastAsia" w:ascii="Times New Roman" w:hAnsi="Times New Roman" w:cs="Times New Roman"/>
                <w:kern w:val="0"/>
                <w:sz w:val="21"/>
              </w:rPr>
            </w:pPr>
            <w:r>
              <w:rPr>
                <w:rFonts w:hint="eastAsia" w:ascii="Times New Roman" w:hAnsi="Times New Roman" w:cs="Times New Roman"/>
                <w:kern w:val="0"/>
                <w:sz w:val="21"/>
              </w:rPr>
              <w:t>各有关单位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12</w:t>
            </w:r>
          </w:p>
        </w:tc>
        <w:tc>
          <w:tcPr>
            <w:tcW w:w="3910" w:type="dxa"/>
            <w:noWrap w:val="0"/>
            <w:vAlign w:val="center"/>
          </w:tcPr>
          <w:p>
            <w:pPr>
              <w:pStyle w:val="4"/>
              <w:rPr>
                <w:rFonts w:hint="eastAsia" w:ascii="Times New Roman" w:hAnsi="Times New Roman" w:cs="方正仿宋_GBK"/>
                <w:kern w:val="0"/>
                <w:sz w:val="21"/>
              </w:rPr>
            </w:pPr>
            <w:r>
              <w:rPr>
                <w:rFonts w:hint="eastAsia" w:ascii="Times New Roman" w:hAnsi="Times New Roman" w:cs="方正仿宋_GBK"/>
                <w:kern w:val="0"/>
                <w:sz w:val="21"/>
              </w:rPr>
              <w:t>夯实基层服务平台，加强镇街便民服务中心、村（社区）便民服务站等便民服务点建设，实现“就近办、家门口办”。</w:t>
            </w:r>
          </w:p>
        </w:tc>
        <w:tc>
          <w:tcPr>
            <w:tcW w:w="640"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巩固深化</w:t>
            </w:r>
          </w:p>
        </w:tc>
        <w:tc>
          <w:tcPr>
            <w:tcW w:w="1327" w:type="dxa"/>
            <w:noWrap w:val="0"/>
            <w:vAlign w:val="center"/>
          </w:tcPr>
          <w:p>
            <w:pPr>
              <w:pStyle w:val="4"/>
              <w:jc w:val="center"/>
              <w:rPr>
                <w:rFonts w:hint="eastAsia" w:ascii="Times New Roman" w:hAnsi="Times New Roman" w:cs="Times New Roman"/>
                <w:kern w:val="0"/>
                <w:sz w:val="21"/>
              </w:rPr>
            </w:pPr>
            <w:r>
              <w:rPr>
                <w:rFonts w:hint="eastAsia" w:ascii="Times New Roman" w:hAnsi="Times New Roman" w:cs="Times New Roman"/>
                <w:kern w:val="0"/>
                <w:sz w:val="21"/>
              </w:rPr>
              <w:t>行政服务中心</w:t>
            </w:r>
          </w:p>
        </w:tc>
        <w:tc>
          <w:tcPr>
            <w:tcW w:w="1142" w:type="dxa"/>
            <w:noWrap w:val="0"/>
            <w:vAlign w:val="center"/>
          </w:tcPr>
          <w:p>
            <w:pPr>
              <w:pStyle w:val="4"/>
              <w:jc w:val="center"/>
              <w:rPr>
                <w:rFonts w:hint="eastAsia" w:ascii="Times New Roman" w:hAnsi="Times New Roman" w:cs="Times New Roman"/>
                <w:kern w:val="0"/>
                <w:sz w:val="21"/>
              </w:rPr>
            </w:pPr>
            <w:r>
              <w:rPr>
                <w:rFonts w:hint="eastAsia" w:ascii="Times New Roman" w:hAnsi="Times New Roman" w:cs="Times New Roman"/>
                <w:kern w:val="0"/>
                <w:sz w:val="21"/>
              </w:rPr>
              <w:t>各镇街、各有关单位</w:t>
            </w:r>
          </w:p>
        </w:tc>
        <w:tc>
          <w:tcPr>
            <w:tcW w:w="894" w:type="dxa"/>
            <w:noWrap w:val="0"/>
            <w:vAlign w:val="center"/>
          </w:tcPr>
          <w:p>
            <w:pPr>
              <w:jc w:val="center"/>
              <w:rPr>
                <w:rFonts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13</w:t>
            </w:r>
          </w:p>
        </w:tc>
        <w:tc>
          <w:tcPr>
            <w:tcW w:w="3910" w:type="dxa"/>
            <w:noWrap w:val="0"/>
            <w:vAlign w:val="center"/>
          </w:tcPr>
          <w:p>
            <w:pPr>
              <w:pStyle w:val="4"/>
              <w:rPr>
                <w:rFonts w:hint="eastAsia" w:ascii="Times New Roman" w:hAnsi="Times New Roman" w:cs="方正仿宋_GBK"/>
                <w:kern w:val="0"/>
                <w:sz w:val="21"/>
              </w:rPr>
            </w:pPr>
            <w:r>
              <w:rPr>
                <w:rFonts w:hint="eastAsia" w:ascii="Times New Roman" w:hAnsi="Times New Roman" w:cs="方正仿宋_GBK"/>
                <w:kern w:val="0"/>
                <w:sz w:val="21"/>
              </w:rPr>
              <w:t>加强“民呼我为”平台管理，落实专人管理、协办联办、抽查抽访工作模式，畅通线上线下“办不成事”反映窗口和政务服务“好差评”等渠道，持续通过“我陪群众走流程”、抽查暗访、定期通报等方式，切实提升政务服务质效。</w:t>
            </w:r>
          </w:p>
        </w:tc>
        <w:tc>
          <w:tcPr>
            <w:tcW w:w="640"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巩固深化</w:t>
            </w:r>
          </w:p>
        </w:tc>
        <w:tc>
          <w:tcPr>
            <w:tcW w:w="1327" w:type="dxa"/>
            <w:noWrap w:val="0"/>
            <w:vAlign w:val="center"/>
          </w:tcPr>
          <w:p>
            <w:pPr>
              <w:pStyle w:val="4"/>
              <w:jc w:val="center"/>
              <w:rPr>
                <w:rFonts w:hint="eastAsia" w:ascii="Times New Roman" w:hAnsi="Times New Roman" w:cs="Times New Roman"/>
                <w:kern w:val="0"/>
                <w:sz w:val="21"/>
              </w:rPr>
            </w:pPr>
            <w:r>
              <w:rPr>
                <w:rFonts w:hint="eastAsia" w:ascii="Times New Roman" w:hAnsi="Times New Roman" w:cs="Times New Roman"/>
                <w:kern w:val="0"/>
                <w:sz w:val="21"/>
              </w:rPr>
              <w:t>行政服务中心</w:t>
            </w:r>
          </w:p>
        </w:tc>
        <w:tc>
          <w:tcPr>
            <w:tcW w:w="1142" w:type="dxa"/>
            <w:noWrap w:val="0"/>
            <w:vAlign w:val="center"/>
          </w:tcPr>
          <w:p>
            <w:pPr>
              <w:pStyle w:val="4"/>
              <w:jc w:val="center"/>
              <w:rPr>
                <w:rFonts w:hint="eastAsia" w:ascii="Times New Roman" w:hAnsi="Times New Roman" w:cs="Times New Roman"/>
                <w:kern w:val="0"/>
                <w:sz w:val="21"/>
              </w:rPr>
            </w:pPr>
            <w:r>
              <w:rPr>
                <w:rFonts w:hint="eastAsia" w:ascii="Times New Roman" w:hAnsi="Times New Roman" w:cs="Times New Roman"/>
                <w:kern w:val="0"/>
                <w:sz w:val="21"/>
              </w:rPr>
              <w:t>纪工委监察室</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39" w:type="dxa"/>
            <w:gridSpan w:val="6"/>
            <w:noWrap w:val="0"/>
            <w:vAlign w:val="center"/>
          </w:tcPr>
          <w:p>
            <w:pPr>
              <w:pStyle w:val="4"/>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（二）深化政务服务模式创新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14</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深化“一件事一次办”，统筹部门对标承接市级统建的“一件事”套餐，加强代办导办服务。探索延伸套餐服务至基层办理。</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Times New Roman"/>
                <w:kern w:val="0"/>
                <w:sz w:val="21"/>
              </w:rPr>
              <w:t>行政服务中心</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15</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探索“一类事一站办”，严格落实市政府办公厅相关工作部署，依托市级打造的定制化、套餐式、模块化涉企服务“一类事”场景，推动企业精准化、个性化优质衍生服务应用。</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探索创新</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Times New Roman"/>
                <w:kern w:val="0"/>
                <w:sz w:val="21"/>
              </w:rPr>
              <w:t>行政服务中心</w:t>
            </w:r>
          </w:p>
        </w:tc>
        <w:tc>
          <w:tcPr>
            <w:tcW w:w="1142" w:type="dxa"/>
            <w:noWrap w:val="0"/>
            <w:vAlign w:val="center"/>
          </w:tcPr>
          <w:p>
            <w:pPr>
              <w:pStyle w:val="4"/>
              <w:jc w:val="center"/>
              <w:rPr>
                <w:rFonts w:hint="eastAsia" w:ascii="Times New Roman" w:hAnsi="Times New Roman" w:cs="Times New Roman"/>
                <w:kern w:val="0"/>
                <w:sz w:val="21"/>
              </w:rPr>
            </w:pPr>
            <w:r>
              <w:rPr>
                <w:rFonts w:hint="eastAsia" w:ascii="Times New Roman" w:hAnsi="Times New Roman" w:cs="Times New Roman"/>
                <w:kern w:val="0"/>
                <w:sz w:val="21"/>
              </w:rPr>
              <w:t>各有关单位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5"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16</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探索打造“企业之家”，在政务服务大厅探索打造集商务洽谈、政策汇聚、诉求接处为一体的“企业之家”专区，为企业人员提供一个政务高效、商务便捷的空间，进一步促进政务服务优化。</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探索创新</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Times New Roman"/>
                <w:kern w:val="0"/>
                <w:sz w:val="21"/>
              </w:rPr>
              <w:t>行政服务中心</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739" w:type="dxa"/>
            <w:gridSpan w:val="6"/>
            <w:noWrap w:val="0"/>
            <w:vAlign w:val="center"/>
          </w:tcPr>
          <w:p>
            <w:pPr>
              <w:pStyle w:val="4"/>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（三）强化政务服务数字赋能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17</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全力推进“渝快办”平台重构上线工作，做好事项维护、网络调试、硬件适配、办件配置、操作培训、问题反馈等工作。</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Times New Roman"/>
                <w:kern w:val="0"/>
                <w:sz w:val="21"/>
              </w:rPr>
              <w:t>行政服务中心</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各有关单位</w:t>
            </w:r>
          </w:p>
        </w:tc>
        <w:tc>
          <w:tcPr>
            <w:tcW w:w="894" w:type="dxa"/>
            <w:noWrap w:val="0"/>
            <w:vAlign w:val="center"/>
          </w:tcPr>
          <w:p>
            <w:pPr>
              <w:jc w:val="center"/>
              <w:rPr>
                <w:rFonts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18</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配合推动我区政务服务小程序统一接入“渝快办”移动端，实现智慧政务便民服务再升级。</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Times New Roman"/>
                <w:kern w:val="0"/>
                <w:sz w:val="21"/>
              </w:rPr>
              <w:t>行政服务中心</w:t>
            </w:r>
          </w:p>
        </w:tc>
        <w:tc>
          <w:tcPr>
            <w:tcW w:w="1142" w:type="dxa"/>
            <w:noWrap w:val="0"/>
            <w:vAlign w:val="center"/>
          </w:tcPr>
          <w:p>
            <w:pPr>
              <w:pStyle w:val="4"/>
              <w:jc w:val="center"/>
              <w:rPr>
                <w:rFonts w:ascii="Times New Roman" w:hAnsi="Times New Roman" w:cs="方正仿宋_GBK"/>
                <w:kern w:val="0"/>
                <w:sz w:val="21"/>
              </w:rPr>
            </w:pPr>
            <w:r>
              <w:rPr>
                <w:rFonts w:hint="eastAsia" w:ascii="Times New Roman" w:hAnsi="Times New Roman" w:cs="方正仿宋_GBK"/>
                <w:kern w:val="0"/>
                <w:sz w:val="21"/>
              </w:rPr>
              <w:t>各有关单位</w:t>
            </w:r>
          </w:p>
        </w:tc>
        <w:tc>
          <w:tcPr>
            <w:tcW w:w="894" w:type="dxa"/>
            <w:noWrap w:val="0"/>
            <w:vAlign w:val="center"/>
          </w:tcPr>
          <w:p>
            <w:pPr>
              <w:jc w:val="center"/>
              <w:rPr>
                <w:rFonts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826" w:type="dxa"/>
            <w:noWrap w:val="0"/>
            <w:vAlign w:val="center"/>
          </w:tcPr>
          <w:p>
            <w:pPr>
              <w:pStyle w:val="4"/>
              <w:jc w:val="center"/>
              <w:rPr>
                <w:rFonts w:ascii="Times New Roman" w:hAnsi="Times New Roman" w:cs="Times New Roman"/>
                <w:sz w:val="21"/>
              </w:rPr>
            </w:pPr>
            <w:r>
              <w:rPr>
                <w:rFonts w:ascii="Times New Roman" w:hAnsi="Times New Roman" w:cs="Times New Roman"/>
                <w:sz w:val="21"/>
              </w:rPr>
              <w:t>19</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持续推广“渝快码”应用，建成集扫码取号、智能排队等功能的取叫号系统，实现政务办件全流程智能服务。</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Times New Roman"/>
                <w:kern w:val="0"/>
                <w:sz w:val="21"/>
              </w:rPr>
              <w:t>行政服务中心</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8739" w:type="dxa"/>
            <w:gridSpan w:val="6"/>
            <w:noWrap w:val="0"/>
            <w:vAlign w:val="center"/>
          </w:tcPr>
          <w:p>
            <w:pPr>
              <w:pStyle w:val="4"/>
              <w:rPr>
                <w:rFonts w:hint="eastAsia" w:ascii="Times New Roman" w:hAnsi="Times New Roman" w:eastAsia="方正黑体_GBK" w:cs="方正黑体_GBK"/>
                <w:kern w:val="0"/>
                <w:sz w:val="21"/>
              </w:rPr>
            </w:pPr>
            <w:r>
              <w:rPr>
                <w:rFonts w:hint="eastAsia" w:ascii="Times New Roman" w:hAnsi="Times New Roman" w:eastAsia="方正黑体_GBK" w:cs="方正黑体_GBK"/>
                <w:kern w:val="0"/>
                <w:sz w:val="21"/>
              </w:rPr>
              <w:t>三、营造公平公正的法治环境（统筹单位：党工委政法办）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739" w:type="dxa"/>
            <w:gridSpan w:val="6"/>
            <w:noWrap w:val="0"/>
            <w:vAlign w:val="center"/>
          </w:tcPr>
          <w:p>
            <w:pPr>
              <w:pStyle w:val="4"/>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（一）构建科学高效执法模式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20</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深入推进镇街综合行政执法改革，实施“综合查一次”组团式执法，健全镇街吹哨、部门报到的联合执法机制，形成“属地镇街发现问题——执法机关积极参与——协同配合快速处置”的闭环。</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党工委政法办</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各镇街、具有行政执法权的部门</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9"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21</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针对同类企业、同一企业，尽量实施组团式执法，凝聚执法合力，提升执法效能，避免重复执法、多头执法，减少不必要的执法活动干扰企业正常的生产经营，实现执法机关依法履职与服务企业的双赢局面。</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党工委政法办</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各镇街、具有行政执法权的部门</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22</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深入实施“法定执法+赋权执法+委托执法”的综合执法新模式，探索区级专业行政执法部门以派驻、包片等方式下沉执法力量，推进“一支队伍管执法”改革。</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探索创新</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党工委政法办</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各镇街、具有行政执法权的部门</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39" w:type="dxa"/>
            <w:gridSpan w:val="6"/>
            <w:noWrap w:val="0"/>
            <w:vAlign w:val="center"/>
          </w:tcPr>
          <w:p>
            <w:pPr>
              <w:pStyle w:val="4"/>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（二）强化行政执法监督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23</w:t>
            </w:r>
          </w:p>
        </w:tc>
        <w:tc>
          <w:tcPr>
            <w:tcW w:w="3910" w:type="dxa"/>
            <w:noWrap w:val="0"/>
            <w:vAlign w:val="center"/>
          </w:tcPr>
          <w:p>
            <w:pPr>
              <w:pStyle w:val="4"/>
              <w:jc w:val="left"/>
              <w:rPr>
                <w:rFonts w:hint="eastAsia" w:ascii="Times New Roman" w:hAnsi="Times New Roman" w:cs="方正仿宋_GBK"/>
                <w:sz w:val="21"/>
              </w:rPr>
            </w:pPr>
            <w:r>
              <w:rPr>
                <w:rFonts w:hint="eastAsia" w:ascii="Times New Roman" w:hAnsi="Times New Roman" w:cs="方正仿宋_GBK"/>
                <w:sz w:val="21"/>
              </w:rPr>
              <w:t>强化行政执法监督，用好重庆市“执法+监督”数字应用，定期抽查镇街行政执法电子案卷，及时发现和纠正涉企执法不当行为。</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党工委政法办</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各镇街、具有行政执法权的部门</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24</w:t>
            </w:r>
          </w:p>
        </w:tc>
        <w:tc>
          <w:tcPr>
            <w:tcW w:w="3910" w:type="dxa"/>
            <w:noWrap w:val="0"/>
            <w:vAlign w:val="center"/>
          </w:tcPr>
          <w:p>
            <w:pPr>
              <w:pStyle w:val="4"/>
              <w:jc w:val="left"/>
              <w:rPr>
                <w:rFonts w:hint="eastAsia" w:ascii="Times New Roman" w:hAnsi="Times New Roman" w:cs="方正仿宋_GBK"/>
                <w:sz w:val="21"/>
              </w:rPr>
            </w:pPr>
            <w:r>
              <w:rPr>
                <w:rFonts w:hint="eastAsia" w:ascii="Times New Roman" w:hAnsi="Times New Roman" w:cs="方正仿宋_GBK"/>
                <w:sz w:val="21"/>
              </w:rPr>
              <w:t>用好“大综合一体化”行政执法改革报表考核指标，压实执法机关主体责任，努力降低行政执法案件被纠错率，努力实现严格规范公正文明执法。</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党工委政法办</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各镇街、具有行政执法权的部门</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25</w:t>
            </w:r>
          </w:p>
        </w:tc>
        <w:tc>
          <w:tcPr>
            <w:tcW w:w="3910" w:type="dxa"/>
            <w:noWrap w:val="0"/>
            <w:vAlign w:val="center"/>
          </w:tcPr>
          <w:p>
            <w:pPr>
              <w:pStyle w:val="4"/>
              <w:jc w:val="left"/>
              <w:rPr>
                <w:rFonts w:hint="eastAsia" w:ascii="Times New Roman" w:hAnsi="Times New Roman" w:cs="方正仿宋_GBK"/>
                <w:sz w:val="21"/>
              </w:rPr>
            </w:pPr>
            <w:r>
              <w:rPr>
                <w:rFonts w:hint="eastAsia" w:ascii="Times New Roman" w:hAnsi="Times New Roman" w:cs="方正仿宋_GBK"/>
                <w:sz w:val="21"/>
              </w:rPr>
              <w:t>用好《国务院关于进一步规范和监督罚款设定与实施的指导意见》《重庆市规范行政处罚裁量权办法》《重庆市行政处罚听证程序规定》等法律法规规章，防止类案不同罚、畸轻畸重等不当执法。</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党工委政法办</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各镇街、具有行政执法权的部门</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26</w:t>
            </w:r>
          </w:p>
        </w:tc>
        <w:tc>
          <w:tcPr>
            <w:tcW w:w="3910" w:type="dxa"/>
            <w:noWrap w:val="0"/>
            <w:vAlign w:val="center"/>
          </w:tcPr>
          <w:p>
            <w:pPr>
              <w:pStyle w:val="4"/>
              <w:jc w:val="left"/>
              <w:rPr>
                <w:rFonts w:hint="eastAsia" w:ascii="Times New Roman" w:hAnsi="Times New Roman" w:cs="方正仿宋_GBK"/>
                <w:sz w:val="21"/>
              </w:rPr>
            </w:pPr>
            <w:r>
              <w:rPr>
                <w:rFonts w:hint="eastAsia" w:ascii="Times New Roman" w:hAnsi="Times New Roman" w:cs="方正仿宋_GBK"/>
                <w:sz w:val="21"/>
              </w:rPr>
              <w:t>提供制度保障，针对负面舆情多发问题，制定出台《万盛经开区综合行政执法人员管理指导办法》，明确队伍规范管理要求，强化监督检查，为执法队伍正规化建设提供制度保障。</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党工委政法办</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各镇街、具有行政执法权的部门</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39" w:type="dxa"/>
            <w:gridSpan w:val="6"/>
            <w:noWrap w:val="0"/>
            <w:vAlign w:val="center"/>
          </w:tcPr>
          <w:p>
            <w:pPr>
              <w:pStyle w:val="4"/>
              <w:rPr>
                <w:rFonts w:hint="eastAsia" w:ascii="Times New Roman" w:hAnsi="Times New Roman" w:eastAsia="方正黑体_GBK" w:cs="方正黑体_GBK"/>
                <w:kern w:val="0"/>
                <w:sz w:val="21"/>
              </w:rPr>
            </w:pPr>
            <w:r>
              <w:rPr>
                <w:rFonts w:hint="eastAsia" w:ascii="Times New Roman" w:hAnsi="Times New Roman" w:eastAsia="方正黑体_GBK" w:cs="方正黑体_GBK"/>
                <w:kern w:val="0"/>
                <w:sz w:val="21"/>
              </w:rPr>
              <w:t>四、营造活力迸发的创新环境（统筹单位：科技局）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8739" w:type="dxa"/>
            <w:gridSpan w:val="6"/>
            <w:noWrap w:val="0"/>
            <w:vAlign w:val="center"/>
          </w:tcPr>
          <w:p>
            <w:pPr>
              <w:pStyle w:val="4"/>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（一）加速集聚高端创新资源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7"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27</w:t>
            </w:r>
          </w:p>
        </w:tc>
        <w:tc>
          <w:tcPr>
            <w:tcW w:w="3910" w:type="dxa"/>
            <w:noWrap w:val="0"/>
            <w:vAlign w:val="center"/>
          </w:tcPr>
          <w:p>
            <w:pPr>
              <w:pStyle w:val="4"/>
              <w:jc w:val="left"/>
              <w:rPr>
                <w:rFonts w:hint="eastAsia" w:ascii="Times New Roman" w:hAnsi="Times New Roman" w:cs="方正仿宋_GBK"/>
                <w:sz w:val="21"/>
              </w:rPr>
            </w:pPr>
            <w:r>
              <w:rPr>
                <w:rFonts w:hint="eastAsia" w:ascii="Times New Roman" w:hAnsi="Times New Roman" w:cs="方正仿宋_GBK"/>
                <w:sz w:val="21"/>
              </w:rPr>
              <w:t>加快建设科技创新平台，围绕“</w:t>
            </w:r>
            <w:r>
              <w:rPr>
                <w:rFonts w:hint="eastAsia" w:ascii="Times New Roman" w:hAnsi="Times New Roman" w:cs="Times New Roman"/>
                <w:sz w:val="21"/>
              </w:rPr>
              <w:t>231</w:t>
            </w:r>
            <w:r>
              <w:rPr>
                <w:rFonts w:hint="eastAsia" w:ascii="Times New Roman" w:hAnsi="Times New Roman" w:cs="方正仿宋_GBK"/>
                <w:sz w:val="21"/>
              </w:rPr>
              <w:t>”现代制造业产业集群，加快构建“一区三中心</w:t>
            </w:r>
            <w:r>
              <w:rPr>
                <w:rFonts w:hint="eastAsia" w:ascii="Times New Roman" w:hAnsi="Times New Roman" w:cs="Times New Roman"/>
                <w:sz w:val="21"/>
              </w:rPr>
              <w:t>N</w:t>
            </w:r>
            <w:r>
              <w:rPr>
                <w:rFonts w:hint="eastAsia" w:ascii="Times New Roman" w:hAnsi="Times New Roman" w:cs="方正仿宋_GBK"/>
                <w:sz w:val="21"/>
              </w:rPr>
              <w:t>平台”创新平台体系，鼓励支持符合条件的企业积极申报创建技术创新中心、重点实验室等以企业为主体创新研发平台，力争新培育市级、区级创新平台</w:t>
            </w:r>
            <w:r>
              <w:rPr>
                <w:rFonts w:hint="eastAsia" w:ascii="Times New Roman" w:hAnsi="Times New Roman" w:cs="Times New Roman"/>
                <w:sz w:val="21"/>
              </w:rPr>
              <w:t>2</w:t>
            </w:r>
            <w:r>
              <w:rPr>
                <w:rFonts w:hint="eastAsia" w:ascii="Times New Roman" w:hAnsi="Times New Roman" w:cs="方正仿宋_GBK"/>
                <w:sz w:val="21"/>
              </w:rPr>
              <w:t>家，市级重点实验室</w:t>
            </w:r>
            <w:r>
              <w:rPr>
                <w:rFonts w:hint="eastAsia" w:ascii="Times New Roman" w:hAnsi="Times New Roman" w:cs="Times New Roman"/>
                <w:sz w:val="21"/>
              </w:rPr>
              <w:t>1</w:t>
            </w:r>
            <w:r>
              <w:rPr>
                <w:rFonts w:hint="eastAsia" w:ascii="Times New Roman" w:hAnsi="Times New Roman" w:cs="方正仿宋_GBK"/>
                <w:sz w:val="21"/>
              </w:rPr>
              <w:t>家。</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科技局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经济信息局等有关单位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28</w:t>
            </w:r>
          </w:p>
        </w:tc>
        <w:tc>
          <w:tcPr>
            <w:tcW w:w="3910" w:type="dxa"/>
            <w:noWrap w:val="0"/>
            <w:vAlign w:val="center"/>
          </w:tcPr>
          <w:p>
            <w:pPr>
              <w:pStyle w:val="4"/>
              <w:jc w:val="left"/>
              <w:rPr>
                <w:rFonts w:hint="eastAsia" w:ascii="Times New Roman" w:hAnsi="Times New Roman" w:cs="方正仿宋_GBK"/>
                <w:sz w:val="21"/>
              </w:rPr>
            </w:pPr>
            <w:r>
              <w:rPr>
                <w:rFonts w:hint="eastAsia" w:ascii="Times New Roman" w:hAnsi="Times New Roman" w:cs="方正仿宋_GBK"/>
                <w:sz w:val="21"/>
              </w:rPr>
              <w:t>加大招商引资力度，结合我区主导产业，加大对接高校和科研院所，着力招引一批科技型企业、高新技术企业落地万盛。</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科技局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经济信息局等有关单位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826" w:type="dxa"/>
            <w:noWrap w:val="0"/>
            <w:vAlign w:val="center"/>
          </w:tcPr>
          <w:p>
            <w:pPr>
              <w:pStyle w:val="4"/>
              <w:jc w:val="center"/>
              <w:rPr>
                <w:rFonts w:ascii="Times New Roman" w:hAnsi="Times New Roman" w:cs="方正仿宋_GBK"/>
                <w:sz w:val="21"/>
              </w:rPr>
            </w:pPr>
            <w:r>
              <w:rPr>
                <w:rFonts w:hint="eastAsia" w:ascii="Times New Roman" w:hAnsi="Times New Roman" w:cs="Times New Roman"/>
                <w:sz w:val="21"/>
              </w:rPr>
              <w:t>29</w:t>
            </w:r>
          </w:p>
        </w:tc>
        <w:tc>
          <w:tcPr>
            <w:tcW w:w="3910" w:type="dxa"/>
            <w:noWrap w:val="0"/>
            <w:vAlign w:val="center"/>
          </w:tcPr>
          <w:p>
            <w:pPr>
              <w:pStyle w:val="4"/>
              <w:jc w:val="left"/>
              <w:rPr>
                <w:rFonts w:hint="eastAsia" w:ascii="Times New Roman" w:hAnsi="Times New Roman" w:cs="方正仿宋_GBK"/>
                <w:sz w:val="21"/>
              </w:rPr>
            </w:pPr>
            <w:r>
              <w:rPr>
                <w:rFonts w:hint="eastAsia" w:ascii="Times New Roman" w:hAnsi="Times New Roman" w:cs="方正仿宋_GBK"/>
                <w:sz w:val="21"/>
              </w:rPr>
              <w:t>加强“政产学研”合作，持续强化与高校和科研院所合作，构建“政产学研”合作体系，形成高效协作、成果分享的创新模式，为我区科技创新发展注入强劲动力。</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科技局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经济信息局等有关单位</w:t>
            </w:r>
          </w:p>
        </w:tc>
        <w:tc>
          <w:tcPr>
            <w:tcW w:w="894" w:type="dxa"/>
            <w:noWrap w:val="0"/>
            <w:vAlign w:val="center"/>
          </w:tcPr>
          <w:p>
            <w:pPr>
              <w:pStyle w:val="4"/>
              <w:jc w:val="center"/>
              <w:rPr>
                <w:rFonts w:ascii="Times New Roman" w:hAnsi="Times New Roman" w:cs="方正仿宋_GBK"/>
                <w:kern w:val="0"/>
                <w:sz w:val="21"/>
              </w:rPr>
            </w:pPr>
            <w:r>
              <w:rPr>
                <w:rFonts w:hint="eastAsia" w:ascii="Times New Roman" w:hAnsi="Times New Roman" w:cs="Times New Roman"/>
                <w:sz w:val="21"/>
              </w:rPr>
              <w:t>2024</w:t>
            </w:r>
            <w:r>
              <w:rPr>
                <w:rFonts w:hint="eastAsia" w:ascii="Times New Roman" w:hAnsi="Times New Roman" w:cs="方正仿宋_GBK"/>
                <w:kern w:val="0"/>
                <w:sz w:val="21"/>
              </w:rPr>
              <w:t>年</w:t>
            </w:r>
            <w:r>
              <w:rPr>
                <w:rFonts w:hint="eastAsia" w:ascii="Times New Roman" w:hAnsi="Times New Roman" w:cs="Times New Roman"/>
                <w:sz w:val="21"/>
              </w:rPr>
              <w:t>12</w:t>
            </w:r>
            <w:r>
              <w:rPr>
                <w:rFonts w:hint="eastAsia" w:ascii="Times New Roman" w:hAnsi="Times New Roman" w:cs="方正仿宋_GBK"/>
                <w:kern w:val="0"/>
                <w:sz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（二）狠抓创新主体培育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30</w:t>
            </w:r>
          </w:p>
        </w:tc>
        <w:tc>
          <w:tcPr>
            <w:tcW w:w="3910" w:type="dxa"/>
            <w:noWrap w:val="0"/>
            <w:vAlign w:val="center"/>
          </w:tcPr>
          <w:p>
            <w:pPr>
              <w:pStyle w:val="4"/>
              <w:jc w:val="left"/>
              <w:rPr>
                <w:rFonts w:hint="eastAsia" w:ascii="Times New Roman" w:hAnsi="Times New Roman" w:cs="方正仿宋_GBK"/>
                <w:sz w:val="21"/>
              </w:rPr>
            </w:pPr>
            <w:r>
              <w:rPr>
                <w:rFonts w:hint="eastAsia" w:ascii="Times New Roman" w:hAnsi="Times New Roman" w:cs="方正仿宋_GBK"/>
                <w:sz w:val="21"/>
              </w:rPr>
              <w:t>深入实施“双倍增”行动，按照“政府统筹、科技牵头、部门协调、镇街配合”的</w:t>
            </w:r>
            <w:r>
              <w:rPr>
                <w:rFonts w:hint="eastAsia" w:ascii="Times New Roman" w:hAnsi="Times New Roman" w:cs="方正仿宋_GBK"/>
                <w:spacing w:val="-6"/>
                <w:sz w:val="21"/>
              </w:rPr>
              <w:t>总体思路，构建纵向到底、横向到边的网格化服务体系，深入挖掘区内优质企业存量</w:t>
            </w:r>
            <w:r>
              <w:rPr>
                <w:rFonts w:hint="eastAsia" w:ascii="Times New Roman" w:hAnsi="Times New Roman" w:cs="方正仿宋_GBK"/>
                <w:sz w:val="21"/>
              </w:rPr>
              <w:t>。</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科技局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各镇街、各有关单位</w:t>
            </w:r>
          </w:p>
        </w:tc>
        <w:tc>
          <w:tcPr>
            <w:tcW w:w="894" w:type="dxa"/>
            <w:noWrap w:val="0"/>
            <w:vAlign w:val="center"/>
          </w:tcPr>
          <w:p>
            <w:pPr>
              <w:jc w:val="center"/>
              <w:rPr>
                <w:rFonts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31</w:t>
            </w:r>
          </w:p>
        </w:tc>
        <w:tc>
          <w:tcPr>
            <w:tcW w:w="3910" w:type="dxa"/>
            <w:noWrap w:val="0"/>
            <w:vAlign w:val="center"/>
          </w:tcPr>
          <w:p>
            <w:pPr>
              <w:pStyle w:val="4"/>
              <w:jc w:val="left"/>
              <w:rPr>
                <w:rFonts w:hint="eastAsia" w:ascii="Times New Roman" w:hAnsi="Times New Roman" w:cs="方正仿宋_GBK"/>
                <w:sz w:val="21"/>
              </w:rPr>
            </w:pPr>
            <w:r>
              <w:rPr>
                <w:rFonts w:hint="eastAsia" w:ascii="Times New Roman" w:hAnsi="Times New Roman" w:cs="方正仿宋_GBK"/>
                <w:sz w:val="21"/>
              </w:rPr>
              <w:t>加大高新技术企业、科技型企业引进力度，持续做大创新主体增量，分解下达培</w:t>
            </w:r>
            <w:r>
              <w:rPr>
                <w:rFonts w:hint="eastAsia" w:ascii="Times New Roman" w:hAnsi="Times New Roman" w:cs="方正仿宋_GBK"/>
                <w:spacing w:val="-6"/>
                <w:sz w:val="21"/>
              </w:rPr>
              <w:t>育目标任务至“双倍增”责任单位，力争培育高新技术企业</w:t>
            </w:r>
            <w:r>
              <w:rPr>
                <w:rFonts w:hint="eastAsia" w:ascii="Times New Roman" w:hAnsi="Times New Roman" w:cs="Times New Roman"/>
                <w:spacing w:val="-6"/>
                <w:sz w:val="21"/>
              </w:rPr>
              <w:t>10</w:t>
            </w:r>
            <w:r>
              <w:rPr>
                <w:rFonts w:hint="eastAsia" w:ascii="Times New Roman" w:hAnsi="Times New Roman" w:cs="方正仿宋_GBK"/>
                <w:spacing w:val="-6"/>
                <w:sz w:val="21"/>
              </w:rPr>
              <w:t>家、科技型企业</w:t>
            </w:r>
            <w:r>
              <w:rPr>
                <w:rFonts w:hint="eastAsia" w:ascii="Times New Roman" w:hAnsi="Times New Roman" w:cs="Times New Roman"/>
                <w:spacing w:val="-6"/>
                <w:sz w:val="21"/>
              </w:rPr>
              <w:t>50</w:t>
            </w:r>
            <w:r>
              <w:rPr>
                <w:rFonts w:hint="eastAsia" w:ascii="Times New Roman" w:hAnsi="Times New Roman" w:cs="方正仿宋_GBK"/>
                <w:spacing w:val="-6"/>
                <w:sz w:val="21"/>
              </w:rPr>
              <w:t>家</w:t>
            </w:r>
            <w:r>
              <w:rPr>
                <w:rFonts w:hint="eastAsia" w:ascii="Times New Roman" w:hAnsi="Times New Roman" w:cs="方正仿宋_GBK"/>
                <w:sz w:val="21"/>
              </w:rPr>
              <w:t>。</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科技局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各镇街、各有关单位</w:t>
            </w:r>
          </w:p>
        </w:tc>
        <w:tc>
          <w:tcPr>
            <w:tcW w:w="894" w:type="dxa"/>
            <w:noWrap w:val="0"/>
            <w:vAlign w:val="center"/>
          </w:tcPr>
          <w:p>
            <w:pPr>
              <w:jc w:val="center"/>
              <w:rPr>
                <w:rFonts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32</w:t>
            </w:r>
          </w:p>
        </w:tc>
        <w:tc>
          <w:tcPr>
            <w:tcW w:w="3910" w:type="dxa"/>
            <w:noWrap w:val="0"/>
            <w:vAlign w:val="center"/>
          </w:tcPr>
          <w:p>
            <w:pPr>
              <w:pStyle w:val="4"/>
              <w:jc w:val="left"/>
              <w:rPr>
                <w:rFonts w:hint="eastAsia" w:ascii="Times New Roman" w:hAnsi="Times New Roman" w:cs="方正仿宋_GBK"/>
                <w:sz w:val="21"/>
              </w:rPr>
            </w:pPr>
            <w:r>
              <w:rPr>
                <w:rFonts w:hint="eastAsia" w:ascii="Times New Roman" w:hAnsi="Times New Roman" w:cs="方正仿宋_GBK"/>
                <w:sz w:val="21"/>
              </w:rPr>
              <w:t>发挥企业孵化载体作用，加快创新型企业孵化，力争</w:t>
            </w:r>
            <w:r>
              <w:rPr>
                <w:rFonts w:hint="eastAsia" w:ascii="Times New Roman" w:hAnsi="Times New Roman" w:cs="Times New Roman"/>
                <w:sz w:val="21"/>
              </w:rPr>
              <w:t>2024</w:t>
            </w:r>
            <w:r>
              <w:rPr>
                <w:rFonts w:hint="eastAsia" w:ascii="Times New Roman" w:hAnsi="Times New Roman" w:cs="方正仿宋_GBK"/>
                <w:sz w:val="21"/>
              </w:rPr>
              <w:t>年新培育孵化载体</w:t>
            </w:r>
            <w:r>
              <w:rPr>
                <w:rFonts w:hint="eastAsia" w:ascii="Times New Roman" w:hAnsi="Times New Roman" w:cs="Times New Roman"/>
                <w:sz w:val="21"/>
              </w:rPr>
              <w:t>1</w:t>
            </w:r>
            <w:r>
              <w:rPr>
                <w:rFonts w:hint="eastAsia" w:ascii="Times New Roman" w:hAnsi="Times New Roman" w:cs="方正仿宋_GBK"/>
                <w:sz w:val="21"/>
              </w:rPr>
              <w:t>家。</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科技局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各有关单位</w:t>
            </w:r>
          </w:p>
        </w:tc>
        <w:tc>
          <w:tcPr>
            <w:tcW w:w="894" w:type="dxa"/>
            <w:noWrap w:val="0"/>
            <w:vAlign w:val="center"/>
          </w:tcPr>
          <w:p>
            <w:pPr>
              <w:jc w:val="center"/>
              <w:rPr>
                <w:rFonts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39" w:type="dxa"/>
            <w:gridSpan w:val="6"/>
            <w:noWrap w:val="0"/>
            <w:vAlign w:val="center"/>
          </w:tcPr>
          <w:p>
            <w:pPr>
              <w:pStyle w:val="4"/>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（三）健全创新服务体系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33</w:t>
            </w:r>
          </w:p>
        </w:tc>
        <w:tc>
          <w:tcPr>
            <w:tcW w:w="3910" w:type="dxa"/>
            <w:noWrap w:val="0"/>
            <w:vAlign w:val="center"/>
          </w:tcPr>
          <w:p>
            <w:pPr>
              <w:pStyle w:val="4"/>
              <w:rPr>
                <w:rFonts w:hint="eastAsia" w:ascii="Times New Roman" w:hAnsi="Times New Roman" w:cs="方正仿宋_GBK"/>
                <w:kern w:val="0"/>
                <w:sz w:val="21"/>
              </w:rPr>
            </w:pPr>
            <w:r>
              <w:rPr>
                <w:rFonts w:hint="eastAsia" w:ascii="Times New Roman" w:hAnsi="Times New Roman" w:cs="方正仿宋_GBK"/>
                <w:kern w:val="0"/>
                <w:sz w:val="21"/>
              </w:rPr>
              <w:t>强力推进市级高新区创建，以高新区创建为引领，加大对科技创新主体和科技创新平台的政策服务供给，构建创新生态圈，力争</w:t>
            </w:r>
            <w:r>
              <w:rPr>
                <w:rFonts w:hint="eastAsia" w:ascii="Times New Roman" w:hAnsi="Times New Roman" w:cs="Times New Roman"/>
                <w:sz w:val="21"/>
              </w:rPr>
              <w:t>2024</w:t>
            </w:r>
            <w:r>
              <w:rPr>
                <w:rFonts w:hint="eastAsia" w:ascii="Times New Roman" w:hAnsi="Times New Roman" w:cs="方正仿宋_GBK"/>
                <w:kern w:val="0"/>
                <w:sz w:val="21"/>
              </w:rPr>
              <w:t>年成功通过专家评估验收并正式挂牌。</w:t>
            </w:r>
          </w:p>
        </w:tc>
        <w:tc>
          <w:tcPr>
            <w:tcW w:w="640"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科技局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各有关单位</w:t>
            </w:r>
          </w:p>
        </w:tc>
        <w:tc>
          <w:tcPr>
            <w:tcW w:w="894" w:type="dxa"/>
            <w:noWrap w:val="0"/>
            <w:vAlign w:val="center"/>
          </w:tcPr>
          <w:p>
            <w:pPr>
              <w:jc w:val="center"/>
              <w:rPr>
                <w:rFonts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方正仿宋_GBK"/>
                <w:kern w:val="0"/>
                <w:sz w:val="21"/>
              </w:rPr>
            </w:pPr>
            <w:r>
              <w:rPr>
                <w:rFonts w:hint="eastAsia" w:ascii="Times New Roman" w:hAnsi="Times New Roman" w:cs="方正仿宋_GBK"/>
                <w:kern w:val="0"/>
                <w:sz w:val="21"/>
              </w:rPr>
              <w:t>34</w:t>
            </w:r>
          </w:p>
        </w:tc>
        <w:tc>
          <w:tcPr>
            <w:tcW w:w="3910" w:type="dxa"/>
            <w:noWrap w:val="0"/>
            <w:vAlign w:val="center"/>
          </w:tcPr>
          <w:p>
            <w:pPr>
              <w:pStyle w:val="4"/>
              <w:rPr>
                <w:rFonts w:hint="eastAsia" w:ascii="Times New Roman" w:hAnsi="Times New Roman" w:cs="方正仿宋_GBK"/>
                <w:kern w:val="0"/>
                <w:sz w:val="21"/>
              </w:rPr>
            </w:pPr>
            <w:r>
              <w:rPr>
                <w:rFonts w:hint="eastAsia" w:ascii="Times New Roman" w:hAnsi="Times New Roman" w:cs="方正仿宋_GBK"/>
                <w:kern w:val="0"/>
                <w:sz w:val="21"/>
              </w:rPr>
              <w:t>加大科技成果转化应用，加快国家科技成果转移转化示范区建设，以开展“科技成果区县行”专项行动为载体，推动区域创新，打通科技转移转化“最后一公里”。</w:t>
            </w:r>
          </w:p>
        </w:tc>
        <w:tc>
          <w:tcPr>
            <w:tcW w:w="640" w:type="dxa"/>
            <w:noWrap w:val="0"/>
            <w:vAlign w:val="center"/>
          </w:tcPr>
          <w:p>
            <w:pPr>
              <w:pStyle w:val="4"/>
              <w:jc w:val="center"/>
              <w:rPr>
                <w:rFonts w:hint="eastAsia" w:ascii="Times New Roman" w:hAnsi="Times New Roman" w:cs="方正仿宋_GBK"/>
                <w:sz w:val="21"/>
                <w:shd w:val="clear" w:color="auto" w:fill="FFFFFF"/>
              </w:rPr>
            </w:pPr>
            <w:r>
              <w:rPr>
                <w:rFonts w:hint="eastAsia" w:ascii="Times New Roman" w:hAnsi="Times New Roman" w:cs="方正仿宋_GBK"/>
                <w:kern w:val="0"/>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科技局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经济信息局等有关单位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35</w:t>
            </w:r>
          </w:p>
        </w:tc>
        <w:tc>
          <w:tcPr>
            <w:tcW w:w="3910" w:type="dxa"/>
            <w:noWrap w:val="0"/>
            <w:vAlign w:val="center"/>
          </w:tcPr>
          <w:p>
            <w:pPr>
              <w:pStyle w:val="4"/>
              <w:rPr>
                <w:rFonts w:hint="eastAsia" w:ascii="Times New Roman" w:hAnsi="Times New Roman" w:cs="方正仿宋_GBK"/>
                <w:kern w:val="0"/>
                <w:sz w:val="21"/>
              </w:rPr>
            </w:pPr>
            <w:r>
              <w:rPr>
                <w:rFonts w:hint="eastAsia" w:ascii="Times New Roman" w:hAnsi="Times New Roman" w:cs="方正仿宋_GBK"/>
                <w:kern w:val="0"/>
                <w:sz w:val="21"/>
              </w:rPr>
              <w:t>加强知识产权保护应用，全力协同做好企业知识产权获取、保护。</w:t>
            </w:r>
          </w:p>
        </w:tc>
        <w:tc>
          <w:tcPr>
            <w:tcW w:w="640"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市场监管局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科技局、经济信息局等有关单位</w:t>
            </w:r>
          </w:p>
        </w:tc>
        <w:tc>
          <w:tcPr>
            <w:tcW w:w="894" w:type="dxa"/>
            <w:noWrap w:val="0"/>
            <w:vAlign w:val="center"/>
          </w:tcPr>
          <w:p>
            <w:pPr>
              <w:pStyle w:val="4"/>
              <w:jc w:val="center"/>
              <w:rPr>
                <w:rFonts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36</w:t>
            </w:r>
          </w:p>
        </w:tc>
        <w:tc>
          <w:tcPr>
            <w:tcW w:w="3910" w:type="dxa"/>
            <w:noWrap w:val="0"/>
            <w:vAlign w:val="center"/>
          </w:tcPr>
          <w:p>
            <w:pPr>
              <w:pStyle w:val="4"/>
              <w:rPr>
                <w:rFonts w:hint="eastAsia" w:ascii="Times New Roman" w:hAnsi="Times New Roman" w:cs="方正仿宋_GBK"/>
                <w:kern w:val="0"/>
                <w:sz w:val="21"/>
              </w:rPr>
            </w:pPr>
            <w:r>
              <w:rPr>
                <w:rFonts w:hint="eastAsia" w:ascii="Times New Roman" w:hAnsi="Times New Roman" w:cs="方正仿宋_GBK"/>
                <w:kern w:val="0"/>
                <w:sz w:val="21"/>
              </w:rPr>
              <w:t>深化科技体制机制改革，以“数智科创”为核心，深入落实数字重庆建设，推动科创数字化。</w:t>
            </w:r>
          </w:p>
        </w:tc>
        <w:tc>
          <w:tcPr>
            <w:tcW w:w="640"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科技局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pStyle w:val="4"/>
              <w:jc w:val="center"/>
              <w:rPr>
                <w:rFonts w:ascii="Times New Roman" w:hAnsi="Times New Roman" w:cs="方正仿宋_GBK"/>
                <w:kern w:val="0"/>
                <w:sz w:val="21"/>
              </w:rPr>
            </w:pPr>
            <w:r>
              <w:rPr>
                <w:rFonts w:hint="eastAsia" w:ascii="Times New Roman" w:hAnsi="Times New Roman" w:cs="Times New Roman"/>
                <w:sz w:val="21"/>
              </w:rPr>
              <w:t>2024</w:t>
            </w:r>
            <w:r>
              <w:rPr>
                <w:rFonts w:hint="eastAsia" w:ascii="Times New Roman" w:hAnsi="Times New Roman" w:cs="方正仿宋_GBK"/>
                <w:kern w:val="0"/>
                <w:sz w:val="21"/>
              </w:rPr>
              <w:t>年</w:t>
            </w:r>
            <w:r>
              <w:rPr>
                <w:rFonts w:hint="eastAsia" w:ascii="Times New Roman" w:hAnsi="Times New Roman" w:cs="Times New Roman"/>
                <w:sz w:val="21"/>
              </w:rPr>
              <w:t>12</w:t>
            </w:r>
            <w:r>
              <w:rPr>
                <w:rFonts w:hint="eastAsia" w:ascii="Times New Roman" w:hAnsi="Times New Roman" w:cs="方正仿宋_GBK"/>
                <w:kern w:val="0"/>
                <w:sz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739" w:type="dxa"/>
            <w:gridSpan w:val="6"/>
            <w:noWrap w:val="0"/>
            <w:vAlign w:val="center"/>
          </w:tcPr>
          <w:p>
            <w:pPr>
              <w:pStyle w:val="4"/>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（四）加大科技投入力度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37</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积极向上争取资金支持，采用“揭榜挂帅”“赛马比拼”等方式，推动加大研发投入，全力争取市级重点项目、市级特派员补助等上级资金，争取上级支持</w:t>
            </w:r>
            <w:r>
              <w:rPr>
                <w:rFonts w:hint="eastAsia" w:ascii="Times New Roman" w:hAnsi="Times New Roman" w:cs="Times New Roman"/>
                <w:sz w:val="21"/>
              </w:rPr>
              <w:t>600</w:t>
            </w:r>
            <w:r>
              <w:rPr>
                <w:rFonts w:hint="eastAsia" w:ascii="Times New Roman" w:hAnsi="Times New Roman" w:cs="方正仿宋_GBK"/>
                <w:sz w:val="21"/>
              </w:rPr>
              <w:t>万元。</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科技局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38</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大力实施招商引资，坚持“引进来 走出去”相结合，多渠道扩大引资主体，力争实现招商引资</w:t>
            </w:r>
            <w:r>
              <w:rPr>
                <w:rFonts w:hint="eastAsia" w:ascii="Times New Roman" w:hAnsi="Times New Roman" w:cs="Times New Roman"/>
                <w:sz w:val="21"/>
              </w:rPr>
              <w:t>6</w:t>
            </w:r>
            <w:r>
              <w:rPr>
                <w:rFonts w:hint="eastAsia" w:ascii="Times New Roman" w:hAnsi="Times New Roman" w:cs="方正仿宋_GBK"/>
                <w:sz w:val="21"/>
              </w:rPr>
              <w:t>亿元。</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科技局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经济信息局等有关单位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39</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强化科技金融支撑力度，梳理惠企科技政策，推进政策资金落实到位；持续推进知识价值信用贷款，不断开发科技金融产品，着力解决科技企业融资难、融资贵问题。</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科技局、财政局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经济信息局等有关单位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39" w:type="dxa"/>
            <w:gridSpan w:val="6"/>
            <w:noWrap w:val="0"/>
            <w:vAlign w:val="center"/>
          </w:tcPr>
          <w:p>
            <w:pPr>
              <w:pStyle w:val="4"/>
              <w:rPr>
                <w:rFonts w:hint="eastAsia" w:ascii="Times New Roman" w:hAnsi="Times New Roman" w:eastAsia="方正楷体_GBK" w:cs="方正楷体_GBK"/>
                <w:sz w:val="21"/>
              </w:rPr>
            </w:pPr>
            <w:r>
              <w:rPr>
                <w:rFonts w:hint="eastAsia" w:ascii="Times New Roman" w:hAnsi="Times New Roman" w:eastAsia="方正楷体_GBK" w:cs="方正楷体_GBK"/>
                <w:sz w:val="21"/>
              </w:rPr>
              <w:t>（五）健全人才梯次引育体系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40</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建立人才需求信息库，聚焦我区“</w:t>
            </w:r>
            <w:r>
              <w:rPr>
                <w:rFonts w:hint="eastAsia" w:ascii="Times New Roman" w:hAnsi="Times New Roman" w:cs="Times New Roman"/>
                <w:sz w:val="21"/>
              </w:rPr>
              <w:t>231</w:t>
            </w:r>
            <w:r>
              <w:rPr>
                <w:rFonts w:hint="eastAsia" w:ascii="Times New Roman" w:hAnsi="Times New Roman" w:cs="方正仿宋_GBK"/>
                <w:sz w:val="21"/>
              </w:rPr>
              <w:t>”</w:t>
            </w:r>
            <w:r>
              <w:rPr>
                <w:rFonts w:hint="eastAsia" w:ascii="Times New Roman" w:hAnsi="Times New Roman" w:cs="方正仿宋_GBK"/>
                <w:spacing w:val="-6"/>
                <w:sz w:val="21"/>
              </w:rPr>
              <w:t>现代制造业产业集群，加快引进高级研发人才、高水平专业技能人才、高层次管理人才</w:t>
            </w:r>
            <w:r>
              <w:rPr>
                <w:rFonts w:hint="eastAsia" w:ascii="Times New Roman" w:hAnsi="Times New Roman" w:cs="方正仿宋_GBK"/>
                <w:sz w:val="21"/>
              </w:rPr>
              <w:t>。</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科技局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经济信息局、人力社保局</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41</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强化高层次人才引领作用，支持青年科技人才在重大科技任务中发挥关键作用，探索推进集新要素、新生产、新产业互动互促的新质生产力的人才引领。发挥区内已有学术带头人、区人民医院博士后科研工作站等高层次人才作用，力争新建市级博士后科研工作站</w:t>
            </w:r>
            <w:r>
              <w:rPr>
                <w:rFonts w:hint="eastAsia" w:ascii="Times New Roman" w:hAnsi="Times New Roman" w:cs="Times New Roman"/>
                <w:sz w:val="21"/>
              </w:rPr>
              <w:t>1</w:t>
            </w:r>
            <w:r>
              <w:rPr>
                <w:rFonts w:hint="eastAsia" w:ascii="Times New Roman" w:hAnsi="Times New Roman" w:cs="方正仿宋_GBK"/>
                <w:sz w:val="21"/>
              </w:rPr>
              <w:t>个。</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科技局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人力社保局等有关单位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6"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42</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创新人才引进方式，营造宽容、宽松、宽厚的引才、用才环境，以共建创新平台、联合实施项目、挂职、兼职等方式，深化产学研用合作，通过各种渠道和方式引进</w:t>
            </w:r>
            <w:r>
              <w:rPr>
                <w:rFonts w:hint="eastAsia" w:ascii="Times New Roman" w:hAnsi="Times New Roman" w:cs="Times New Roman"/>
                <w:sz w:val="21"/>
              </w:rPr>
              <w:t>200</w:t>
            </w:r>
            <w:r>
              <w:rPr>
                <w:rFonts w:hint="eastAsia" w:ascii="Times New Roman" w:hAnsi="Times New Roman" w:cs="方正仿宋_GBK"/>
                <w:sz w:val="21"/>
              </w:rPr>
              <w:t>名以上各类市外人才来区就业兴业。</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科技局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经济信息局、人力社保局</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1"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43</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深化技能人才评价制度改革，全年评价技能人才</w:t>
            </w:r>
            <w:r>
              <w:rPr>
                <w:rFonts w:hint="eastAsia" w:ascii="Times New Roman" w:hAnsi="Times New Roman" w:cs="Times New Roman"/>
                <w:sz w:val="21"/>
              </w:rPr>
              <w:t>1000</w:t>
            </w:r>
            <w:r>
              <w:rPr>
                <w:rFonts w:hint="eastAsia" w:ascii="Times New Roman" w:hAnsi="Times New Roman" w:cs="方正仿宋_GBK"/>
                <w:sz w:val="21"/>
              </w:rPr>
              <w:t>人次以上，加大宣传报道，切实提高科技人才荣誉感和归属感，以良好的服务汇聚更多一流人才落户万盛。</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科技局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党工委宣传部、人力社保局</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739" w:type="dxa"/>
            <w:gridSpan w:val="6"/>
            <w:noWrap w:val="0"/>
            <w:vAlign w:val="center"/>
          </w:tcPr>
          <w:p>
            <w:pPr>
              <w:pStyle w:val="4"/>
              <w:rPr>
                <w:rFonts w:hint="eastAsia" w:ascii="Times New Roman" w:hAnsi="Times New Roman" w:eastAsia="方正黑体_GBK" w:cs="方正黑体_GBK"/>
                <w:kern w:val="0"/>
                <w:sz w:val="21"/>
              </w:rPr>
            </w:pPr>
            <w:r>
              <w:rPr>
                <w:rFonts w:hint="eastAsia" w:ascii="Times New Roman" w:hAnsi="Times New Roman" w:eastAsia="方正黑体_GBK" w:cs="方正黑体_GBK"/>
                <w:kern w:val="0"/>
                <w:sz w:val="21"/>
              </w:rPr>
              <w:t>五、营造资源集聚的要素保障环境（统筹单位：经信局）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8739" w:type="dxa"/>
            <w:gridSpan w:val="6"/>
            <w:noWrap w:val="0"/>
            <w:vAlign w:val="center"/>
          </w:tcPr>
          <w:p>
            <w:pPr>
              <w:pStyle w:val="4"/>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（一）</w:t>
            </w:r>
            <w:r>
              <w:rPr>
                <w:rFonts w:hint="eastAsia" w:ascii="Times New Roman" w:hAnsi="Times New Roman" w:eastAsia="方正楷体_GBK" w:cs="方正楷体_GBK"/>
                <w:sz w:val="21"/>
              </w:rPr>
              <w:t>强化能源保障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3"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44</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加快页岩气开发，加大推动页岩气勘探开发力度，推动页岩气稳产增能，完成丛林—万东—南桐、南桐—关坝—青年页岩气集输管网和集输管网至城市燃气配气站管线建设，串联新页</w:t>
            </w:r>
            <w:r>
              <w:rPr>
                <w:rFonts w:hint="eastAsia" w:ascii="Times New Roman" w:hAnsi="Times New Roman" w:cs="Times New Roman"/>
                <w:sz w:val="21"/>
              </w:rPr>
              <w:t>1</w:t>
            </w:r>
            <w:r>
              <w:rPr>
                <w:rFonts w:hint="eastAsia" w:ascii="Times New Roman" w:hAnsi="Times New Roman" w:cs="方正仿宋_GBK"/>
                <w:sz w:val="21"/>
              </w:rPr>
              <w:t>井、新页</w:t>
            </w:r>
            <w:r>
              <w:rPr>
                <w:rFonts w:hint="eastAsia" w:ascii="Times New Roman" w:hAnsi="Times New Roman" w:cs="Times New Roman"/>
                <w:sz w:val="21"/>
              </w:rPr>
              <w:t>2</w:t>
            </w:r>
            <w:r>
              <w:rPr>
                <w:rFonts w:hint="eastAsia" w:ascii="Times New Roman" w:hAnsi="Times New Roman" w:cs="方正仿宋_GBK"/>
                <w:sz w:val="21"/>
              </w:rPr>
              <w:t>井和</w:t>
            </w:r>
            <w:r>
              <w:rPr>
                <w:rFonts w:hint="eastAsia" w:ascii="Times New Roman" w:hAnsi="Times New Roman" w:cs="Times New Roman"/>
                <w:sz w:val="21"/>
              </w:rPr>
              <w:t>Y81</w:t>
            </w:r>
            <w:r>
              <w:rPr>
                <w:rFonts w:hint="eastAsia" w:ascii="Times New Roman" w:hAnsi="Times New Roman" w:cs="方正仿宋_GBK"/>
                <w:sz w:val="21"/>
              </w:rPr>
              <w:t>、</w:t>
            </w:r>
            <w:r>
              <w:rPr>
                <w:rFonts w:hint="eastAsia" w:ascii="Times New Roman" w:hAnsi="Times New Roman" w:cs="Times New Roman"/>
                <w:sz w:val="21"/>
              </w:rPr>
              <w:t>Y80</w:t>
            </w:r>
            <w:r>
              <w:rPr>
                <w:rFonts w:hint="eastAsia" w:ascii="Times New Roman" w:hAnsi="Times New Roman" w:cs="方正仿宋_GBK"/>
                <w:sz w:val="21"/>
              </w:rPr>
              <w:t>等页岩气采气平台，预计产能</w:t>
            </w:r>
            <w:r>
              <w:rPr>
                <w:rFonts w:hint="eastAsia" w:ascii="Times New Roman" w:hAnsi="Times New Roman" w:cs="Times New Roman"/>
                <w:sz w:val="21"/>
              </w:rPr>
              <w:t>0.75</w:t>
            </w:r>
            <w:r>
              <w:rPr>
                <w:rFonts w:hint="eastAsia" w:ascii="Times New Roman" w:hAnsi="Times New Roman" w:cs="方正仿宋_GBK"/>
                <w:sz w:val="21"/>
              </w:rPr>
              <w:t>亿立方米。煤层气完成甩开勘探，部署探井</w:t>
            </w:r>
            <w:r>
              <w:rPr>
                <w:rFonts w:hint="eastAsia" w:ascii="Times New Roman" w:hAnsi="Times New Roman" w:cs="Times New Roman"/>
                <w:sz w:val="21"/>
              </w:rPr>
              <w:t>2—3</w:t>
            </w:r>
            <w:r>
              <w:rPr>
                <w:rFonts w:hint="eastAsia" w:ascii="Times New Roman" w:hAnsi="Times New Roman" w:cs="方正仿宋_GBK"/>
                <w:sz w:val="21"/>
              </w:rPr>
              <w:t>口，实现煤层气资源整体评价投资约</w:t>
            </w:r>
            <w:r>
              <w:rPr>
                <w:rFonts w:hint="eastAsia" w:ascii="Times New Roman" w:hAnsi="Times New Roman" w:cs="Times New Roman"/>
                <w:sz w:val="21"/>
              </w:rPr>
              <w:t>0.3</w:t>
            </w:r>
            <w:r>
              <w:rPr>
                <w:rFonts w:hint="eastAsia" w:ascii="Times New Roman" w:hAnsi="Times New Roman" w:cs="方正仿宋_GBK"/>
                <w:sz w:val="21"/>
              </w:rPr>
              <w:t>亿元。</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经济信息局、渝川燃气公司</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1"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45</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全力提供用电保障，完成万盛至南川、万盛～中坝用电线路工程、陈线老旧线、关坝变电站、中坝变电站改造，平山园区开闭所第二电源项目建设。推动方汀、展印、西卡德高等光伏发电项目，渝南售电公司等储能项目建成投产。全力帮助企业解决发展过程中遇到的用能问题。</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供电分公司</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（二）提高报装效率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4"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46</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提高水电气报装效率，全面推进电力接入“三零三省”改革，电力报装方面，低压小微企业办理环节为“受理签约”和“施工接电”</w:t>
            </w:r>
            <w:r>
              <w:rPr>
                <w:rFonts w:hint="eastAsia" w:ascii="Times New Roman" w:hAnsi="Times New Roman" w:cs="Times New Roman"/>
                <w:sz w:val="21"/>
              </w:rPr>
              <w:t>2</w:t>
            </w:r>
            <w:r>
              <w:rPr>
                <w:rFonts w:hint="eastAsia" w:ascii="Times New Roman" w:hAnsi="Times New Roman" w:cs="方正仿宋_GBK"/>
                <w:sz w:val="21"/>
              </w:rPr>
              <w:t>项，全过程办电时间不超过</w:t>
            </w:r>
            <w:r>
              <w:rPr>
                <w:rFonts w:hint="eastAsia" w:ascii="Times New Roman" w:hAnsi="Times New Roman" w:cs="Times New Roman"/>
                <w:sz w:val="21"/>
              </w:rPr>
              <w:t>5</w:t>
            </w:r>
            <w:r>
              <w:rPr>
                <w:rFonts w:hint="eastAsia" w:ascii="Times New Roman" w:hAnsi="Times New Roman" w:cs="方正仿宋_GBK"/>
                <w:sz w:val="21"/>
              </w:rPr>
              <w:t>个工作日（低压电力外线工程实行告知承诺制）。</w:t>
            </w:r>
            <w:r>
              <w:rPr>
                <w:rFonts w:hint="eastAsia" w:ascii="Times New Roman" w:hAnsi="Times New Roman" w:cs="Times New Roman"/>
                <w:sz w:val="21"/>
              </w:rPr>
              <w:t>10</w:t>
            </w:r>
            <w:r>
              <w:rPr>
                <w:rFonts w:hint="eastAsia" w:ascii="Times New Roman" w:hAnsi="Times New Roman" w:cs="方正仿宋_GBK"/>
                <w:sz w:val="21"/>
              </w:rPr>
              <w:t>千伏供电的非居民用户办理手续为“业务受理”“供电方案答复”“竣工检验和装表接电”</w:t>
            </w:r>
            <w:r>
              <w:rPr>
                <w:rFonts w:hint="eastAsia" w:ascii="Times New Roman" w:hAnsi="Times New Roman" w:cs="Times New Roman"/>
                <w:sz w:val="21"/>
              </w:rPr>
              <w:t>3</w:t>
            </w:r>
            <w:r>
              <w:rPr>
                <w:rFonts w:hint="eastAsia" w:ascii="Times New Roman" w:hAnsi="Times New Roman" w:cs="方正仿宋_GBK"/>
                <w:sz w:val="21"/>
              </w:rPr>
              <w:t>项，方案答复时间不超过</w:t>
            </w:r>
            <w:r>
              <w:rPr>
                <w:rFonts w:hint="eastAsia" w:ascii="Times New Roman" w:hAnsi="Times New Roman" w:cs="Times New Roman"/>
                <w:sz w:val="21"/>
              </w:rPr>
              <w:t>10</w:t>
            </w:r>
            <w:r>
              <w:rPr>
                <w:rFonts w:hint="eastAsia" w:ascii="Times New Roman" w:hAnsi="Times New Roman" w:cs="方正仿宋_GBK"/>
                <w:sz w:val="21"/>
              </w:rPr>
              <w:t>个工作日，</w:t>
            </w:r>
            <w:r>
              <w:rPr>
                <w:rFonts w:hint="eastAsia" w:ascii="Times New Roman" w:hAnsi="Times New Roman" w:cs="Times New Roman"/>
                <w:sz w:val="21"/>
              </w:rPr>
              <w:t>10</w:t>
            </w:r>
            <w:r>
              <w:rPr>
                <w:rFonts w:hint="eastAsia" w:ascii="Times New Roman" w:hAnsi="Times New Roman" w:cs="方正仿宋_GBK"/>
                <w:sz w:val="21"/>
              </w:rPr>
              <w:t>千伏城镇用户交互流程用时不超过</w:t>
            </w:r>
            <w:r>
              <w:rPr>
                <w:rFonts w:hint="eastAsia" w:ascii="Times New Roman" w:hAnsi="Times New Roman" w:cs="Times New Roman"/>
                <w:sz w:val="21"/>
              </w:rPr>
              <w:t>15</w:t>
            </w:r>
            <w:r>
              <w:rPr>
                <w:rFonts w:hint="eastAsia" w:ascii="Times New Roman" w:hAnsi="Times New Roman" w:cs="方正仿宋_GBK"/>
                <w:sz w:val="21"/>
              </w:rPr>
              <w:t>个工作日。全面推行用气“五减”服务，城镇工商用户、城镇新建居民小区用气报装办理环节减至</w:t>
            </w:r>
            <w:r>
              <w:rPr>
                <w:rFonts w:hint="eastAsia" w:ascii="Times New Roman" w:hAnsi="Times New Roman" w:cs="Times New Roman"/>
                <w:sz w:val="21"/>
              </w:rPr>
              <w:t>2</w:t>
            </w:r>
            <w:r>
              <w:rPr>
                <w:rFonts w:hint="eastAsia" w:ascii="Times New Roman" w:hAnsi="Times New Roman" w:cs="方正仿宋_GBK"/>
                <w:sz w:val="21"/>
              </w:rPr>
              <w:t>个，提交材料减为</w:t>
            </w:r>
            <w:r>
              <w:rPr>
                <w:rFonts w:hint="eastAsia" w:ascii="Times New Roman" w:hAnsi="Times New Roman" w:cs="Times New Roman"/>
                <w:sz w:val="21"/>
              </w:rPr>
              <w:t>2</w:t>
            </w:r>
            <w:r>
              <w:rPr>
                <w:rFonts w:hint="eastAsia" w:ascii="Times New Roman" w:hAnsi="Times New Roman" w:cs="方正仿宋_GBK"/>
                <w:sz w:val="21"/>
              </w:rPr>
              <w:t>项，办理总时限不超过</w:t>
            </w:r>
            <w:r>
              <w:rPr>
                <w:rFonts w:hint="eastAsia" w:ascii="Times New Roman" w:hAnsi="Times New Roman" w:cs="Times New Roman"/>
                <w:sz w:val="21"/>
              </w:rPr>
              <w:t>8</w:t>
            </w:r>
            <w:r>
              <w:rPr>
                <w:rFonts w:hint="eastAsia" w:ascii="Times New Roman" w:hAnsi="Times New Roman" w:cs="方正仿宋_GBK"/>
                <w:sz w:val="21"/>
              </w:rPr>
              <w:t>个工作日，居民用户通气办理环节为一个，提交材料为</w:t>
            </w:r>
            <w:r>
              <w:rPr>
                <w:rFonts w:hint="eastAsia" w:ascii="Times New Roman" w:hAnsi="Times New Roman" w:cs="Times New Roman"/>
                <w:sz w:val="21"/>
              </w:rPr>
              <w:t>2</w:t>
            </w:r>
            <w:r>
              <w:rPr>
                <w:rFonts w:hint="eastAsia" w:ascii="Times New Roman" w:hAnsi="Times New Roman" w:cs="方正仿宋_GBK"/>
                <w:sz w:val="21"/>
              </w:rPr>
              <w:t>项，办理时限不超过</w:t>
            </w:r>
            <w:r>
              <w:rPr>
                <w:rFonts w:hint="eastAsia" w:ascii="Times New Roman" w:hAnsi="Times New Roman" w:cs="Times New Roman"/>
                <w:sz w:val="21"/>
              </w:rPr>
              <w:t>3</w:t>
            </w:r>
            <w:r>
              <w:rPr>
                <w:rFonts w:hint="eastAsia" w:ascii="Times New Roman" w:hAnsi="Times New Roman" w:cs="方正仿宋_GBK"/>
                <w:sz w:val="21"/>
              </w:rPr>
              <w:t>个工作日。用水环节精简为“现场踏勘”“接入通水”两个环节，精简用户报装材料及报装时间，全流程控制在</w:t>
            </w:r>
            <w:r>
              <w:rPr>
                <w:rFonts w:hint="eastAsia" w:ascii="Times New Roman" w:hAnsi="Times New Roman" w:cs="Times New Roman"/>
                <w:sz w:val="21"/>
              </w:rPr>
              <w:t>6</w:t>
            </w:r>
            <w:r>
              <w:rPr>
                <w:rFonts w:hint="eastAsia" w:ascii="Times New Roman" w:hAnsi="Times New Roman" w:cs="方正仿宋_GBK"/>
                <w:sz w:val="21"/>
              </w:rPr>
              <w:t>个工作日内。</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w:t>
            </w:r>
          </w:p>
          <w:p>
            <w:pPr>
              <w:pStyle w:val="4"/>
              <w:jc w:val="center"/>
              <w:rPr>
                <w:rFonts w:ascii="Times New Roman" w:hAnsi="Times New Roman" w:cs="方正仿宋_GBK"/>
                <w:kern w:val="0"/>
                <w:sz w:val="21"/>
              </w:rPr>
            </w:pPr>
            <w:r>
              <w:rPr>
                <w:rFonts w:hint="eastAsia" w:ascii="Times New Roman" w:hAnsi="Times New Roman" w:cs="方正仿宋_GBK"/>
                <w:kern w:val="0"/>
                <w:sz w:val="21"/>
              </w:rPr>
              <w:t>城市管理局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供电分公司、渝川燃气公司、自来水公司</w:t>
            </w:r>
          </w:p>
        </w:tc>
        <w:tc>
          <w:tcPr>
            <w:tcW w:w="894" w:type="dxa"/>
            <w:noWrap w:val="0"/>
            <w:vAlign w:val="center"/>
          </w:tcPr>
          <w:p>
            <w:pPr>
              <w:pStyle w:val="4"/>
              <w:jc w:val="center"/>
              <w:rPr>
                <w:rFonts w:ascii="Times New Roman" w:hAnsi="Times New Roman" w:cs="方正仿宋_GBK"/>
                <w:kern w:val="0"/>
                <w:sz w:val="21"/>
              </w:rPr>
            </w:pPr>
            <w:r>
              <w:rPr>
                <w:rFonts w:hint="eastAsia" w:ascii="Times New Roman" w:hAnsi="Times New Roman" w:cs="Times New Roman"/>
                <w:sz w:val="21"/>
              </w:rPr>
              <w:t>2024</w:t>
            </w:r>
            <w:r>
              <w:rPr>
                <w:rFonts w:hint="eastAsia" w:ascii="Times New Roman" w:hAnsi="Times New Roman" w:cs="方正仿宋_GBK"/>
                <w:kern w:val="0"/>
                <w:sz w:val="21"/>
              </w:rPr>
              <w:t>年</w:t>
            </w:r>
            <w:r>
              <w:rPr>
                <w:rFonts w:hint="eastAsia" w:ascii="Times New Roman" w:hAnsi="Times New Roman" w:cs="Times New Roman"/>
                <w:sz w:val="21"/>
              </w:rPr>
              <w:t>12</w:t>
            </w:r>
            <w:r>
              <w:rPr>
                <w:rFonts w:hint="eastAsia" w:ascii="Times New Roman" w:hAnsi="Times New Roman" w:cs="方正仿宋_GBK"/>
                <w:kern w:val="0"/>
                <w:sz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47</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推行水电气网联合报装，优化市政公用基础设施接入联合服务，加快推进水电气网等联合报装。健全市政公用基础设施外线协同设计、协同施工机制，强化水电气等开挖的协同统筹，加强城区道路开挖的计划性，提高开挖效率。对符合条件的水电气网外线接入工程占掘路审批推行告知承诺制，提升外线工程施工效率。健全市政公用基础设施服务质量、可靠性、可持续性等指标体系，定期发布相关数据。将通信基础设施纳入国土空间规划、控制性详细规划和土地出让条件，提升互联网接入能力和服务质量。</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城市管理局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经济信息局、规划自然资源局、自来水公司、供电分公司、渝川燃气公司</w:t>
            </w:r>
          </w:p>
        </w:tc>
        <w:tc>
          <w:tcPr>
            <w:tcW w:w="894" w:type="dxa"/>
            <w:noWrap w:val="0"/>
            <w:vAlign w:val="center"/>
          </w:tcPr>
          <w:p>
            <w:pPr>
              <w:pStyle w:val="4"/>
              <w:jc w:val="center"/>
              <w:rPr>
                <w:rFonts w:ascii="Times New Roman" w:hAnsi="Times New Roman" w:cs="方正仿宋_GBK"/>
                <w:kern w:val="0"/>
                <w:sz w:val="21"/>
              </w:rPr>
            </w:pPr>
            <w:r>
              <w:rPr>
                <w:rFonts w:hint="eastAsia" w:ascii="Times New Roman" w:hAnsi="Times New Roman" w:cs="Times New Roman"/>
                <w:sz w:val="21"/>
              </w:rPr>
              <w:t>2024</w:t>
            </w:r>
            <w:r>
              <w:rPr>
                <w:rFonts w:hint="eastAsia" w:ascii="Times New Roman" w:hAnsi="Times New Roman" w:cs="方正仿宋_GBK"/>
                <w:kern w:val="0"/>
                <w:sz w:val="21"/>
              </w:rPr>
              <w:t>年</w:t>
            </w:r>
            <w:r>
              <w:rPr>
                <w:rFonts w:hint="eastAsia" w:ascii="Times New Roman" w:hAnsi="Times New Roman" w:cs="Times New Roman"/>
                <w:sz w:val="21"/>
              </w:rPr>
              <w:t>12</w:t>
            </w:r>
            <w:r>
              <w:rPr>
                <w:rFonts w:hint="eastAsia" w:ascii="Times New Roman" w:hAnsi="Times New Roman" w:cs="方正仿宋_GBK"/>
                <w:kern w:val="0"/>
                <w:sz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39" w:type="dxa"/>
            <w:gridSpan w:val="6"/>
            <w:noWrap w:val="0"/>
            <w:vAlign w:val="center"/>
          </w:tcPr>
          <w:p>
            <w:pPr>
              <w:pStyle w:val="4"/>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（三）加强用地保障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48</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提高用地审批效能，实行“一企一策”，积极推动重大项目按时开工和依法用地，开展社会投资类建设项目用地规划许可证“免申即领”改革工作，实现“免申即领”“拿地即领证”。</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规划自然资源局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49</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做优土地供应增量，优化完善高效用地审批机制，主动介入重大项目前期工作，精准配置用地指标，推动重大项目按时开工和依法用地。积极推进居住用地推介出让，加快工业标准地出让，力争全年完成土地价款收入</w:t>
            </w:r>
            <w:r>
              <w:rPr>
                <w:rFonts w:hint="eastAsia" w:ascii="Times New Roman" w:hAnsi="Times New Roman" w:cs="Times New Roman"/>
                <w:sz w:val="21"/>
              </w:rPr>
              <w:t>5</w:t>
            </w:r>
            <w:r>
              <w:rPr>
                <w:rFonts w:hint="eastAsia" w:ascii="Times New Roman" w:hAnsi="Times New Roman" w:cs="方正仿宋_GBK"/>
                <w:sz w:val="21"/>
              </w:rPr>
              <w:t>亿元，用地审批量突破</w:t>
            </w:r>
            <w:r>
              <w:rPr>
                <w:rFonts w:hint="eastAsia" w:ascii="Times New Roman" w:hAnsi="Times New Roman" w:cs="Times New Roman"/>
                <w:sz w:val="21"/>
              </w:rPr>
              <w:t>1400</w:t>
            </w:r>
            <w:r>
              <w:rPr>
                <w:rFonts w:hint="eastAsia" w:ascii="Times New Roman" w:hAnsi="Times New Roman" w:cs="方正仿宋_GBK"/>
                <w:sz w:val="21"/>
              </w:rPr>
              <w:t>亩，新增工业项目标准地出让比例不低于全部工业用地的</w:t>
            </w:r>
            <w:r>
              <w:rPr>
                <w:rFonts w:hint="eastAsia" w:ascii="Times New Roman" w:hAnsi="Times New Roman" w:cs="Times New Roman"/>
                <w:sz w:val="21"/>
              </w:rPr>
              <w:t>50%</w:t>
            </w:r>
            <w:r>
              <w:rPr>
                <w:rFonts w:hint="eastAsia" w:ascii="Times New Roman" w:hAnsi="Times New Roman" w:cs="方正仿宋_GBK"/>
                <w:sz w:val="21"/>
              </w:rPr>
              <w:t>。</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规划自然资源局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住房城乡建设局、平山园区管委会等有关单位</w:t>
            </w:r>
          </w:p>
        </w:tc>
        <w:tc>
          <w:tcPr>
            <w:tcW w:w="894" w:type="dxa"/>
            <w:noWrap w:val="0"/>
            <w:vAlign w:val="center"/>
          </w:tcPr>
          <w:p>
            <w:pPr>
              <w:jc w:val="center"/>
              <w:rPr>
                <w:rFonts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50</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盘活土地资源存量，按照全市“三攻坚一盘活”改革突破工作要求，加大全区自然资源资产清理力度，再次对全区批而未供土地、闲置土地、供而未建土地等进行清理，更新盘活存量资产台账，灵活采取多种方式盘活不同类型存量资产，为扩大有效投资、稳定经济增长作出积极贡献。</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规划自然资源局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739" w:type="dxa"/>
            <w:gridSpan w:val="6"/>
            <w:noWrap w:val="0"/>
            <w:vAlign w:val="center"/>
          </w:tcPr>
          <w:p>
            <w:pPr>
              <w:pStyle w:val="4"/>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（四）加强劳动力供给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51</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持续实施各类招聘活动，持续发挥“万万零”线上零工服务平台和线下零工市场作用，为企业提供劳动力保障。</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人力社保局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52</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持续加强职业技能培训，支持各类培训机构开展“政府性补贴”和“市场化收费”的各类职业技能培训，培训技能人才</w:t>
            </w:r>
            <w:r>
              <w:rPr>
                <w:rFonts w:hint="eastAsia" w:ascii="Times New Roman" w:hAnsi="Times New Roman" w:cs="Times New Roman"/>
                <w:sz w:val="21"/>
              </w:rPr>
              <w:t>1000</w:t>
            </w:r>
            <w:r>
              <w:rPr>
                <w:rFonts w:hint="eastAsia" w:ascii="Times New Roman" w:hAnsi="Times New Roman" w:cs="方正仿宋_GBK"/>
                <w:sz w:val="21"/>
              </w:rPr>
              <w:t>人次以上。</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人力社保局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53</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有效化解欠薪债务风险，扎实开展根治欠薪“百日攻坚战”专项行动，积极推进“五老”劳动纠纷调解工作室建设。统筹化解劳资矛盾隐患，有力保障农民工工资支付。</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人力社保局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jc w:val="center"/>
        </w:trPr>
        <w:tc>
          <w:tcPr>
            <w:tcW w:w="826" w:type="dxa"/>
            <w:noWrap w:val="0"/>
            <w:vAlign w:val="center"/>
          </w:tcPr>
          <w:p>
            <w:pPr>
              <w:pStyle w:val="4"/>
              <w:jc w:val="center"/>
              <w:rPr>
                <w:rFonts w:ascii="Times New Roman" w:hAnsi="Times New Roman" w:cs="方正仿宋_GBK"/>
                <w:sz w:val="21"/>
              </w:rPr>
            </w:pPr>
            <w:r>
              <w:rPr>
                <w:rFonts w:hint="eastAsia" w:ascii="Times New Roman" w:hAnsi="Times New Roman" w:cs="Times New Roman"/>
                <w:sz w:val="21"/>
              </w:rPr>
              <w:t>54</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提质提效人社服务能力，深化与四川泸县、彭州及重庆开州的合作协议落实，让群众享受更加优质便捷的人社服务。持续加强“</w:t>
            </w:r>
            <w:r>
              <w:rPr>
                <w:rFonts w:hint="eastAsia" w:ascii="Times New Roman" w:hAnsi="Times New Roman" w:cs="Times New Roman"/>
                <w:sz w:val="21"/>
              </w:rPr>
              <w:t>15+5</w:t>
            </w:r>
            <w:r>
              <w:rPr>
                <w:rFonts w:hint="eastAsia" w:ascii="Times New Roman" w:hAnsi="Times New Roman" w:cs="方正仿宋_GBK"/>
                <w:sz w:val="21"/>
              </w:rPr>
              <w:t>”人社便民服务圈建设，与邮政公司、邮储银行达成战略合作协议，深化平山园区人力社保服务工作站建设，拓宽人社服务网络。</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人力社保局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平山园区管委会、邮政公司、邮储银行</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739" w:type="dxa"/>
            <w:gridSpan w:val="6"/>
            <w:noWrap w:val="0"/>
            <w:vAlign w:val="center"/>
          </w:tcPr>
          <w:p>
            <w:pPr>
              <w:pStyle w:val="4"/>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（五）提供融资服务保障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55</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保持信贷供给稳定增长，全面提升融资对接服务，进一步加强与金融机构的联系沟通，引导其加大对重点领域的支持力度，努力帮助企业顺利获得信贷资金。</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财政局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56</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持续深化政银企合作，推动银行与融资担保公司加大业务合作，从实处缓解小微企业融资难问题。开展多领域多层次银企对接活动，做好首贷续贷服务中心建设工作，切实打通金融活水流向实体经济的“最后一公里”。结合全区重点领域、重点项目，开展“线上+线下”、常态化的银企对接，持续提高首贷户占比。提升金融数字化运行水平。</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财政局</w:t>
            </w:r>
          </w:p>
        </w:tc>
        <w:tc>
          <w:tcPr>
            <w:tcW w:w="1142" w:type="dxa"/>
            <w:noWrap w:val="0"/>
            <w:vAlign w:val="center"/>
          </w:tcPr>
          <w:p>
            <w:pPr>
              <w:pStyle w:val="4"/>
              <w:ind w:left="-31" w:leftChars="-15" w:right="-63" w:rightChars="-30"/>
              <w:jc w:val="center"/>
              <w:rPr>
                <w:rFonts w:hint="eastAsia" w:ascii="Times New Roman" w:hAnsi="Times New Roman" w:cs="方正仿宋_GBK"/>
                <w:kern w:val="0"/>
                <w:sz w:val="21"/>
              </w:rPr>
            </w:pPr>
            <w:r>
              <w:rPr>
                <w:rFonts w:hint="eastAsia" w:ascii="Times New Roman" w:hAnsi="Times New Roman" w:cs="方正仿宋_GBK"/>
                <w:kern w:val="0"/>
                <w:sz w:val="21"/>
              </w:rPr>
              <w:t>科技局、经济信息局、住房城乡建设局、农林局、商务局、平山园区管委会、国资管理中心、工商联</w:t>
            </w:r>
          </w:p>
        </w:tc>
        <w:tc>
          <w:tcPr>
            <w:tcW w:w="894" w:type="dxa"/>
            <w:noWrap w:val="0"/>
            <w:vAlign w:val="center"/>
          </w:tcPr>
          <w:p>
            <w:pPr>
              <w:pStyle w:val="4"/>
              <w:jc w:val="center"/>
              <w:rPr>
                <w:rFonts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26" w:type="dxa"/>
            <w:noWrap w:val="0"/>
            <w:vAlign w:val="center"/>
          </w:tcPr>
          <w:p>
            <w:pPr>
              <w:pStyle w:val="4"/>
              <w:jc w:val="center"/>
              <w:rPr>
                <w:rFonts w:ascii="Times New Roman" w:hAnsi="Times New Roman" w:cs="方正仿宋_GBK"/>
                <w:sz w:val="21"/>
              </w:rPr>
            </w:pPr>
            <w:r>
              <w:rPr>
                <w:rFonts w:hint="eastAsia" w:ascii="Times New Roman" w:hAnsi="Times New Roman" w:cs="Times New Roman"/>
                <w:sz w:val="21"/>
              </w:rPr>
              <w:t>57</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加大线上融资推广力度，加大“信易贷”“渝快融”“渝企金服”“长江渝融通”等平台的推广力度，引导企业注册登录使用平台进行贷款申请。</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财政局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各镇街、各有关单位</w:t>
            </w:r>
          </w:p>
        </w:tc>
        <w:tc>
          <w:tcPr>
            <w:tcW w:w="894" w:type="dxa"/>
            <w:noWrap w:val="0"/>
            <w:vAlign w:val="center"/>
          </w:tcPr>
          <w:p>
            <w:pPr>
              <w:pStyle w:val="4"/>
              <w:jc w:val="center"/>
              <w:rPr>
                <w:rFonts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39" w:type="dxa"/>
            <w:gridSpan w:val="6"/>
            <w:noWrap w:val="0"/>
            <w:vAlign w:val="center"/>
          </w:tcPr>
          <w:p>
            <w:pPr>
              <w:pStyle w:val="4"/>
              <w:rPr>
                <w:rFonts w:hint="eastAsia" w:ascii="Times New Roman" w:hAnsi="Times New Roman" w:eastAsia="方正黑体_GBK" w:cs="方正黑体_GBK"/>
                <w:kern w:val="0"/>
                <w:sz w:val="21"/>
              </w:rPr>
            </w:pPr>
            <w:r>
              <w:rPr>
                <w:rFonts w:hint="eastAsia" w:ascii="Times New Roman" w:hAnsi="Times New Roman" w:eastAsia="方正黑体_GBK" w:cs="方正黑体_GBK"/>
                <w:kern w:val="0"/>
                <w:sz w:val="21"/>
              </w:rPr>
              <w:t>六、实施助企暖企护航行动（统筹单位：工商联）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739" w:type="dxa"/>
            <w:gridSpan w:val="6"/>
            <w:noWrap w:val="0"/>
            <w:vAlign w:val="center"/>
          </w:tcPr>
          <w:p>
            <w:pPr>
              <w:pStyle w:val="4"/>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（一）多途径开展涉企服务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58</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每月定期开展“坐诊”服务，在行政服务中心设置政企“面对面”接待中心，制定区领导“坐诊”服务计划，躬身倾听企业难题，变企业“单向联系”为政企“双方奔赴”。</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探索创新</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行政服务中心</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党工委办公室、管委会办公室、工商联</w:t>
            </w:r>
          </w:p>
        </w:tc>
        <w:tc>
          <w:tcPr>
            <w:tcW w:w="894" w:type="dxa"/>
            <w:noWrap w:val="0"/>
            <w:vAlign w:val="center"/>
          </w:tcPr>
          <w:p>
            <w:pPr>
              <w:pStyle w:val="4"/>
              <w:jc w:val="center"/>
              <w:rPr>
                <w:rFonts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59</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深化主动“出诊”服务，深入实施“服务企业专员”制度，以解决好企业问题、获得服务对象认可为目标，主动走访全力解决企业生产经营过程中存在的用工、用能、资金等问题。实现企业诉求“一键吹哨”，部门收到“出诊服务”。能解决的现场解决，不能解决的交办解决，通过回应一个诉求、解决一类问题、提升一个领域。</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工商联</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经济信息局、各有关单位</w:t>
            </w:r>
          </w:p>
        </w:tc>
        <w:tc>
          <w:tcPr>
            <w:tcW w:w="894" w:type="dxa"/>
            <w:noWrap w:val="0"/>
            <w:vAlign w:val="center"/>
          </w:tcPr>
          <w:p>
            <w:pPr>
              <w:pStyle w:val="4"/>
              <w:jc w:val="center"/>
              <w:rPr>
                <w:rFonts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60</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推行线上“问诊”服务，通过发放调查问卷、公众号、微信群、电话、邮箱和实地踏查等方式收集问题，并对收集到的问题建议进行汇总整理；形成企业线上“呼应”、部门线上及时“回应”、线下迅速办理的快速响应机制，切实让企业感受到“问题有人管、意见有人听、利益有人护”，确保企业留得下、有发展。</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探索创新</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工商联</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（二）护航企业健康发展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61</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执行“容错+纠错”机制，对轻微违法行为企业，审慎公示行政处罚，对被纳入行政处罚公示或失信黑名单管理的企业，公示期满后予以信用修复，给予企业再生机会。</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工商联</w:t>
            </w:r>
          </w:p>
        </w:tc>
        <w:tc>
          <w:tcPr>
            <w:tcW w:w="1142" w:type="dxa"/>
            <w:noWrap w:val="0"/>
            <w:vAlign w:val="center"/>
          </w:tcPr>
          <w:p>
            <w:pPr>
              <w:pStyle w:val="4"/>
              <w:ind w:left="-61" w:leftChars="-29" w:right="-90" w:rightChars="-43"/>
              <w:jc w:val="center"/>
              <w:rPr>
                <w:rFonts w:hint="eastAsia" w:ascii="Times New Roman" w:hAnsi="Times New Roman" w:cs="方正仿宋_GBK"/>
                <w:kern w:val="0"/>
                <w:sz w:val="21"/>
              </w:rPr>
            </w:pPr>
            <w:r>
              <w:rPr>
                <w:rFonts w:hint="eastAsia" w:ascii="Times New Roman" w:hAnsi="Times New Roman" w:cs="方正仿宋_GBK"/>
                <w:kern w:val="0"/>
                <w:sz w:val="21"/>
              </w:rPr>
              <w:t>党工委政法办、发展改革局、具有执法权的各部门</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62</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助力企业做强做大，全面梳理我区运营状况不佳企业，并建立“一企一台账”，明确存在问题、帮扶任务、帮扶时限。综合运用相关政策、标准引领企业提升发展效益，激发企业内生动力。</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工商联</w:t>
            </w:r>
          </w:p>
        </w:tc>
        <w:tc>
          <w:tcPr>
            <w:tcW w:w="1142" w:type="dxa"/>
            <w:noWrap w:val="0"/>
            <w:vAlign w:val="center"/>
          </w:tcPr>
          <w:p>
            <w:pPr>
              <w:pStyle w:val="4"/>
              <w:ind w:left="-61" w:leftChars="-29" w:right="-63" w:rightChars="-30"/>
              <w:jc w:val="center"/>
              <w:rPr>
                <w:rFonts w:hint="eastAsia" w:ascii="Times New Roman" w:hAnsi="Times New Roman" w:cs="方正仿宋_GBK"/>
                <w:kern w:val="0"/>
                <w:sz w:val="21"/>
              </w:rPr>
            </w:pPr>
            <w:r>
              <w:rPr>
                <w:rFonts w:hint="eastAsia" w:ascii="Times New Roman" w:hAnsi="Times New Roman" w:cs="方正仿宋_GBK"/>
                <w:kern w:val="0"/>
                <w:sz w:val="21"/>
              </w:rPr>
              <w:t>科技局、经济信息局、住房城乡建设局、农林局、商务局、平山园区管委会、国资管理中心、工商联等有关单位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63</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防范化解拖欠企业账款问题，严格执行《保障中小企业款项支付条例》等政策文件，及时处理政府拖欠中小企业账款投诉问题，加强对恶意拖欠中小企业账款典型案例的曝光，适时采取必要限制措施。</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财政局、国资管理中心</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（三）优化政企沟通服务机制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64</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持续规范完善非公有制经济联席会议、常态化走访服务经营主体、民营企业家参与涉企政策制定等沟通服务机制。</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工商联</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65</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严格落实构建亲清政商关系行为清单，规范政商交往行为，主动服务民营企业、民营企业家，建立健全民营企业和商会建议交办督办、办理结果评估和反馈机制。</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工商联</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66</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统一战线领导小组办公室每季度将涉企沟通服务情况以专报形式报相关区领导审阅，同步抄送党工委督查办、管委会督查办、纪工委监察室和发展改革局，确保涉企沟通服务落地见效。</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工商联</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sz w:val="21"/>
              </w:rPr>
              <w:t>党工委办公室、管委会办公室、纪工委监察室、发展改革局</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39" w:type="dxa"/>
            <w:gridSpan w:val="6"/>
            <w:noWrap w:val="0"/>
            <w:vAlign w:val="center"/>
          </w:tcPr>
          <w:p>
            <w:pPr>
              <w:pStyle w:val="4"/>
              <w:jc w:val="left"/>
              <w:rPr>
                <w:rFonts w:hint="eastAsia" w:ascii="Times New Roman" w:hAnsi="Times New Roman" w:eastAsia="方正黑体_GBK" w:cs="方正黑体_GBK"/>
                <w:kern w:val="0"/>
                <w:sz w:val="21"/>
              </w:rPr>
            </w:pPr>
            <w:r>
              <w:rPr>
                <w:rFonts w:hint="eastAsia" w:ascii="Times New Roman" w:hAnsi="Times New Roman" w:eastAsia="方正黑体_GBK" w:cs="方正黑体_GBK"/>
                <w:kern w:val="0"/>
                <w:sz w:val="21"/>
              </w:rPr>
              <w:t>七、实施包容普惠创新行动（统筹单位：发展改革局）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（一）培育企业核心竞争力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67</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抓好数字工厂建设，大力实施数字化车间、智能工厂、智能制造标杆企业、创新示范智能工厂建设，新增市级智能工厂、数字化车间</w:t>
            </w:r>
            <w:r>
              <w:rPr>
                <w:rFonts w:hint="eastAsia" w:ascii="Times New Roman" w:hAnsi="Times New Roman" w:cs="Times New Roman"/>
                <w:sz w:val="21"/>
              </w:rPr>
              <w:t>4</w:t>
            </w:r>
            <w:r>
              <w:rPr>
                <w:rFonts w:hint="eastAsia" w:ascii="Times New Roman" w:hAnsi="Times New Roman" w:cs="方正仿宋_GBK"/>
                <w:sz w:val="21"/>
              </w:rPr>
              <w:t>家。</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jc w:val="center"/>
              <w:rPr>
                <w:rFonts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68</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培育企业专业化能力，结合企业的专业化、技术优势、商业模式，引导企业向“专业化、精细化、特色化、新颖化”发展，力争成功创建市级“专精特新”企业</w:t>
            </w:r>
            <w:r>
              <w:rPr>
                <w:rFonts w:hint="eastAsia" w:ascii="Times New Roman" w:hAnsi="Times New Roman" w:cs="Times New Roman"/>
                <w:sz w:val="21"/>
              </w:rPr>
              <w:t>5</w:t>
            </w:r>
            <w:r>
              <w:rPr>
                <w:rFonts w:hint="eastAsia" w:ascii="Times New Roman" w:hAnsi="Times New Roman" w:cs="方正仿宋_GBK"/>
                <w:sz w:val="21"/>
              </w:rPr>
              <w:t>家、瞪羚企业</w:t>
            </w:r>
            <w:r>
              <w:rPr>
                <w:rFonts w:hint="eastAsia" w:ascii="Times New Roman" w:hAnsi="Times New Roman" w:cs="Times New Roman"/>
                <w:sz w:val="21"/>
              </w:rPr>
              <w:t>1</w:t>
            </w:r>
            <w:r>
              <w:rPr>
                <w:rFonts w:hint="eastAsia" w:ascii="Times New Roman" w:hAnsi="Times New Roman" w:cs="方正仿宋_GBK"/>
                <w:sz w:val="21"/>
              </w:rPr>
              <w:t>家，国家级专精特新“小巨人”企业</w:t>
            </w:r>
            <w:r>
              <w:rPr>
                <w:rFonts w:hint="eastAsia" w:ascii="Times New Roman" w:hAnsi="Times New Roman" w:cs="Times New Roman"/>
                <w:sz w:val="21"/>
              </w:rPr>
              <w:t>1</w:t>
            </w:r>
            <w:r>
              <w:rPr>
                <w:rFonts w:hint="eastAsia" w:ascii="Times New Roman" w:hAnsi="Times New Roman" w:cs="方正仿宋_GBK"/>
                <w:sz w:val="21"/>
              </w:rPr>
              <w:t>家。</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69</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积极稳妥推进“双碳”工作，引导工业企业绿色低碳发展，开展绿色产品设计、绿色供应链、绿色产品、绿色工厂建设，力争成功创建市级绿色工厂</w:t>
            </w:r>
            <w:r>
              <w:rPr>
                <w:rFonts w:hint="eastAsia" w:ascii="Times New Roman" w:hAnsi="Times New Roman" w:cs="Times New Roman"/>
                <w:sz w:val="21"/>
              </w:rPr>
              <w:t>1</w:t>
            </w:r>
            <w:r>
              <w:rPr>
                <w:rFonts w:hint="eastAsia" w:ascii="Times New Roman" w:hAnsi="Times New Roman" w:cs="方正仿宋_GBK"/>
                <w:sz w:val="21"/>
              </w:rPr>
              <w:t>家。</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发展改革局等有关单位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（二）厚植青年人才沃土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70</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促进区域人才交流，积极推动与成都相关区县、重庆开州区深化人才协作，强化人才实质交流，</w:t>
            </w:r>
            <w:r>
              <w:rPr>
                <w:rFonts w:hint="eastAsia" w:ascii="Times New Roman" w:hAnsi="Times New Roman" w:cs="Times New Roman"/>
                <w:sz w:val="21"/>
              </w:rPr>
              <w:t>2024</w:t>
            </w:r>
            <w:r>
              <w:rPr>
                <w:rFonts w:hint="eastAsia" w:ascii="Times New Roman" w:hAnsi="Times New Roman" w:cs="方正仿宋_GBK"/>
                <w:sz w:val="21"/>
              </w:rPr>
              <w:t>年开展</w:t>
            </w:r>
            <w:r>
              <w:rPr>
                <w:rFonts w:hint="eastAsia" w:ascii="Times New Roman" w:hAnsi="Times New Roman" w:cs="Times New Roman"/>
                <w:sz w:val="21"/>
              </w:rPr>
              <w:t>8</w:t>
            </w:r>
            <w:r>
              <w:rPr>
                <w:rFonts w:hint="eastAsia" w:ascii="Times New Roman" w:hAnsi="Times New Roman" w:cs="方正仿宋_GBK"/>
                <w:sz w:val="21"/>
              </w:rPr>
              <w:t>名干部人才互派挂职，持续深化平台共建、项目合作，提升人才协同发展实效。</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党工委组织部</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人力社保局</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71</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加强人才引进，发布《万盛经开区</w:t>
            </w:r>
            <w:r>
              <w:rPr>
                <w:rFonts w:hint="eastAsia" w:ascii="Times New Roman" w:hAnsi="Times New Roman" w:cs="Times New Roman"/>
                <w:sz w:val="21"/>
              </w:rPr>
              <w:t>2024</w:t>
            </w:r>
            <w:r>
              <w:rPr>
                <w:rFonts w:hint="eastAsia" w:ascii="Times New Roman" w:hAnsi="Times New Roman" w:cs="方正仿宋_GBK"/>
                <w:sz w:val="21"/>
              </w:rPr>
              <w:t>年急需紧缺人才目录》，组织开展各类“线上+线下”引才活动。</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党工委组织部</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人力社保局</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72</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加强平台建设，深入推进博士后科研工作站、技能大师工作室、“巴渝工匠”乡村驿站、高技能人才培训基地等平台建设。</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人力社保局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（三）提升开放型经济水平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73</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打造高能级开放平台，统筹推进自贸试验区万盛联动创新</w:t>
            </w:r>
            <w:r>
              <w:rPr>
                <w:rFonts w:hint="eastAsia" w:ascii="Times New Roman" w:hAnsi="Times New Roman" w:cs="方正仿宋_GBK"/>
                <w:spacing w:val="-2"/>
                <w:sz w:val="21"/>
              </w:rPr>
              <w:t>区建设，力争在制度创新、产业联动、对外开放、商文体旅融合、跨区域协同治理等方面形成具有万盛辨识度的成果</w:t>
            </w:r>
            <w:r>
              <w:rPr>
                <w:rFonts w:hint="eastAsia" w:ascii="Times New Roman" w:hAnsi="Times New Roman" w:cs="方正仿宋_GBK"/>
                <w:sz w:val="21"/>
              </w:rPr>
              <w:t>。</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商务局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经济信息局、文化旅游局、体育发展中心等有关单位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74</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积极培育外贸进出口市场主体，用好西洽会、进博会等外向型展会平台，帮助企业拓市场、抢订单。</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商务局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经济信息局等有关单位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75</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强化外资招引，建立健全重点外资项目服务专班机制，做好重点外资企业和项目“全生命周期”服务与全要素保障，引进外资至少</w:t>
            </w:r>
            <w:r>
              <w:rPr>
                <w:rFonts w:hint="eastAsia" w:ascii="Times New Roman" w:hAnsi="Times New Roman" w:cs="Times New Roman"/>
                <w:sz w:val="21"/>
              </w:rPr>
              <w:t>1</w:t>
            </w:r>
            <w:r>
              <w:rPr>
                <w:rFonts w:hint="eastAsia" w:ascii="Times New Roman" w:hAnsi="Times New Roman" w:cs="方正仿宋_GBK"/>
                <w:sz w:val="21"/>
              </w:rPr>
              <w:t>家。</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商务局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Times New Roman"/>
                <w:sz w:val="21"/>
              </w:rPr>
              <w:t>2024</w:t>
            </w:r>
            <w:r>
              <w:rPr>
                <w:rFonts w:hint="eastAsia" w:ascii="Times New Roman" w:hAnsi="Times New Roman" w:cs="方正仿宋_GBK"/>
                <w:kern w:val="0"/>
                <w:sz w:val="21"/>
              </w:rPr>
              <w:t>年</w:t>
            </w:r>
            <w:r>
              <w:rPr>
                <w:rFonts w:hint="eastAsia" w:ascii="Times New Roman" w:hAnsi="Times New Roman" w:cs="Times New Roman"/>
                <w:sz w:val="21"/>
              </w:rPr>
              <w:t>12</w:t>
            </w:r>
            <w:r>
              <w:rPr>
                <w:rFonts w:hint="eastAsia" w:ascii="Times New Roman" w:hAnsi="Times New Roman" w:cs="方正仿宋_GBK"/>
                <w:kern w:val="0"/>
                <w:sz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（四）体旅发展再上台阶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76</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选树文旅品牌，全力推进国家级旅游度假区、国家二级博物馆，以及乡村旅游重点村（镇）等创建工作。</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探索创新</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文化旅游局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有关镇街、有关单位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77</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推进景区智慧建设，升级景区基础设施和</w:t>
            </w:r>
            <w:r>
              <w:rPr>
                <w:rFonts w:hint="eastAsia" w:ascii="Times New Roman" w:hAnsi="Times New Roman" w:cs="方正仿宋_GBK"/>
                <w:spacing w:val="-6"/>
                <w:sz w:val="21"/>
              </w:rPr>
              <w:t>服务设施，推进智慧旅游乡村示范点建设</w:t>
            </w:r>
            <w:r>
              <w:rPr>
                <w:rFonts w:hint="eastAsia" w:ascii="Times New Roman" w:hAnsi="Times New Roman" w:cs="方正仿宋_GBK"/>
                <w:sz w:val="21"/>
              </w:rPr>
              <w:t>。</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文化旅游局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有关镇街</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78</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加强体育基础设施建设，推进</w:t>
            </w:r>
            <w:r>
              <w:rPr>
                <w:rFonts w:hint="eastAsia" w:ascii="Times New Roman" w:hAnsi="Times New Roman" w:cs="Times New Roman"/>
                <w:sz w:val="21"/>
              </w:rPr>
              <w:t>4</w:t>
            </w:r>
            <w:r>
              <w:rPr>
                <w:rFonts w:hint="eastAsia" w:ascii="Times New Roman" w:hAnsi="Times New Roman" w:cs="方正仿宋_GBK"/>
                <w:sz w:val="21"/>
              </w:rPr>
              <w:t>个笼式足球场建设，</w:t>
            </w:r>
            <w:r>
              <w:rPr>
                <w:rFonts w:hint="eastAsia" w:ascii="Times New Roman" w:hAnsi="Times New Roman" w:cs="Times New Roman"/>
                <w:sz w:val="21"/>
              </w:rPr>
              <w:t>16</w:t>
            </w:r>
            <w:r>
              <w:rPr>
                <w:rFonts w:hint="eastAsia" w:ascii="Times New Roman" w:hAnsi="Times New Roman" w:cs="方正仿宋_GBK"/>
                <w:sz w:val="21"/>
              </w:rPr>
              <w:t>个“国球”进社区进公园，今年力争实现人均体育场地面积达到</w:t>
            </w:r>
            <w:r>
              <w:rPr>
                <w:rFonts w:hint="eastAsia" w:ascii="Times New Roman" w:hAnsi="Times New Roman" w:cs="Times New Roman"/>
                <w:sz w:val="21"/>
              </w:rPr>
              <w:t>3.5</w:t>
            </w:r>
            <w:r>
              <w:rPr>
                <w:rFonts w:hint="eastAsia" w:ascii="Times New Roman" w:hAnsi="Times New Roman" w:cs="方正仿宋_GBK"/>
                <w:sz w:val="21"/>
              </w:rPr>
              <w:t>平方米。</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体育发展中心</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（五）提升卫生医疗“硬软”件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79</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加强全科医生培养，注重宣传引导，加强人才培育，实现本区每万名常住人口拥有全科医生数保持高于市级标准。</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卫生健康局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80</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持续实施“优质服务基层行”活动，加快推进南桐镇中心卫生院区县域医疗卫生次中心建设，加快推进落实“五院等级同创”，实现普通乡镇卫生院“乙级”全覆盖。打造五星村卫生室</w:t>
            </w:r>
            <w:r>
              <w:rPr>
                <w:rFonts w:hint="eastAsia" w:ascii="Times New Roman" w:hAnsi="Times New Roman" w:cs="Times New Roman"/>
                <w:sz w:val="21"/>
              </w:rPr>
              <w:t>3</w:t>
            </w:r>
            <w:r>
              <w:rPr>
                <w:rFonts w:hint="eastAsia" w:ascii="Times New Roman" w:hAnsi="Times New Roman" w:cs="方正仿宋_GBK"/>
                <w:sz w:val="21"/>
              </w:rPr>
              <w:t>个，四星村卫生室</w:t>
            </w:r>
            <w:r>
              <w:rPr>
                <w:rFonts w:hint="eastAsia" w:ascii="Times New Roman" w:hAnsi="Times New Roman" w:cs="Times New Roman"/>
                <w:sz w:val="21"/>
              </w:rPr>
              <w:t>5</w:t>
            </w:r>
            <w:r>
              <w:rPr>
                <w:rFonts w:hint="eastAsia" w:ascii="Times New Roman" w:hAnsi="Times New Roman" w:cs="方正仿宋_GBK"/>
                <w:sz w:val="21"/>
              </w:rPr>
              <w:t>个。</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卫生健康局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有关镇街</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Times New Roman"/>
                <w:sz w:val="21"/>
              </w:rPr>
              <w:t>2024</w:t>
            </w:r>
            <w:r>
              <w:rPr>
                <w:rFonts w:hint="eastAsia" w:ascii="Times New Roman" w:hAnsi="Times New Roman" w:cs="方正仿宋_GBK"/>
                <w:kern w:val="0"/>
                <w:sz w:val="21"/>
              </w:rPr>
              <w:t>年</w:t>
            </w:r>
            <w:r>
              <w:rPr>
                <w:rFonts w:hint="eastAsia" w:ascii="Times New Roman" w:hAnsi="Times New Roman" w:cs="Times New Roman"/>
                <w:sz w:val="21"/>
              </w:rPr>
              <w:t>12</w:t>
            </w:r>
            <w:r>
              <w:rPr>
                <w:rFonts w:hint="eastAsia" w:ascii="Times New Roman" w:hAnsi="Times New Roman" w:cs="方正仿宋_GBK"/>
                <w:kern w:val="0"/>
                <w:sz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81</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持续实施“全面提升医疗质量</w:t>
            </w:r>
            <w:r>
              <w:rPr>
                <w:rFonts w:hint="eastAsia" w:ascii="Times New Roman" w:hAnsi="Times New Roman" w:cs="Times New Roman"/>
                <w:sz w:val="21"/>
              </w:rPr>
              <w:t>3</w:t>
            </w:r>
            <w:r>
              <w:rPr>
                <w:rFonts w:hint="eastAsia" w:ascii="Times New Roman" w:hAnsi="Times New Roman" w:cs="方正仿宋_GBK"/>
                <w:sz w:val="21"/>
              </w:rPr>
              <w:t>年行动计划”“进一步改善护理服务行动计划”，提升辖区医疗质量安全，保障患者健康权益。</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卫生健康局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（六）打造高质量教育体系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82</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推进普通高中由“特色示范”向“优质特色”发展，推进教育质量“</w:t>
            </w:r>
            <w:r>
              <w:rPr>
                <w:rFonts w:hint="eastAsia" w:ascii="Times New Roman" w:hAnsi="Times New Roman" w:cs="Times New Roman"/>
                <w:sz w:val="21"/>
              </w:rPr>
              <w:t>411</w:t>
            </w:r>
            <w:r>
              <w:rPr>
                <w:rFonts w:hint="eastAsia" w:ascii="Times New Roman" w:hAnsi="Times New Roman" w:cs="方正仿宋_GBK"/>
                <w:sz w:val="21"/>
              </w:rPr>
              <w:t>”提质工程，持续提高四十九中教育教学水平，将</w:t>
            </w:r>
            <w:r>
              <w:rPr>
                <w:rFonts w:hint="eastAsia" w:ascii="Times New Roman" w:hAnsi="Times New Roman" w:cs="Times New Roman"/>
                <w:sz w:val="21"/>
              </w:rPr>
              <w:t>49</w:t>
            </w:r>
            <w:r>
              <w:rPr>
                <w:rFonts w:hint="eastAsia" w:ascii="Times New Roman" w:hAnsi="Times New Roman" w:cs="方正仿宋_GBK"/>
                <w:sz w:val="21"/>
              </w:rPr>
              <w:t>中打造成全市优质特色品牌高中。</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教育局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83</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加强产教融合基地建设，建成电子信息技术市级“双师型”教师培训基地和汽修专业市级示范性教师企业实践流动站。</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教育局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职业教育中心</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84</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开展校企合作办学，启动实施职教中心与重庆九恩港科技有限公司开展合作办学，将校企合作贯穿人才培养全过程。</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教育局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职业教育中心</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（七）持续改善环境质量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85</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加强水污染控制，推进农村黑臭水体整治，水污染治理“九大行动”，完成万盛经开区创建农村黑臭水体清零工作，整治黑臭水体</w:t>
            </w:r>
            <w:r>
              <w:rPr>
                <w:rFonts w:hint="eastAsia" w:ascii="Times New Roman" w:hAnsi="Times New Roman" w:cs="Times New Roman"/>
                <w:sz w:val="21"/>
              </w:rPr>
              <w:t>22</w:t>
            </w:r>
            <w:r>
              <w:rPr>
                <w:rFonts w:hint="eastAsia" w:ascii="Times New Roman" w:hAnsi="Times New Roman" w:cs="方正仿宋_GBK"/>
                <w:sz w:val="21"/>
              </w:rPr>
              <w:t>条，</w:t>
            </w:r>
            <w:r>
              <w:rPr>
                <w:rFonts w:ascii="Times New Roman" w:hAnsi="Times New Roman" w:cs="Times New Roman"/>
                <w:sz w:val="21"/>
              </w:rPr>
              <w:t>2024</w:t>
            </w:r>
            <w:r>
              <w:rPr>
                <w:rFonts w:ascii="Times New Roman" w:hAnsi="Times New Roman" w:cs="方正仿宋_GBK"/>
                <w:sz w:val="21"/>
              </w:rPr>
              <w:t>年水质断面年均值达到</w:t>
            </w:r>
            <w:r>
              <w:rPr>
                <w:rFonts w:ascii="Times New Roman" w:hAnsi="Times New Roman" w:cs="Times New Roman"/>
                <w:sz w:val="21"/>
              </w:rPr>
              <w:t>Ⅲ</w:t>
            </w:r>
            <w:r>
              <w:rPr>
                <w:rFonts w:ascii="Times New Roman" w:hAnsi="Times New Roman" w:cs="方正仿宋_GBK"/>
                <w:sz w:val="21"/>
              </w:rPr>
              <w:t>类水质及以上，推进美丽河湖建成</w:t>
            </w:r>
            <w:r>
              <w:rPr>
                <w:rFonts w:hint="eastAsia" w:ascii="Times New Roman" w:hAnsi="Times New Roman" w:cs="方正仿宋_GBK"/>
                <w:sz w:val="21"/>
              </w:rPr>
              <w:t>。</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生态环境局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各镇街</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86</w:t>
            </w:r>
          </w:p>
        </w:tc>
        <w:tc>
          <w:tcPr>
            <w:tcW w:w="3910" w:type="dxa"/>
            <w:noWrap w:val="0"/>
            <w:vAlign w:val="center"/>
          </w:tcPr>
          <w:p>
            <w:pPr>
              <w:pStyle w:val="4"/>
              <w:rPr>
                <w:rFonts w:hint="eastAsia" w:ascii="Times New Roman" w:hAnsi="Times New Roman" w:cs="方正仿宋_GBK"/>
                <w:sz w:val="21"/>
              </w:rPr>
            </w:pPr>
            <w:r>
              <w:rPr>
                <w:rFonts w:ascii="Times New Roman" w:hAnsi="Times New Roman" w:cs="方正仿宋_GBK"/>
                <w:sz w:val="21"/>
              </w:rPr>
              <w:t>加强大气污染防控</w:t>
            </w:r>
            <w:r>
              <w:rPr>
                <w:rFonts w:hint="eastAsia" w:ascii="Times New Roman" w:hAnsi="Times New Roman" w:cs="方正仿宋_GBK"/>
                <w:sz w:val="21"/>
              </w:rPr>
              <w:t>，</w:t>
            </w:r>
            <w:r>
              <w:rPr>
                <w:rFonts w:ascii="Times New Roman" w:hAnsi="Times New Roman" w:cs="方正仿宋_GBK"/>
                <w:sz w:val="21"/>
              </w:rPr>
              <w:t>突出交通、工业、扬尘等重点领域污染防控，加强氮氧化物、挥发性有机物、细颗粒物等多污染物协同控制，持续推进重点区域大气环境质量改善，优良天数力争达</w:t>
            </w:r>
            <w:r>
              <w:rPr>
                <w:rFonts w:ascii="Times New Roman" w:hAnsi="Times New Roman" w:cs="Times New Roman"/>
                <w:sz w:val="21"/>
              </w:rPr>
              <w:t>343</w:t>
            </w:r>
            <w:r>
              <w:rPr>
                <w:rFonts w:ascii="Times New Roman" w:hAnsi="Times New Roman" w:cs="方正仿宋_GBK"/>
                <w:sz w:val="21"/>
              </w:rPr>
              <w:t>天。</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生态环境局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87</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加强废物污染防控，充分发挥社会组织和公众监督作用，大力推进固体废物治理水平，创建“无废单元”，完成“无废工厂”“无废小区（社区）”“无废学校”等</w:t>
            </w:r>
            <w:r>
              <w:rPr>
                <w:rFonts w:hint="eastAsia" w:ascii="Times New Roman" w:hAnsi="Times New Roman" w:cs="Times New Roman"/>
                <w:sz w:val="21"/>
              </w:rPr>
              <w:t>20</w:t>
            </w:r>
            <w:r>
              <w:rPr>
                <w:rFonts w:hint="eastAsia" w:ascii="Times New Roman" w:hAnsi="Times New Roman" w:cs="方正仿宋_GBK"/>
                <w:sz w:val="21"/>
              </w:rPr>
              <w:t>个“无废城市细胞”。</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生态环境局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各镇街、教育局、经济信息局等有关单位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39" w:type="dxa"/>
            <w:gridSpan w:val="6"/>
            <w:noWrap w:val="0"/>
            <w:vAlign w:val="center"/>
          </w:tcPr>
          <w:p>
            <w:pPr>
              <w:pStyle w:val="4"/>
              <w:jc w:val="left"/>
              <w:rPr>
                <w:rFonts w:hint="eastAsia" w:ascii="Times New Roman" w:hAnsi="Times New Roman" w:eastAsia="方正黑体_GBK" w:cs="方正黑体_GBK"/>
                <w:kern w:val="0"/>
                <w:sz w:val="21"/>
              </w:rPr>
            </w:pPr>
            <w:r>
              <w:rPr>
                <w:rFonts w:hint="eastAsia" w:ascii="Times New Roman" w:hAnsi="Times New Roman" w:eastAsia="方正黑体_GBK" w:cs="方正黑体_GBK"/>
                <w:kern w:val="0"/>
                <w:sz w:val="21"/>
              </w:rPr>
              <w:t>八、实施招投标清廉市场行动（统筹单位：发展改革局）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（一）加强思想引领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88</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带头做“两个确立”的坚决拥护者和“两个维护”的坚定实践者，深化对党忠诚教育，不断提升党员干部的政治判断力、政治领悟力、政治执行力，在思想上政治上行动上同以习近平同志为核心的党中央保持高度一致。</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89</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深入开展学习贯彻习近平新时代中国特色社会主义思想主题教育，在深学细照笃行中提高理论素养、坚定理想信念、升华觉悟境界、增强能力本领，坚决把理论学习的成果转化为清廉市场建设的实效。</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90</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严明政治纪律和政治规矩，认真落实“十破十立”“五个结合”要求，全力推动党的二十大部署和市委六届二次全会目标任务落实，针对清廉市场建设方面内容开展政治监督。</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（二）提升服务质效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91</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pacing w:val="-6"/>
                <w:sz w:val="21"/>
              </w:rPr>
              <w:t>推行招标文件“零纸质资料”备案，持续推行“不见面开标”，精简文件资料。在投标、履约、低价风险担保中积极推行工程保函，减轻投标人资金负担。继续指导协调全区限额以下工程建设项目发包管理工作进一步电子化、规范化，精简限下项目办理流程</w:t>
            </w:r>
            <w:r>
              <w:rPr>
                <w:rFonts w:hint="eastAsia" w:ascii="Times New Roman" w:hAnsi="Times New Roman" w:cs="方正仿宋_GBK"/>
                <w:sz w:val="21"/>
              </w:rPr>
              <w:t>。</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盛鸿公共资源服务公司等有关单位</w:t>
            </w:r>
          </w:p>
        </w:tc>
        <w:tc>
          <w:tcPr>
            <w:tcW w:w="894" w:type="dxa"/>
            <w:noWrap w:val="0"/>
            <w:vAlign w:val="center"/>
          </w:tcPr>
          <w:p>
            <w:pPr>
              <w:jc w:val="center"/>
              <w:rPr>
                <w:rFonts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92</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推行招标文件备案意见建议一次性告知、容缺办理、提前发布招标计划提醒告知等制度，最大限度压缩招标时间。畅通投诉渠道，优化投诉处理流程，压缩投诉受理和调查处理时间。建立投标保证金收退台账，压缩退付时间至</w:t>
            </w:r>
            <w:r>
              <w:rPr>
                <w:rFonts w:hint="eastAsia" w:ascii="Times New Roman" w:hAnsi="Times New Roman" w:cs="Times New Roman"/>
                <w:sz w:val="21"/>
              </w:rPr>
              <w:t>1</w:t>
            </w:r>
            <w:r>
              <w:rPr>
                <w:rFonts w:hint="eastAsia" w:ascii="Times New Roman" w:hAnsi="Times New Roman" w:cs="方正仿宋_GBK"/>
                <w:sz w:val="21"/>
              </w:rPr>
              <w:t>个工作日。</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93</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整治以注册地、所有制形式、组织形式等不合理条件对潜在投标人实行差别歧视待遇，消除公开招标、限额以下工</w:t>
            </w:r>
            <w:r>
              <w:rPr>
                <w:rFonts w:hint="eastAsia" w:ascii="Times New Roman" w:hAnsi="Times New Roman" w:cs="方正仿宋_GBK"/>
                <w:spacing w:val="-2"/>
                <w:sz w:val="21"/>
              </w:rPr>
              <w:t>程建设项目发包过程中对不同地域、不同所有制企业设置不合理限制和壁垒，提升交易服务质效、优化交易营商环境。</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市场监管局等有关单位</w:t>
            </w:r>
          </w:p>
        </w:tc>
        <w:tc>
          <w:tcPr>
            <w:tcW w:w="894" w:type="dxa"/>
            <w:noWrap w:val="0"/>
            <w:vAlign w:val="center"/>
          </w:tcPr>
          <w:p>
            <w:pPr>
              <w:jc w:val="center"/>
              <w:rPr>
                <w:rFonts w:hint="eastAsia" w:eastAsia="方正仿宋_GBK" w:cs="方正仿宋_GBK"/>
                <w:kern w:val="0"/>
                <w:szCs w:val="21"/>
              </w:rPr>
            </w:pPr>
            <w:r>
              <w:rPr>
                <w:rFonts w:hint="eastAsia" w:eastAsia="方正仿宋_GBK"/>
                <w:szCs w:val="21"/>
              </w:rPr>
              <w:t>2024</w:t>
            </w:r>
            <w:r>
              <w:rPr>
                <w:rFonts w:hint="eastAsia" w:eastAsia="方正仿宋_GBK" w:cs="方正仿宋_GBK"/>
                <w:kern w:val="0"/>
                <w:szCs w:val="21"/>
              </w:rPr>
              <w:t>年</w:t>
            </w:r>
            <w:r>
              <w:rPr>
                <w:rFonts w:hint="eastAsia" w:eastAsia="方正仿宋_GBK"/>
                <w:szCs w:val="21"/>
              </w:rPr>
              <w:t>12</w:t>
            </w:r>
            <w:r>
              <w:rPr>
                <w:rFonts w:hint="eastAsia" w:eastAsia="方正仿宋_GBK" w:cs="方正仿宋_GBK"/>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（三）强化过程监管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94</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严格抓好招标文件备案和审核，推行使用标准招标文件示范文本，不断规范招投标流程，持续加强项目的现场监督。严格做好网站信息发布工作，认真落实“三审三校”制度，提高信息发布质量。</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盛鸿公共资源服务公司等有关单位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95</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深化招标投标数字化监管，推进监督系统、交易系统升级改造，加大电子交易推广使用力度，提高数据归集质量。</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盛鸿公共资源服务公司</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Times New Roman"/>
                <w:sz w:val="21"/>
              </w:rPr>
              <w:t>2024</w:t>
            </w:r>
            <w:r>
              <w:rPr>
                <w:rFonts w:hint="eastAsia" w:ascii="Times New Roman" w:hAnsi="Times New Roman" w:cs="方正仿宋_GBK"/>
                <w:kern w:val="0"/>
                <w:sz w:val="21"/>
              </w:rPr>
              <w:t>年</w:t>
            </w:r>
            <w:r>
              <w:rPr>
                <w:rFonts w:hint="eastAsia" w:ascii="Times New Roman" w:hAnsi="Times New Roman" w:cs="Times New Roman"/>
                <w:sz w:val="21"/>
              </w:rPr>
              <w:t>12</w:t>
            </w:r>
            <w:r>
              <w:rPr>
                <w:rFonts w:hint="eastAsia" w:ascii="Times New Roman" w:hAnsi="Times New Roman" w:cs="方正仿宋_GBK"/>
                <w:kern w:val="0"/>
                <w:sz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96</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探索建立招标投标协同监管机制，在执法、行刑衔接等方面强化协作，形成共同防范和惩治招标投标违法犯罪行为的合力，确保招标投标市场规范有序。</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探索创新</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党工委政法办、中心法庭</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39" w:type="dxa"/>
            <w:gridSpan w:val="6"/>
            <w:noWrap w:val="0"/>
            <w:vAlign w:val="center"/>
          </w:tcPr>
          <w:p>
            <w:pPr>
              <w:pStyle w:val="4"/>
              <w:jc w:val="left"/>
              <w:rPr>
                <w:rFonts w:hint="eastAsia" w:ascii="Times New Roman" w:hAnsi="Times New Roman" w:eastAsia="方正黑体_GBK" w:cs="方正黑体_GBK"/>
                <w:kern w:val="0"/>
                <w:sz w:val="21"/>
              </w:rPr>
            </w:pPr>
            <w:r>
              <w:rPr>
                <w:rFonts w:hint="eastAsia" w:ascii="Times New Roman" w:hAnsi="Times New Roman" w:eastAsia="方正黑体_GBK" w:cs="方正黑体_GBK"/>
                <w:kern w:val="0"/>
                <w:sz w:val="21"/>
              </w:rPr>
              <w:t>九、实施深化诚信体系建设行动（统筹单位：发展改革局）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（一）加强社会信用建设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97</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深化信用信息归集共享，双公示信息归集及时率、合格率、修正率达</w:t>
            </w:r>
            <w:r>
              <w:rPr>
                <w:rFonts w:hint="eastAsia" w:ascii="Times New Roman" w:hAnsi="Times New Roman" w:cs="Times New Roman"/>
                <w:sz w:val="21"/>
              </w:rPr>
              <w:t>100%</w:t>
            </w:r>
            <w:r>
              <w:rPr>
                <w:rFonts w:hint="eastAsia" w:ascii="Times New Roman" w:hAnsi="Times New Roman" w:cs="方正仿宋_GBK"/>
                <w:sz w:val="21"/>
              </w:rPr>
              <w:t>，行政管理信息、特定信用信息、水、电、气上报率达</w:t>
            </w:r>
            <w:r>
              <w:rPr>
                <w:rFonts w:hint="eastAsia" w:ascii="Times New Roman" w:hAnsi="Times New Roman" w:cs="Times New Roman"/>
                <w:sz w:val="21"/>
              </w:rPr>
              <w:t>100%</w:t>
            </w:r>
            <w:r>
              <w:rPr>
                <w:rFonts w:hint="eastAsia" w:ascii="Times New Roman" w:hAnsi="Times New Roman" w:cs="方正仿宋_GBK"/>
                <w:sz w:val="21"/>
              </w:rPr>
              <w:t>。</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98</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争创“信易+”应用场景试点，进一步推动信易+阅读、信易+住房、信易+旅游、信易+税易贷、信易+招投标等</w:t>
            </w:r>
            <w:r>
              <w:rPr>
                <w:rFonts w:hint="eastAsia" w:ascii="Times New Roman" w:hAnsi="Times New Roman" w:cs="Times New Roman"/>
                <w:sz w:val="21"/>
              </w:rPr>
              <w:t>6</w:t>
            </w:r>
            <w:r>
              <w:rPr>
                <w:rFonts w:hint="eastAsia" w:ascii="Times New Roman" w:hAnsi="Times New Roman" w:cs="方正仿宋_GBK"/>
                <w:sz w:val="21"/>
              </w:rPr>
              <w:t>个信易+应用场景，争创应用场景试点</w:t>
            </w:r>
            <w:r>
              <w:rPr>
                <w:rFonts w:hint="eastAsia" w:ascii="Times New Roman" w:hAnsi="Times New Roman" w:cs="Times New Roman"/>
                <w:sz w:val="21"/>
              </w:rPr>
              <w:t>1</w:t>
            </w:r>
            <w:r>
              <w:rPr>
                <w:rFonts w:hint="eastAsia" w:ascii="Times New Roman" w:hAnsi="Times New Roman" w:cs="方正仿宋_GBK"/>
                <w:sz w:val="21"/>
              </w:rPr>
              <w:t>个。</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探索创新</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Times New Roman"/>
                <w:sz w:val="21"/>
              </w:rPr>
              <w:t>2024</w:t>
            </w:r>
            <w:r>
              <w:rPr>
                <w:rFonts w:hint="eastAsia" w:ascii="Times New Roman" w:hAnsi="Times New Roman" w:cs="方正仿宋_GBK"/>
                <w:kern w:val="0"/>
                <w:sz w:val="21"/>
              </w:rPr>
              <w:t>年</w:t>
            </w:r>
            <w:r>
              <w:rPr>
                <w:rFonts w:hint="eastAsia" w:ascii="Times New Roman" w:hAnsi="Times New Roman" w:cs="Times New Roman"/>
                <w:sz w:val="21"/>
              </w:rPr>
              <w:t>12</w:t>
            </w:r>
            <w:r>
              <w:rPr>
                <w:rFonts w:hint="eastAsia" w:ascii="Times New Roman" w:hAnsi="Times New Roman" w:cs="方正仿宋_GBK"/>
                <w:kern w:val="0"/>
                <w:sz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99</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注重引导诚信宣传造势，以法治政府建设为统领，以法治宣传月、法治宣传日为契机，开展诚信宣传进校园、进园区、进镇街、进村社等宣传活动，全方位营造良好的信用体系宣传氛围。</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各镇街、教育局、平山园区管委会等有关单位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100</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大力推广信用融资贷款，推动辖区市场主体注册“信易贷·渝惠融”平台数量占当地企业数量比例、平台发起授权查询主体数量占比、平台发起订单的通过率均达到全市平均值，力争实现信易贷产品平台贯通。</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各镇街、财政局等有关单位、区内有关银行</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（二）推进市场信用建设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101</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广泛应用信用报告，将信用报告作为办理相关行政管理事项的重要依据，在政府采购、招标投标、行政审批、市场准入、资质审核等行政管理和政务服务过程中广泛应用。</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教育局、财政局、住房城乡建设局、交通局、行政服务中心、市场监管局等有关单位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Times New Roman"/>
                <w:sz w:val="21"/>
              </w:rPr>
              <w:t>2024</w:t>
            </w:r>
            <w:r>
              <w:rPr>
                <w:rFonts w:hint="eastAsia" w:ascii="Times New Roman" w:hAnsi="Times New Roman" w:cs="方正仿宋_GBK"/>
                <w:kern w:val="0"/>
                <w:sz w:val="21"/>
              </w:rPr>
              <w:t>年</w:t>
            </w:r>
            <w:r>
              <w:rPr>
                <w:rFonts w:hint="eastAsia" w:ascii="Times New Roman" w:hAnsi="Times New Roman" w:cs="Times New Roman"/>
                <w:sz w:val="21"/>
              </w:rPr>
              <w:t>12</w:t>
            </w:r>
            <w:r>
              <w:rPr>
                <w:rFonts w:hint="eastAsia" w:ascii="Times New Roman" w:hAnsi="Times New Roman" w:cs="方正仿宋_GBK"/>
                <w:kern w:val="0"/>
                <w:sz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102</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有序实施分级分类监管，根据信用评价对企业实施差异化监管，在行政监管活动中实现对守信企业优服务，失信企业强监管。对信用较好、风险较低的市场主体，降低抽查比例和频次，对违法失信、风险较高的市场主体，适当提高抽查比例和频次，列入重点信用监管范围。</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市场监管局等有关单位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103</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规范开展信用修复，建立信用修复机制，公布信用修复指引，保障失信主体权益，提高全社会信用水平，营造优良信用环境。</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（三）深化政府诚信建设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104</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持续开展政务失信治理，按照“发现一起、预警一起、退出一起”的原则，确保涉政府机构失信被执行人动态“清零”。</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中心法庭</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纪工委监察室、党工委组织部</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105</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畅通违约失信投诉渠道，依托信用万盛、万盛发布营商环境专栏畅通违约失信投诉渠道，受理、归集本辖区涉及政府部门（含机关和事业单位）的违约失信投诉。</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106</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加强违约失信认定，发展改革局将违约失信投诉线索移交至党工委政法办开展核实认定，情况不属实的，党工委政法办及时反馈投诉人并做好解释说明，情况属实的，督促失信部门立即推动整改，拒不整改的，由发展改革局确认违约失信。</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党工委政法办等有关单位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39" w:type="dxa"/>
            <w:gridSpan w:val="6"/>
            <w:noWrap w:val="0"/>
            <w:vAlign w:val="center"/>
          </w:tcPr>
          <w:p>
            <w:pPr>
              <w:pStyle w:val="4"/>
              <w:jc w:val="left"/>
              <w:rPr>
                <w:rFonts w:hint="eastAsia" w:ascii="Times New Roman" w:hAnsi="Times New Roman" w:eastAsia="方正黑体_GBK" w:cs="方正黑体_GBK"/>
                <w:kern w:val="0"/>
                <w:sz w:val="21"/>
              </w:rPr>
            </w:pPr>
            <w:r>
              <w:rPr>
                <w:rFonts w:hint="eastAsia" w:ascii="Times New Roman" w:hAnsi="Times New Roman" w:eastAsia="方正黑体_GBK" w:cs="方正黑体_GBK"/>
                <w:kern w:val="0"/>
                <w:sz w:val="21"/>
              </w:rPr>
              <w:t>十、实施高质量宣传造势行动（统筹单位：党工委宣传部）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（一）明确宣传重点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107</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color w:val="000000"/>
                <w:sz w:val="21"/>
              </w:rPr>
              <w:t>加强政策解读，各级各部门要紧扣税收、民法典等“行业宣传月”组织开展上街、走园、进企等多样形式宣传活动，“面对面”开展政策解读宣传，“零距离”开展政策解读服务，“心贴心”开展政策解读交流。</w:t>
            </w:r>
          </w:p>
        </w:tc>
        <w:tc>
          <w:tcPr>
            <w:tcW w:w="640" w:type="dxa"/>
            <w:noWrap w:val="0"/>
            <w:vAlign w:val="center"/>
          </w:tcPr>
          <w:p>
            <w:pPr>
              <w:pStyle w:val="4"/>
              <w:jc w:val="center"/>
              <w:rPr>
                <w:rFonts w:hint="eastAsia" w:ascii="Times New Roman" w:hAnsi="Times New Roman" w:cs="方正仿宋_GBK"/>
                <w:color w:val="000000"/>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党工委宣传部</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经济信息局、融媒体中心、工商联等有关单位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108</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大力宣传典型案例和经验做法，宣传我区营商环境高质量水平和企业群众认同度大幅提升的具体成效，宣传我区营商环境考核评价结果逐年进步，积极展现我区把优化提升营商环境作为推动高质量发展的“关键一招”，全面巩固提升我区营商环境的生动实践和良好举措。</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jc w:val="center"/>
              <w:rPr>
                <w:rFonts w:hint="eastAsia" w:eastAsia="方正仿宋_GBK" w:cs="方正仿宋_GBK"/>
                <w:kern w:val="0"/>
                <w:szCs w:val="21"/>
              </w:rPr>
            </w:pPr>
            <w:r>
              <w:rPr>
                <w:rFonts w:hint="eastAsia" w:eastAsia="方正仿宋_GBK" w:cs="方正仿宋_GBK"/>
                <w:kern w:val="0"/>
                <w:szCs w:val="21"/>
              </w:rPr>
              <w:t>党工委宣传部</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融媒体中心、有关单位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109</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民营企业先进典型，宣传民营企业和民营企业家先进典型，坚定民营企业家发展信心，在全社会营造关心支持我区民营经济发展的浓厚氛围，推动形成亲商、爱商、敬商、护商的一流营商环境。</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jc w:val="center"/>
              <w:rPr>
                <w:rFonts w:hint="eastAsia" w:eastAsia="方正仿宋_GBK" w:cs="方正仿宋_GBK"/>
                <w:kern w:val="0"/>
                <w:szCs w:val="21"/>
              </w:rPr>
            </w:pPr>
            <w:r>
              <w:rPr>
                <w:rFonts w:hint="eastAsia" w:eastAsia="方正仿宋_GBK" w:cs="方正仿宋_GBK"/>
                <w:kern w:val="0"/>
                <w:szCs w:val="21"/>
              </w:rPr>
              <w:t>党工委宣传部</w:t>
            </w:r>
          </w:p>
        </w:tc>
        <w:tc>
          <w:tcPr>
            <w:tcW w:w="1142" w:type="dxa"/>
            <w:noWrap w:val="0"/>
            <w:vAlign w:val="center"/>
          </w:tcPr>
          <w:p>
            <w:pPr>
              <w:pStyle w:val="4"/>
              <w:rPr>
                <w:rFonts w:hint="eastAsia" w:ascii="Times New Roman" w:hAnsi="Times New Roman" w:cs="方正仿宋_GBK"/>
                <w:kern w:val="0"/>
                <w:sz w:val="21"/>
              </w:rPr>
            </w:pPr>
            <w:r>
              <w:rPr>
                <w:rFonts w:hint="eastAsia" w:ascii="Times New Roman" w:hAnsi="Times New Roman" w:cs="方正仿宋_GBK"/>
                <w:kern w:val="0"/>
                <w:sz w:val="21"/>
              </w:rPr>
              <w:t>经济信息局、融媒体中心、工商联等有关单位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方正仿宋_GBK"/>
                <w:sz w:val="21"/>
              </w:rPr>
            </w:pPr>
            <w:r>
              <w:rPr>
                <w:rFonts w:hint="eastAsia" w:ascii="Times New Roman" w:hAnsi="Times New Roman" w:cs="Times New Roman"/>
                <w:sz w:val="21"/>
              </w:rPr>
              <w:t>110</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通报反面典型，由发展改革局收集损害营商环境问题线索，对损害营商环境典型问题案例予以公开通报或媒体曝光。</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jc w:val="center"/>
              <w:rPr>
                <w:rFonts w:hint="eastAsia" w:eastAsia="方正仿宋_GBK" w:cs="方正仿宋_GBK"/>
                <w:kern w:val="0"/>
                <w:szCs w:val="21"/>
              </w:rPr>
            </w:pPr>
            <w:r>
              <w:rPr>
                <w:rFonts w:hint="eastAsia" w:eastAsia="方正仿宋_GBK" w:cs="方正仿宋_GBK"/>
                <w:kern w:val="0"/>
                <w:szCs w:val="21"/>
              </w:rPr>
              <w:t>党工委宣传部</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发展改革局、融媒体中心等有关单位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（二）创新宣传形式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111</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精心策划</w:t>
            </w:r>
            <w:r>
              <w:rPr>
                <w:rFonts w:hint="eastAsia" w:ascii="Times New Roman" w:hAnsi="Times New Roman" w:cs="Times New Roman"/>
                <w:sz w:val="21"/>
              </w:rPr>
              <w:t>1</w:t>
            </w:r>
            <w:r>
              <w:rPr>
                <w:rFonts w:hint="eastAsia" w:ascii="Times New Roman" w:hAnsi="Times New Roman" w:cs="方正仿宋_GBK"/>
                <w:sz w:val="21"/>
              </w:rPr>
              <w:t>段营商环境建设宣传短视频，全面宣传报道全区上下持续巩固优化营商环境的典型案例、经验做法，用鲜活的案例和改革工作热情反映举措成效，推广经验做法，充分体现市场主体的获得感。</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探索创新</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党工委宣传部</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融媒体中心、有关单位</w:t>
            </w:r>
          </w:p>
        </w:tc>
        <w:tc>
          <w:tcPr>
            <w:tcW w:w="894" w:type="dxa"/>
            <w:noWrap w:val="0"/>
            <w:vAlign w:val="center"/>
          </w:tcPr>
          <w:p>
            <w:pPr>
              <w:pStyle w:val="4"/>
              <w:jc w:val="center"/>
              <w:rPr>
                <w:rFonts w:ascii="Times New Roman" w:hAnsi="Times New Roman" w:cs="方正仿宋_GBK"/>
                <w:kern w:val="0"/>
                <w:sz w:val="21"/>
              </w:rPr>
            </w:pPr>
            <w:r>
              <w:rPr>
                <w:rFonts w:hint="eastAsia" w:ascii="Times New Roman" w:hAnsi="Times New Roman" w:cs="Times New Roman"/>
                <w:sz w:val="21"/>
              </w:rPr>
              <w:t>2024</w:t>
            </w:r>
            <w:r>
              <w:rPr>
                <w:rFonts w:hint="eastAsia" w:ascii="Times New Roman" w:hAnsi="Times New Roman" w:cs="方正仿宋_GBK"/>
                <w:kern w:val="0"/>
                <w:sz w:val="21"/>
              </w:rPr>
              <w:t>年</w:t>
            </w:r>
            <w:r>
              <w:rPr>
                <w:rFonts w:hint="eastAsia" w:ascii="Times New Roman" w:hAnsi="Times New Roman" w:cs="Times New Roman"/>
                <w:sz w:val="21"/>
              </w:rPr>
              <w:t>12</w:t>
            </w:r>
            <w:r>
              <w:rPr>
                <w:rFonts w:hint="eastAsia" w:ascii="Times New Roman" w:hAnsi="Times New Roman" w:cs="方正仿宋_GBK"/>
                <w:kern w:val="0"/>
                <w:sz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112</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结合实际，组织策划开展“营商环境”专题询问会，邀请区主要领导、分管区领导、部门负责人、企业、群众参加，实现营商环境“一问一答”面对面。面对面了解企业群众的心声和期盼，面对面解决企业群众难点，面对面“把脉问诊”营商环境优化。</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党工委宣传部</w:t>
            </w:r>
          </w:p>
        </w:tc>
        <w:tc>
          <w:tcPr>
            <w:tcW w:w="1142" w:type="dxa"/>
            <w:noWrap w:val="0"/>
            <w:vAlign w:val="center"/>
          </w:tcPr>
          <w:p>
            <w:pPr>
              <w:pStyle w:val="4"/>
              <w:ind w:left="-61" w:leftChars="-29" w:right="-48" w:rightChars="-23"/>
              <w:jc w:val="center"/>
              <w:rPr>
                <w:rFonts w:hint="eastAsia" w:ascii="Times New Roman" w:hAnsi="Times New Roman" w:cs="方正仿宋_GBK"/>
                <w:kern w:val="0"/>
                <w:sz w:val="21"/>
              </w:rPr>
            </w:pPr>
            <w:r>
              <w:rPr>
                <w:rFonts w:hint="eastAsia" w:ascii="Times New Roman" w:hAnsi="Times New Roman" w:cs="方正仿宋_GBK"/>
                <w:kern w:val="0"/>
                <w:sz w:val="21"/>
              </w:rPr>
              <w:t>党工委办公室、管委会办公室、经济信息局、工商联等各有关单位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113</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各统筹单位要充分发挥“朋友圈”资源优势，整合现有宣传资源，全量采集我区营商环境优化新闻线索，在市级媒体、区级媒体全方位宣传营商环境案例每月至少各</w:t>
            </w:r>
            <w:r>
              <w:rPr>
                <w:rFonts w:hint="eastAsia" w:ascii="Times New Roman" w:hAnsi="Times New Roman" w:cs="Times New Roman"/>
                <w:sz w:val="21"/>
              </w:rPr>
              <w:t>1</w:t>
            </w:r>
            <w:r>
              <w:rPr>
                <w:rFonts w:hint="eastAsia" w:ascii="Times New Roman" w:hAnsi="Times New Roman" w:cs="方正仿宋_GBK"/>
                <w:sz w:val="21"/>
              </w:rPr>
              <w:t>篇，力争实现国家级媒体每季度</w:t>
            </w:r>
            <w:r>
              <w:rPr>
                <w:rFonts w:hint="eastAsia" w:ascii="Times New Roman" w:hAnsi="Times New Roman" w:cs="Times New Roman"/>
                <w:sz w:val="21"/>
              </w:rPr>
              <w:t>1</w:t>
            </w:r>
            <w:r>
              <w:rPr>
                <w:rFonts w:hint="eastAsia" w:ascii="Times New Roman" w:hAnsi="Times New Roman" w:cs="方正仿宋_GBK"/>
                <w:sz w:val="21"/>
              </w:rPr>
              <w:t>条。</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党工委宣传部</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融媒体中心、有关单位</w:t>
            </w:r>
          </w:p>
        </w:tc>
        <w:tc>
          <w:tcPr>
            <w:tcW w:w="894" w:type="dxa"/>
            <w:noWrap w:val="0"/>
            <w:vAlign w:val="center"/>
          </w:tcPr>
          <w:p>
            <w:pPr>
              <w:pStyle w:val="4"/>
              <w:jc w:val="center"/>
              <w:rPr>
                <w:rFonts w:ascii="Times New Roman" w:hAnsi="Times New Roman" w:cs="方正仿宋_GBK"/>
                <w:kern w:val="0"/>
                <w:sz w:val="21"/>
              </w:rPr>
            </w:pPr>
            <w:r>
              <w:rPr>
                <w:rFonts w:hint="eastAsia" w:ascii="Times New Roman" w:hAnsi="Times New Roman" w:cs="Times New Roman"/>
                <w:sz w:val="21"/>
              </w:rPr>
              <w:t>2024</w:t>
            </w:r>
            <w:r>
              <w:rPr>
                <w:rFonts w:hint="eastAsia" w:ascii="Times New Roman" w:hAnsi="Times New Roman" w:cs="方正仿宋_GBK"/>
                <w:kern w:val="0"/>
                <w:sz w:val="21"/>
              </w:rPr>
              <w:t>年</w:t>
            </w:r>
            <w:r>
              <w:rPr>
                <w:rFonts w:hint="eastAsia" w:ascii="Times New Roman" w:hAnsi="Times New Roman" w:cs="Times New Roman"/>
                <w:sz w:val="21"/>
              </w:rPr>
              <w:t>12</w:t>
            </w:r>
            <w:r>
              <w:rPr>
                <w:rFonts w:hint="eastAsia" w:ascii="Times New Roman" w:hAnsi="Times New Roman" w:cs="方正仿宋_GBK"/>
                <w:kern w:val="0"/>
                <w:sz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739" w:type="dxa"/>
            <w:gridSpan w:val="6"/>
            <w:noWrap w:val="0"/>
            <w:vAlign w:val="center"/>
          </w:tcPr>
          <w:p>
            <w:pPr>
              <w:pStyle w:val="4"/>
              <w:jc w:val="left"/>
              <w:rPr>
                <w:rFonts w:hint="eastAsia" w:ascii="Times New Roman" w:hAnsi="Times New Roman" w:eastAsia="方正楷体_GBK" w:cs="方正楷体_GBK"/>
                <w:kern w:val="0"/>
                <w:sz w:val="21"/>
              </w:rPr>
            </w:pPr>
            <w:r>
              <w:rPr>
                <w:rFonts w:hint="eastAsia" w:ascii="Times New Roman" w:hAnsi="Times New Roman" w:eastAsia="方正楷体_GBK" w:cs="方正楷体_GBK"/>
                <w:kern w:val="0"/>
                <w:sz w:val="21"/>
              </w:rPr>
              <w:t>（三）拓宽宣传渠道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114</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开展社会宣传，区政务服务大厅、平山园区、工商联等服务企业一线的各党政机关、企事业单位，通过户外电子字幕屏、</w:t>
            </w:r>
            <w:r>
              <w:rPr>
                <w:rFonts w:hint="eastAsia" w:ascii="Times New Roman" w:hAnsi="Times New Roman" w:cs="Times New Roman"/>
                <w:sz w:val="21"/>
              </w:rPr>
              <w:t>LED</w:t>
            </w:r>
            <w:r>
              <w:rPr>
                <w:rFonts w:hint="eastAsia" w:ascii="Times New Roman" w:hAnsi="Times New Roman" w:cs="方正仿宋_GBK"/>
                <w:sz w:val="21"/>
              </w:rPr>
              <w:t>显示屏、宣传栏、宣传橱窗发布优化营商环境的相关宣传标语、宣传视频，提振企业家发展信心。</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党工委宣传部</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经济信息局、平山园区管委会、工商联、行政服务中心</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115</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投放户外广告，在高速公路沿途制作投放优化营商环境广告牌，在园区、车站、商</w:t>
            </w:r>
            <w:r>
              <w:rPr>
                <w:rFonts w:hint="eastAsia" w:ascii="Times New Roman" w:hAnsi="Times New Roman" w:cs="方正仿宋_GBK"/>
                <w:spacing w:val="-6"/>
                <w:sz w:val="21"/>
              </w:rPr>
              <w:t>圈等人流量较大区域投放户外广告，并策划开展系列“进圈入群送服务”活动，通过各类载体发布系列惠企纾困政策，营造处处宣传营商环境，人人感知营商环境良好氛围</w:t>
            </w:r>
            <w:r>
              <w:rPr>
                <w:rFonts w:hint="eastAsia" w:ascii="Times New Roman" w:hAnsi="Times New Roman" w:cs="方正仿宋_GBK"/>
                <w:sz w:val="21"/>
              </w:rPr>
              <w:t>。</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全面完成</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党工委宣传部</w:t>
            </w:r>
          </w:p>
        </w:tc>
        <w:tc>
          <w:tcPr>
            <w:tcW w:w="1142" w:type="dxa"/>
            <w:noWrap w:val="0"/>
            <w:vAlign w:val="center"/>
          </w:tcPr>
          <w:p>
            <w:pPr>
              <w:pStyle w:val="4"/>
              <w:ind w:left="-73" w:leftChars="-35" w:right="-63" w:rightChars="-30"/>
              <w:jc w:val="center"/>
              <w:rPr>
                <w:rFonts w:hint="eastAsia" w:ascii="Times New Roman" w:hAnsi="Times New Roman" w:cs="方正仿宋_GBK"/>
                <w:kern w:val="0"/>
                <w:sz w:val="21"/>
              </w:rPr>
            </w:pPr>
            <w:r>
              <w:rPr>
                <w:rFonts w:hint="eastAsia" w:ascii="Times New Roman" w:hAnsi="Times New Roman" w:cs="方正仿宋_GBK"/>
                <w:kern w:val="0"/>
                <w:sz w:val="21"/>
              </w:rPr>
              <w:t>经济信息局、交通局、商务局、平山园区管委会等有关单位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826" w:type="dxa"/>
            <w:noWrap w:val="0"/>
            <w:vAlign w:val="center"/>
          </w:tcPr>
          <w:p>
            <w:pPr>
              <w:pStyle w:val="4"/>
              <w:jc w:val="center"/>
              <w:rPr>
                <w:rFonts w:ascii="Times New Roman" w:hAnsi="Times New Roman" w:cs="Times New Roman"/>
                <w:sz w:val="21"/>
              </w:rPr>
            </w:pPr>
            <w:r>
              <w:rPr>
                <w:rFonts w:hint="eastAsia" w:ascii="Times New Roman" w:hAnsi="Times New Roman" w:cs="Times New Roman"/>
                <w:sz w:val="21"/>
              </w:rPr>
              <w:t>116</w:t>
            </w:r>
          </w:p>
        </w:tc>
        <w:tc>
          <w:tcPr>
            <w:tcW w:w="3910" w:type="dxa"/>
            <w:noWrap w:val="0"/>
            <w:vAlign w:val="center"/>
          </w:tcPr>
          <w:p>
            <w:pPr>
              <w:pStyle w:val="4"/>
              <w:rPr>
                <w:rFonts w:hint="eastAsia" w:ascii="Times New Roman" w:hAnsi="Times New Roman" w:cs="方正仿宋_GBK"/>
                <w:sz w:val="21"/>
              </w:rPr>
            </w:pPr>
            <w:r>
              <w:rPr>
                <w:rFonts w:hint="eastAsia" w:ascii="Times New Roman" w:hAnsi="Times New Roman" w:cs="方正仿宋_GBK"/>
                <w:sz w:val="21"/>
              </w:rPr>
              <w:t>提档宣传媒体，对改革成效、先进典型、工作动态，万盛发布、万盛日报、区门户网站等区级媒体应发尽发，同时紧盯市级乃至国家级新闻媒体并积极对接，精心策划系列主题宣传和动态报道，力争在市级媒体、国家级媒体讲好万盛营商故事，唱响万盛营商品牌。</w:t>
            </w:r>
          </w:p>
        </w:tc>
        <w:tc>
          <w:tcPr>
            <w:tcW w:w="640" w:type="dxa"/>
            <w:noWrap w:val="0"/>
            <w:vAlign w:val="center"/>
          </w:tcPr>
          <w:p>
            <w:pPr>
              <w:pStyle w:val="4"/>
              <w:jc w:val="center"/>
              <w:rPr>
                <w:rFonts w:hint="eastAsia" w:ascii="Times New Roman" w:hAnsi="Times New Roman" w:cs="方正仿宋_GBK"/>
                <w:sz w:val="21"/>
              </w:rPr>
            </w:pPr>
            <w:r>
              <w:rPr>
                <w:rFonts w:hint="eastAsia" w:ascii="Times New Roman" w:hAnsi="Times New Roman" w:cs="方正仿宋_GBK"/>
                <w:sz w:val="21"/>
              </w:rPr>
              <w:t>巩固深化</w:t>
            </w:r>
          </w:p>
        </w:tc>
        <w:tc>
          <w:tcPr>
            <w:tcW w:w="1327"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党工委宣传部</w:t>
            </w:r>
          </w:p>
        </w:tc>
        <w:tc>
          <w:tcPr>
            <w:tcW w:w="1142"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融媒体中心、有关单位</w:t>
            </w:r>
          </w:p>
        </w:tc>
        <w:tc>
          <w:tcPr>
            <w:tcW w:w="894" w:type="dxa"/>
            <w:noWrap w:val="0"/>
            <w:vAlign w:val="center"/>
          </w:tcPr>
          <w:p>
            <w:pPr>
              <w:pStyle w:val="4"/>
              <w:jc w:val="center"/>
              <w:rPr>
                <w:rFonts w:hint="eastAsia" w:ascii="Times New Roman" w:hAnsi="Times New Roman" w:cs="方正仿宋_GBK"/>
                <w:kern w:val="0"/>
                <w:sz w:val="21"/>
              </w:rPr>
            </w:pPr>
            <w:r>
              <w:rPr>
                <w:rFonts w:hint="eastAsia" w:ascii="Times New Roman" w:hAnsi="Times New Roman" w:cs="方正仿宋_GBK"/>
                <w:kern w:val="0"/>
                <w:sz w:val="21"/>
              </w:rPr>
              <w:t>长期坚持</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jhlYmI1MzgyYWY1MDg5NWFkZDRiMGJlYTIyMjAifQ=="/>
  </w:docVars>
  <w:rsids>
    <w:rsidRoot w:val="00000000"/>
    <w:rsid w:val="1E8B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Cambria" w:hAnsi="Cambria" w:eastAsia="宋体" w:cs="Times New Roman"/>
      <w:b/>
      <w:bCs/>
      <w:szCs w:val="32"/>
    </w:rPr>
  </w:style>
  <w:style w:type="paragraph" w:styleId="2">
    <w:name w:val="heading 4"/>
    <w:basedOn w:val="3"/>
    <w:next w:val="1"/>
    <w:unhideWhenUsed/>
    <w:qFormat/>
    <w:uiPriority w:val="0"/>
    <w:pPr>
      <w:spacing w:before="280" w:after="290" w:line="376" w:lineRule="auto"/>
      <w:outlineLvl w:val="3"/>
    </w:pPr>
    <w:rPr>
      <w:sz w:val="28"/>
      <w:szCs w:val="28"/>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99"/>
    <w:rPr>
      <w:rFonts w:ascii="宋体" w:hAnsi="Courier New" w:eastAsia="方正仿宋_GBK" w:cs="Courier New"/>
      <w:sz w:val="32"/>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2024-07-05T07:13:06Z</dcterms:created>
  <dc:creator>john</dc:creator>
  <cp:lastModifiedBy>john</cp:lastModifiedBy>
  <dcterms:modified xsi:type="dcterms:W3CDTF">2024-07-05T07:13:22Z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68C0784FD777420C80626BBAC283898B_12</vt:lpwstr>
  </property>
</Properties>
</file>