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060"/>
        </w:tabs>
        <w:spacing w:line="594" w:lineRule="exact"/>
        <w:jc w:val="center"/>
        <w:rPr>
          <w:rFonts w:ascii="方正小标宋_GBK" w:hAnsi="方正小标宋_GBK" w:eastAsia="方正小标宋_GBK" w:cs="方正小标宋_GBK"/>
          <w:sz w:val="44"/>
          <w:szCs w:val="44"/>
        </w:rPr>
      </w:pPr>
    </w:p>
    <w:p>
      <w:pPr>
        <w:tabs>
          <w:tab w:val="left" w:pos="3060"/>
        </w:tabs>
        <w:spacing w:line="594" w:lineRule="exact"/>
        <w:jc w:val="center"/>
        <w:rPr>
          <w:rFonts w:ascii="方正小标宋_GBK" w:hAnsi="方正小标宋_GBK" w:eastAsia="方正小标宋_GBK" w:cs="方正小标宋_GBK"/>
          <w:sz w:val="44"/>
          <w:szCs w:val="44"/>
        </w:rPr>
      </w:pPr>
    </w:p>
    <w:p>
      <w:pPr>
        <w:tabs>
          <w:tab w:val="left" w:pos="3060"/>
        </w:tabs>
        <w:spacing w:line="594" w:lineRule="exact"/>
        <w:jc w:val="center"/>
        <w:rPr>
          <w:rFonts w:ascii="方正小标宋_GBK" w:hAnsi="方正小标宋_GBK" w:eastAsia="方正小标宋_GBK" w:cs="方正小标宋_GBK"/>
          <w:sz w:val="44"/>
          <w:szCs w:val="44"/>
        </w:rPr>
      </w:pPr>
    </w:p>
    <w:p>
      <w:pPr>
        <w:tabs>
          <w:tab w:val="left" w:pos="3060"/>
        </w:tabs>
        <w:spacing w:line="594"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重庆市万盛经开区交通局</w:t>
      </w:r>
    </w:p>
    <w:p>
      <w:pPr>
        <w:tabs>
          <w:tab w:val="left" w:pos="3060"/>
        </w:tabs>
        <w:spacing w:line="594"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关于印发万盛经开区交通局公平竞争审查制度实施方案的通知</w:t>
      </w:r>
    </w:p>
    <w:p>
      <w:pPr>
        <w:tabs>
          <w:tab w:val="left" w:pos="3060"/>
        </w:tabs>
        <w:spacing w:line="540" w:lineRule="exact"/>
        <w:ind w:firstLine="420" w:firstLineChars="200"/>
        <w:rPr>
          <w:rFonts w:ascii="方正仿宋_GBK"/>
        </w:rPr>
      </w:pPr>
    </w:p>
    <w:p>
      <w:pPr>
        <w:tabs>
          <w:tab w:val="left" w:pos="3060"/>
        </w:tabs>
        <w:adjustRightInd w:val="0"/>
        <w:spacing w:line="574" w:lineRule="exact"/>
        <w:textAlignment w:val="baseline"/>
        <w:rPr>
          <w:rFonts w:ascii="方正仿宋_GBK" w:hAnsi="Times New Roman" w:eastAsia="方正仿宋_GBK" w:cs="Times New Roman"/>
          <w:kern w:val="0"/>
          <w:sz w:val="32"/>
          <w:szCs w:val="32"/>
        </w:rPr>
      </w:pPr>
      <w:r>
        <w:rPr>
          <w:rFonts w:hint="eastAsia" w:ascii="方正仿宋_GBK" w:hAnsi="Times New Roman" w:eastAsia="方正仿宋_GBK" w:cs="Times New Roman"/>
          <w:kern w:val="0"/>
          <w:sz w:val="32"/>
          <w:szCs w:val="32"/>
        </w:rPr>
        <w:t>机关各科室，局属各单位</w:t>
      </w:r>
    </w:p>
    <w:p>
      <w:pPr>
        <w:tabs>
          <w:tab w:val="left" w:pos="3060"/>
        </w:tabs>
        <w:adjustRightInd w:val="0"/>
        <w:spacing w:line="574" w:lineRule="exact"/>
        <w:ind w:firstLine="640" w:firstLineChars="200"/>
        <w:textAlignment w:val="baseline"/>
        <w:rPr>
          <w:rFonts w:ascii="方正仿宋_GBK" w:hAnsi="Times New Roman" w:eastAsia="方正仿宋_GBK" w:cs="Times New Roman"/>
          <w:kern w:val="0"/>
          <w:sz w:val="32"/>
          <w:szCs w:val="32"/>
        </w:rPr>
      </w:pPr>
      <w:r>
        <w:rPr>
          <w:rFonts w:hint="eastAsia" w:ascii="方正仿宋_GBK" w:hAnsi="Times New Roman" w:eastAsia="方正仿宋_GBK" w:cs="Times New Roman"/>
          <w:kern w:val="0"/>
          <w:sz w:val="32"/>
          <w:szCs w:val="32"/>
        </w:rPr>
        <w:t>经局研究决定，现将《万盛经开区交通局公平竞争审查制度实施方案》印发给你们，请认真组织实施。</w:t>
      </w:r>
    </w:p>
    <w:p>
      <w:pPr>
        <w:tabs>
          <w:tab w:val="left" w:pos="3060"/>
        </w:tabs>
        <w:adjustRightInd w:val="0"/>
        <w:spacing w:line="574" w:lineRule="exact"/>
        <w:ind w:firstLine="640" w:firstLineChars="200"/>
        <w:textAlignment w:val="baseline"/>
        <w:rPr>
          <w:rFonts w:ascii="方正仿宋_GBK" w:hAnsi="Times New Roman" w:eastAsia="方正仿宋_GBK" w:cs="Times New Roman"/>
          <w:kern w:val="0"/>
          <w:sz w:val="32"/>
          <w:szCs w:val="32"/>
        </w:rPr>
      </w:pPr>
    </w:p>
    <w:p>
      <w:pPr>
        <w:tabs>
          <w:tab w:val="left" w:pos="3060"/>
        </w:tabs>
        <w:adjustRightInd w:val="0"/>
        <w:spacing w:line="574" w:lineRule="exact"/>
        <w:ind w:firstLine="640" w:firstLineChars="200"/>
        <w:textAlignment w:val="baseline"/>
        <w:rPr>
          <w:rFonts w:ascii="方正仿宋_GBK" w:hAnsi="Times New Roman" w:eastAsia="方正仿宋_GBK" w:cs="Times New Roman"/>
          <w:kern w:val="0"/>
          <w:sz w:val="32"/>
          <w:szCs w:val="32"/>
        </w:rPr>
      </w:pPr>
      <w:r>
        <w:rPr>
          <w:rFonts w:hint="eastAsia" w:ascii="方正仿宋_GBK" w:hAnsi="Times New Roman" w:eastAsia="方正仿宋_GBK" w:cs="Times New Roman"/>
          <w:kern w:val="0"/>
          <w:sz w:val="32"/>
          <w:szCs w:val="32"/>
        </w:rPr>
        <mc:AlternateContent>
          <mc:Choice Requires="wps">
            <w:drawing>
              <wp:anchor distT="0" distB="0" distL="114300" distR="114300" simplePos="0" relativeHeight="251668480" behindDoc="1" locked="0" layoutInCell="1" hidden="1" allowOverlap="1">
                <wp:simplePos x="0" y="0"/>
                <wp:positionH relativeFrom="column">
                  <wp:posOffset>-3780155</wp:posOffset>
                </wp:positionH>
                <wp:positionV relativeFrom="paragraph">
                  <wp:posOffset>-5346065</wp:posOffset>
                </wp:positionV>
                <wp:extent cx="15120620" cy="20116800"/>
                <wp:effectExtent l="0" t="0" r="0" b="0"/>
                <wp:wrapNone/>
                <wp:docPr id="4" name="矩形 4" hidden="1"/>
                <wp:cNvGraphicFramePr/>
                <a:graphic xmlns:a="http://schemas.openxmlformats.org/drawingml/2006/main">
                  <a:graphicData uri="http://schemas.microsoft.com/office/word/2010/wordprocessingShape">
                    <wps:wsp>
                      <wps:cNvSpPr/>
                      <wps:spPr>
                        <a:xfrm>
                          <a:off x="0" y="0"/>
                          <a:ext cx="15120620" cy="20116800"/>
                        </a:xfrm>
                        <a:prstGeom prst="rect">
                          <a:avLst/>
                        </a:prstGeom>
                        <a:solidFill>
                          <a:srgbClr val="FFFFFF">
                            <a:alpha val="0"/>
                          </a:srgbClr>
                        </a:solidFill>
                        <a:ln w="9525" cap="flat" cmpd="sng">
                          <a:solidFill>
                            <a:srgbClr val="FFFFFF">
                              <a:alpha val="0"/>
                            </a:srgbClr>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297.65pt;margin-top:-420.95pt;height:1584pt;width:1190.6pt;visibility:hidden;z-index:-251648000;mso-width-relative:page;mso-height-relative:page;" fillcolor="#FFFFFF" filled="t" stroked="t" coordsize="21600,21600" o:gfxdata="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PvV/FfaAAAADwEAAA8AAAAAAAAAAQAgAAAA&#10;IgAAAGRycy9kb3ducmV2LnhtbFBLAQIUABQAAAAIAIdO4kBKhZryCQIAAGYEAAAOAAAAAAAAAAEA&#10;IAAAACkBAABkcnMvZTJvRG9jLnhtbFBLBQYAAAAABgAGAFkBAACkBQAAAAA=&#10;">
                <v:fill on="t" opacity="0f" focussize="0,0"/>
                <v:stroke color="#FFFFFF" opacity="0f" joinstyle="miter"/>
                <v:imagedata o:title=""/>
                <o:lock v:ext="edit" aspectratio="f"/>
              </v:rect>
            </w:pict>
          </mc:Fallback>
        </mc:AlternateContent>
      </w:r>
      <w:r>
        <w:rPr>
          <w:rFonts w:hint="eastAsia" w:ascii="方正仿宋_GBK" w:hAnsi="Times New Roman" w:eastAsia="方正仿宋_GBK" w:cs="Times New Roman"/>
          <w:kern w:val="0"/>
          <w:sz w:val="32"/>
          <w:szCs w:val="32"/>
        </w:rPr>
        <mc:AlternateContent>
          <mc:Choice Requires="wps">
            <w:drawing>
              <wp:anchor distT="0" distB="0" distL="114300" distR="114300" simplePos="0" relativeHeight="251667456" behindDoc="1" locked="0" layoutInCell="1" hidden="1" allowOverlap="1">
                <wp:simplePos x="0" y="0"/>
                <wp:positionH relativeFrom="column">
                  <wp:posOffset>-3780155</wp:posOffset>
                </wp:positionH>
                <wp:positionV relativeFrom="paragraph">
                  <wp:posOffset>-5346065</wp:posOffset>
                </wp:positionV>
                <wp:extent cx="15120620" cy="21384260"/>
                <wp:effectExtent l="0" t="0" r="0" b="0"/>
                <wp:wrapNone/>
                <wp:docPr id="3" name="矩形 3" hidden="1"/>
                <wp:cNvGraphicFramePr/>
                <a:graphic xmlns:a="http://schemas.openxmlformats.org/drawingml/2006/main">
                  <a:graphicData uri="http://schemas.microsoft.com/office/word/2010/wordprocessingShape">
                    <wps:wsp>
                      <wps:cNvSpPr/>
                      <wps:spPr>
                        <a:xfrm>
                          <a:off x="0" y="0"/>
                          <a:ext cx="15120620" cy="21384260"/>
                        </a:xfrm>
                        <a:prstGeom prst="rect">
                          <a:avLst/>
                        </a:prstGeom>
                        <a:solidFill>
                          <a:srgbClr val="FFFFFF">
                            <a:alpha val="0"/>
                          </a:srgbClr>
                        </a:solidFill>
                        <a:ln w="9525" cap="flat" cmpd="sng">
                          <a:solidFill>
                            <a:srgbClr val="FFFFFF">
                              <a:alpha val="0"/>
                            </a:srgbClr>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297.65pt;margin-top:-420.95pt;height:1683.8pt;width:1190.6pt;visibility:hidden;z-index:-251649024;mso-width-relative:page;mso-height-relative:page;" fillcolor="#FFFFFF" filled="t" stroked="t" coordsize="21600,21600" o:gfxdata="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iyXgX2QAAAA8BAAAPAAAAAAAAAAEAIAAA&#10;ACIAAABkcnMvZG93bnJldi54bWxQSwECFAAUAAAACACHTuJAIXhqyQsCAABmBAAADgAAAAAAAAAB&#10;ACAAAAAoAQAAZHJzL2Uyb0RvYy54bWxQSwUGAAAAAAYABgBZAQAApQUAAAAA&#10;">
                <v:fill on="t" opacity="0f" focussize="0,0"/>
                <v:stroke color="#FFFFFF" opacity="0f" joinstyle="miter"/>
                <v:imagedata o:title=""/>
                <o:lock v:ext="edit" aspectratio="f"/>
              </v:rect>
            </w:pict>
          </mc:Fallback>
        </mc:AlternateContent>
      </w:r>
    </w:p>
    <w:p>
      <w:pPr>
        <w:tabs>
          <w:tab w:val="left" w:pos="3060"/>
        </w:tabs>
        <w:adjustRightInd w:val="0"/>
        <w:spacing w:line="574" w:lineRule="exact"/>
        <w:ind w:firstLine="5120" w:firstLineChars="1600"/>
        <w:textAlignment w:val="baseline"/>
        <w:rPr>
          <w:rFonts w:ascii="方正仿宋_GBK" w:hAnsi="Times New Roman" w:eastAsia="方正仿宋_GBK" w:cs="Times New Roman"/>
          <w:kern w:val="0"/>
          <w:sz w:val="32"/>
          <w:szCs w:val="32"/>
        </w:rPr>
      </w:pPr>
      <w:r>
        <w:rPr>
          <w:rFonts w:hint="eastAsia" w:ascii="方正仿宋_GBK" w:hAnsi="Times New Roman" w:eastAsia="方正仿宋_GBK" w:cs="Times New Roman"/>
          <w:kern w:val="0"/>
          <w:sz w:val="32"/>
          <w:szCs w:val="32"/>
        </w:rPr>
        <w:t xml:space="preserve">万盛经开区交通局      </w:t>
      </w:r>
    </w:p>
    <w:p>
      <w:pPr>
        <w:tabs>
          <w:tab w:val="left" w:pos="3060"/>
        </w:tabs>
        <w:adjustRightInd w:val="0"/>
        <w:spacing w:line="574" w:lineRule="exact"/>
        <w:ind w:firstLine="5120" w:firstLineChars="1600"/>
        <w:textAlignment w:val="baseline"/>
        <w:rPr>
          <w:rFonts w:ascii="方正仿宋_GBK" w:hAnsi="Times New Roman" w:eastAsia="方正仿宋_GBK" w:cs="Times New Roman"/>
          <w:kern w:val="0"/>
          <w:sz w:val="32"/>
          <w:szCs w:val="32"/>
        </w:rPr>
      </w:pPr>
      <w:r>
        <w:rPr>
          <w:rFonts w:hint="eastAsia" w:ascii="Times New Roman" w:hAnsi="Times New Roman" w:eastAsia="方正仿宋_GBK" w:cs="Times New Roman"/>
          <w:color w:val="000000" w:themeColor="text1"/>
          <w:kern w:val="0"/>
          <w:sz w:val="32"/>
          <w:szCs w:val="32"/>
          <w14:textFill>
            <w14:solidFill>
              <w14:schemeClr w14:val="tx1"/>
            </w14:solidFill>
          </w14:textFill>
        </w:rPr>
        <w:t xml:space="preserve">2024年4月23日 </w:t>
      </w:r>
      <w:r>
        <w:rPr>
          <w:rFonts w:hint="eastAsia" w:ascii="方正仿宋_GBK" w:hAnsi="Times New Roman" w:eastAsia="方正仿宋_GBK" w:cs="Times New Roman"/>
          <w:kern w:val="0"/>
          <w:sz w:val="32"/>
          <w:szCs w:val="32"/>
        </w:rPr>
        <w:t xml:space="preserve">       </w:t>
      </w:r>
    </w:p>
    <w:p>
      <w:pPr>
        <w:tabs>
          <w:tab w:val="left" w:pos="3060"/>
        </w:tabs>
        <w:adjustRightInd w:val="0"/>
        <w:spacing w:line="574" w:lineRule="exact"/>
        <w:ind w:firstLine="640" w:firstLineChars="200"/>
        <w:textAlignment w:val="baseline"/>
        <w:rPr>
          <w:rFonts w:ascii="方正仿宋_GBK" w:hAnsi="Times New Roman" w:eastAsia="方正仿宋_GBK" w:cs="Times New Roman"/>
          <w:kern w:val="0"/>
          <w:sz w:val="32"/>
          <w:szCs w:val="32"/>
        </w:rPr>
      </w:pPr>
      <w:r>
        <w:rPr>
          <w:rFonts w:hint="eastAsia" w:ascii="方正仿宋_GBK" w:hAnsi="Times New Roman" w:eastAsia="方正仿宋_GBK" w:cs="Times New Roman"/>
          <w:kern w:val="0"/>
          <w:sz w:val="32"/>
          <w:szCs w:val="32"/>
        </w:rPr>
        <w:t>（此件主动公开）</w:t>
      </w:r>
    </w:p>
    <w:p>
      <w:pPr>
        <w:tabs>
          <w:tab w:val="left" w:pos="3060"/>
        </w:tabs>
        <w:adjustRightInd w:val="0"/>
        <w:spacing w:line="574" w:lineRule="exact"/>
        <w:ind w:firstLine="880" w:firstLineChars="200"/>
        <w:jc w:val="center"/>
        <w:textAlignment w:val="baseline"/>
        <w:rPr>
          <w:rFonts w:ascii="方正小标宋_GBK" w:hAnsi="方正小标宋_GBK" w:eastAsia="方正小标宋_GBK" w:cs="方正小标宋_GBK"/>
          <w:kern w:val="0"/>
          <w:sz w:val="44"/>
          <w:szCs w:val="44"/>
        </w:rPr>
      </w:pPr>
    </w:p>
    <w:p>
      <w:pPr>
        <w:tabs>
          <w:tab w:val="left" w:pos="3060"/>
        </w:tabs>
        <w:adjustRightInd w:val="0"/>
        <w:spacing w:line="574" w:lineRule="exact"/>
        <w:ind w:firstLine="880" w:firstLineChars="200"/>
        <w:jc w:val="center"/>
        <w:textAlignment w:val="baseline"/>
        <w:rPr>
          <w:rFonts w:ascii="方正小标宋_GBK" w:hAnsi="方正小标宋_GBK" w:eastAsia="方正小标宋_GBK" w:cs="方正小标宋_GBK"/>
          <w:kern w:val="0"/>
          <w:sz w:val="44"/>
          <w:szCs w:val="44"/>
        </w:rPr>
      </w:pPr>
    </w:p>
    <w:p>
      <w:pPr>
        <w:tabs>
          <w:tab w:val="left" w:pos="3060"/>
        </w:tabs>
        <w:adjustRightInd w:val="0"/>
        <w:spacing w:line="574" w:lineRule="exact"/>
        <w:ind w:firstLine="880" w:firstLineChars="200"/>
        <w:jc w:val="center"/>
        <w:textAlignment w:val="baseline"/>
        <w:rPr>
          <w:rFonts w:ascii="方正小标宋_GBK" w:hAnsi="方正小标宋_GBK" w:eastAsia="方正小标宋_GBK" w:cs="方正小标宋_GBK"/>
          <w:kern w:val="0"/>
          <w:sz w:val="44"/>
          <w:szCs w:val="44"/>
        </w:rPr>
      </w:pPr>
    </w:p>
    <w:p>
      <w:pPr>
        <w:tabs>
          <w:tab w:val="left" w:pos="3060"/>
        </w:tabs>
        <w:adjustRightInd w:val="0"/>
        <w:spacing w:line="574" w:lineRule="exact"/>
        <w:ind w:firstLine="880" w:firstLineChars="200"/>
        <w:jc w:val="center"/>
        <w:textAlignment w:val="baseline"/>
        <w:rPr>
          <w:rFonts w:ascii="方正小标宋_GBK" w:hAnsi="方正小标宋_GBK" w:eastAsia="方正小标宋_GBK" w:cs="方正小标宋_GBK"/>
          <w:kern w:val="0"/>
          <w:sz w:val="44"/>
          <w:szCs w:val="44"/>
        </w:rPr>
      </w:pPr>
    </w:p>
    <w:p>
      <w:pPr>
        <w:tabs>
          <w:tab w:val="left" w:pos="3060"/>
        </w:tabs>
        <w:adjustRightInd w:val="0"/>
        <w:spacing w:line="574" w:lineRule="exact"/>
        <w:ind w:firstLine="880" w:firstLineChars="200"/>
        <w:jc w:val="center"/>
        <w:textAlignment w:val="baseline"/>
        <w:rPr>
          <w:rFonts w:ascii="方正小标宋_GBK" w:hAnsi="方正小标宋_GBK" w:eastAsia="方正小标宋_GBK" w:cs="方正小标宋_GBK"/>
          <w:kern w:val="0"/>
          <w:sz w:val="44"/>
          <w:szCs w:val="44"/>
        </w:rPr>
      </w:pPr>
    </w:p>
    <w:p>
      <w:pPr>
        <w:tabs>
          <w:tab w:val="left" w:pos="3060"/>
        </w:tabs>
        <w:adjustRightInd w:val="0"/>
        <w:spacing w:line="574" w:lineRule="exact"/>
        <w:ind w:firstLine="880" w:firstLineChars="200"/>
        <w:jc w:val="center"/>
        <w:textAlignment w:val="baseline"/>
        <w:rPr>
          <w:rFonts w:ascii="方正小标宋_GBK" w:hAnsi="方正小标宋_GBK" w:eastAsia="方正小标宋_GBK" w:cs="方正小标宋_GBK"/>
          <w:kern w:val="0"/>
          <w:sz w:val="44"/>
          <w:szCs w:val="44"/>
        </w:rPr>
      </w:pPr>
    </w:p>
    <w:p>
      <w:pPr>
        <w:tabs>
          <w:tab w:val="left" w:pos="3060"/>
        </w:tabs>
        <w:adjustRightInd w:val="0"/>
        <w:spacing w:line="574" w:lineRule="exact"/>
        <w:ind w:firstLine="880" w:firstLineChars="200"/>
        <w:jc w:val="center"/>
        <w:textAlignment w:val="baseline"/>
        <w:rPr>
          <w:rFonts w:ascii="方正小标宋_GBK" w:hAnsi="方正小标宋_GBK" w:eastAsia="方正小标宋_GBK" w:cs="方正小标宋_GBK"/>
          <w:kern w:val="0"/>
          <w:sz w:val="44"/>
          <w:szCs w:val="44"/>
        </w:rPr>
      </w:pPr>
    </w:p>
    <w:p>
      <w:pPr>
        <w:tabs>
          <w:tab w:val="left" w:pos="3060"/>
        </w:tabs>
        <w:adjustRightInd w:val="0"/>
        <w:spacing w:line="574" w:lineRule="exact"/>
        <w:ind w:firstLine="880" w:firstLineChars="200"/>
        <w:jc w:val="center"/>
        <w:textAlignment w:val="baseline"/>
        <w:rPr>
          <w:rFonts w:ascii="方正小标宋_GBK" w:hAnsi="方正小标宋_GBK" w:eastAsia="方正小标宋_GBK" w:cs="方正小标宋_GBK"/>
          <w:kern w:val="0"/>
          <w:sz w:val="44"/>
          <w:szCs w:val="44"/>
        </w:rPr>
      </w:pPr>
    </w:p>
    <w:p>
      <w:pPr>
        <w:tabs>
          <w:tab w:val="left" w:pos="3060"/>
        </w:tabs>
        <w:adjustRightInd w:val="0"/>
        <w:spacing w:line="574" w:lineRule="exact"/>
        <w:textAlignment w:val="baseline"/>
        <w:rPr>
          <w:rFonts w:ascii="方正小标宋_GBK" w:hAnsi="方正小标宋_GBK" w:eastAsia="方正小标宋_GBK" w:cs="方正小标宋_GBK"/>
          <w:kern w:val="0"/>
          <w:sz w:val="44"/>
          <w:szCs w:val="44"/>
        </w:rPr>
      </w:pPr>
    </w:p>
    <w:p>
      <w:pPr>
        <w:tabs>
          <w:tab w:val="left" w:pos="3060"/>
        </w:tabs>
        <w:adjustRightInd w:val="0"/>
        <w:spacing w:line="574" w:lineRule="exact"/>
        <w:ind w:firstLine="880" w:firstLineChars="200"/>
        <w:jc w:val="center"/>
        <w:textAlignment w:val="baseline"/>
        <w:rPr>
          <w:rFonts w:ascii="方正小标宋_GBK" w:hAnsi="方正小标宋_GBK" w:eastAsia="方正小标宋_GBK" w:cs="方正小标宋_GBK"/>
          <w:kern w:val="0"/>
          <w:sz w:val="44"/>
          <w:szCs w:val="44"/>
        </w:rPr>
      </w:pPr>
      <w:r>
        <w:rPr>
          <w:rFonts w:hint="eastAsia" w:ascii="方正小标宋_GBK" w:hAnsi="方正小标宋_GBK" w:eastAsia="方正小标宋_GBK" w:cs="方正小标宋_GBK"/>
          <w:kern w:val="0"/>
          <w:sz w:val="44"/>
          <w:szCs w:val="44"/>
        </w:rPr>
        <w:t>万盛经开区交通局</w:t>
      </w:r>
    </w:p>
    <w:p>
      <w:pPr>
        <w:tabs>
          <w:tab w:val="left" w:pos="3060"/>
        </w:tabs>
        <w:adjustRightInd w:val="0"/>
        <w:spacing w:line="574" w:lineRule="exact"/>
        <w:ind w:firstLine="880" w:firstLineChars="200"/>
        <w:jc w:val="center"/>
        <w:textAlignment w:val="baseline"/>
        <w:rPr>
          <w:rFonts w:ascii="方正小标宋_GBK" w:hAnsi="方正小标宋_GBK" w:eastAsia="方正小标宋_GBK" w:cs="方正小标宋_GBK"/>
          <w:kern w:val="0"/>
          <w:sz w:val="44"/>
          <w:szCs w:val="44"/>
        </w:rPr>
      </w:pPr>
      <w:r>
        <w:rPr>
          <w:rFonts w:hint="eastAsia" w:ascii="方正小标宋_GBK" w:hAnsi="方正小标宋_GBK" w:eastAsia="方正小标宋_GBK" w:cs="方正小标宋_GBK"/>
          <w:kern w:val="0"/>
          <w:sz w:val="44"/>
          <w:szCs w:val="44"/>
        </w:rPr>
        <w:t>公平竞争审查制度实施方案</w:t>
      </w:r>
    </w:p>
    <w:p>
      <w:pPr>
        <w:tabs>
          <w:tab w:val="left" w:pos="3060"/>
        </w:tabs>
        <w:spacing w:line="574" w:lineRule="exact"/>
        <w:ind w:firstLine="420" w:firstLineChars="200"/>
        <w:rPr>
          <w:rFonts w:ascii="方正仿宋_GBK"/>
        </w:rPr>
      </w:pPr>
    </w:p>
    <w:p>
      <w:pPr>
        <w:ind w:firstLine="640" w:firstLineChars="200"/>
        <w:rPr>
          <w:rFonts w:ascii="Times New Roman" w:hAnsi="Times New Roman" w:eastAsia="方正仿宋_GBK" w:cs="Times New Roman"/>
          <w:color w:val="000000" w:themeColor="text1"/>
          <w:kern w:val="0"/>
          <w:sz w:val="32"/>
          <w:szCs w:val="32"/>
          <w14:textFill>
            <w14:solidFill>
              <w14:schemeClr w14:val="tx1"/>
            </w14:solidFill>
          </w14:textFill>
        </w:rPr>
      </w:pPr>
      <w:r>
        <w:rPr>
          <w:rFonts w:hint="eastAsia" w:ascii="Times New Roman" w:hAnsi="Times New Roman" w:eastAsia="方正仿宋_GBK" w:cs="Times New Roman"/>
          <w:color w:val="000000" w:themeColor="text1"/>
          <w:kern w:val="0"/>
          <w:sz w:val="32"/>
          <w:szCs w:val="32"/>
          <w14:textFill>
            <w14:solidFill>
              <w14:schemeClr w14:val="tx1"/>
            </w14:solidFill>
          </w14:textFill>
        </w:rPr>
        <w:t>为贯彻落实《中共中央 国务院关于新时代加快完善社会主义市场经济体制的意见》《国务院关于在市场体系建设中建立公平竞争审查制度的意见》（国发〔2016〕34号）、《公平竞争审查制度实施细则》（国市监反垄规〔2021〕2号，以下简称《实施细则》）等文件要求，完善我局公平竞争审查制度体系，进一步规范交通局有关行为，结合我局实际，经局研究决定，特制定本制度。</w:t>
      </w:r>
    </w:p>
    <w:p>
      <w:pPr>
        <w:ind w:firstLine="640" w:firstLineChars="200"/>
        <w:rPr>
          <w:rFonts w:ascii="方正黑体_GBK" w:hAnsi="黑体" w:eastAsia="方正黑体_GBK" w:cs="黑体"/>
          <w:kern w:val="0"/>
          <w:sz w:val="32"/>
          <w:szCs w:val="32"/>
        </w:rPr>
      </w:pPr>
      <w:r>
        <w:rPr>
          <w:rFonts w:hint="eastAsia" w:ascii="方正黑体_GBK" w:hAnsi="黑体" w:eastAsia="方正黑体_GBK" w:cs="黑体"/>
          <w:kern w:val="0"/>
          <w:sz w:val="32"/>
          <w:szCs w:val="32"/>
        </w:rPr>
        <w:t>一、总体目标</w:t>
      </w:r>
    </w:p>
    <w:p>
      <w:pPr>
        <w:tabs>
          <w:tab w:val="left" w:pos="3060"/>
        </w:tabs>
        <w:adjustRightInd w:val="0"/>
        <w:spacing w:line="574" w:lineRule="exact"/>
        <w:ind w:firstLine="640" w:firstLineChars="200"/>
        <w:textAlignment w:val="baseline"/>
        <w:rPr>
          <w:rFonts w:ascii="方正仿宋_GBK" w:hAnsi="Times New Roman" w:eastAsia="方正仿宋_GBK" w:cs="Times New Roman"/>
          <w:kern w:val="0"/>
          <w:sz w:val="32"/>
          <w:szCs w:val="32"/>
        </w:rPr>
      </w:pPr>
      <w:r>
        <w:rPr>
          <w:rFonts w:hint="eastAsia" w:ascii="方正仿宋_GBK" w:hAnsi="Times New Roman" w:eastAsia="方正仿宋_GBK" w:cs="Times New Roman"/>
          <w:kern w:val="0"/>
          <w:sz w:val="32"/>
          <w:szCs w:val="32"/>
        </w:rPr>
        <w:t>按照党的十九大和十九届二中、三中、四中、五中全会精神以及中央经济工作会议精神，立足新发展阶段，贯彻新发展理念，构建新发展格局，不断完善制度规则、健全审查机制、强化考核监督、提升审查能力；不断强化制度刚性约束，进一步增强制度的权威和效能。促进我区交通运输行业持续健康发展。</w:t>
      </w:r>
    </w:p>
    <w:p>
      <w:pPr>
        <w:ind w:firstLine="640" w:firstLineChars="200"/>
        <w:rPr>
          <w:rFonts w:ascii="方正黑体_GBK" w:hAnsi="黑体" w:eastAsia="方正黑体_GBK" w:cs="黑体"/>
          <w:kern w:val="0"/>
          <w:sz w:val="32"/>
          <w:szCs w:val="32"/>
        </w:rPr>
      </w:pPr>
      <w:r>
        <w:rPr>
          <w:rFonts w:hint="eastAsia" w:ascii="方正黑体_GBK" w:hAnsi="黑体" w:eastAsia="方正黑体_GBK" w:cs="黑体"/>
          <w:kern w:val="0"/>
          <w:sz w:val="32"/>
          <w:szCs w:val="32"/>
        </w:rPr>
        <w:t>二、审查职责</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在严格落实“谁制定、谁审查”“谁起草、谁审查”原则的基础上，建立由机关各起草科室（单位）自我审查后提交局公平竞争内部审查科室复核的公平竞争审查机制。机关各科室（单位）负责对各自起草的涉及市场准入和退出、产业发展、招商引资、招标投标、政府采购、经营行为规范、资质标准等涉及市场主体经济活动的规范性文件、其他政策性文件以及“一事一议”形式的具体政策措施（以下统称政策措施）开展公平竞争自我审查工作。局公平竞争内部审查科室负责对是否已履行公平竞争审查程序进行复核，未按公平竞争审查机制的政策措施不得提交局党委审定。</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局办公室负责在拟订局长办公会议程、发文管理、用印管理时，对起草科室（单位）是否已通过公平竞争审查进行程序审核。</w:t>
      </w:r>
    </w:p>
    <w:p>
      <w:pPr>
        <w:ind w:firstLine="640" w:firstLineChars="200"/>
        <w:rPr>
          <w:rFonts w:ascii="方正黑体_GBK" w:hAnsi="黑体" w:eastAsia="方正黑体_GBK" w:cs="黑体"/>
          <w:kern w:val="0"/>
          <w:sz w:val="32"/>
          <w:szCs w:val="32"/>
        </w:rPr>
      </w:pPr>
      <w:r>
        <w:rPr>
          <w:rFonts w:hint="eastAsia" w:ascii="方正黑体_GBK" w:hAnsi="黑体" w:eastAsia="方正黑体_GBK" w:cs="黑体"/>
          <w:kern w:val="0"/>
          <w:sz w:val="32"/>
          <w:szCs w:val="32"/>
        </w:rPr>
        <w:t>三、审查范围</w:t>
      </w:r>
    </w:p>
    <w:p>
      <w:pPr>
        <w:pStyle w:val="9"/>
        <w:spacing w:line="574" w:lineRule="exact"/>
        <w:ind w:firstLine="64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万盛经开区交通局各科室（单位）起草、制定政策措施时，应当严格对照审查制度中的审查标准及例外规定进行公平竞争审查，</w:t>
      </w:r>
      <w:r>
        <w:rPr>
          <w:rFonts w:ascii="方正仿宋_GBK" w:hAnsi="方正仿宋_GBK" w:eastAsia="方正仿宋_GBK" w:cs="方正仿宋_GBK"/>
          <w:color w:val="333333"/>
          <w:sz w:val="31"/>
          <w:szCs w:val="31"/>
          <w:shd w:val="clear" w:color="auto" w:fill="FFFFFF"/>
        </w:rPr>
        <w:t>主要包括：</w:t>
      </w:r>
    </w:p>
    <w:p>
      <w:pPr>
        <w:pStyle w:val="9"/>
        <w:spacing w:line="574" w:lineRule="exact"/>
        <w:ind w:firstLine="640"/>
        <w:rPr>
          <w:rFonts w:ascii="Times New Roman" w:hAnsi="Times New Roman" w:eastAsia="方正仿宋_GBK" w:cs="Times New Roman"/>
          <w:color w:val="000000" w:themeColor="text1"/>
          <w:kern w:val="0"/>
          <w:sz w:val="32"/>
          <w:szCs w:val="32"/>
          <w14:textFill>
            <w14:solidFill>
              <w14:schemeClr w14:val="tx1"/>
            </w14:solidFill>
          </w14:textFill>
        </w:rPr>
      </w:pPr>
      <w:r>
        <w:rPr>
          <w:rFonts w:hint="eastAsia" w:ascii="Times New Roman" w:hAnsi="Times New Roman" w:eastAsia="方正仿宋_GBK" w:cs="Times New Roman"/>
          <w:color w:val="000000" w:themeColor="text1"/>
          <w:kern w:val="0"/>
          <w:sz w:val="32"/>
          <w:szCs w:val="32"/>
          <w14:textFill>
            <w14:solidFill>
              <w14:schemeClr w14:val="tx1"/>
            </w14:solidFill>
          </w14:textFill>
        </w:rPr>
        <w:t>1.以区管委会或区管委会办公室名义印发的</w:t>
      </w:r>
      <w:r>
        <w:rPr>
          <w:rFonts w:hint="eastAsia" w:ascii="方正仿宋_GBK" w:hAnsi="方正仿宋_GBK" w:eastAsia="方正仿宋_GBK" w:cs="方正仿宋_GBK"/>
          <w:sz w:val="32"/>
          <w:szCs w:val="32"/>
        </w:rPr>
        <w:t>政策措施</w:t>
      </w:r>
      <w:r>
        <w:rPr>
          <w:rFonts w:hint="eastAsia" w:ascii="Times New Roman" w:hAnsi="Times New Roman" w:eastAsia="方正仿宋_GBK" w:cs="Times New Roman"/>
          <w:color w:val="000000" w:themeColor="text1"/>
          <w:kern w:val="0"/>
          <w:sz w:val="32"/>
          <w:szCs w:val="32"/>
          <w14:textFill>
            <w14:solidFill>
              <w14:schemeClr w14:val="tx1"/>
            </w14:solidFill>
          </w14:textFill>
        </w:rPr>
        <w:t xml:space="preserve">； </w:t>
      </w:r>
    </w:p>
    <w:p>
      <w:pPr>
        <w:pStyle w:val="9"/>
        <w:spacing w:line="574" w:lineRule="exact"/>
        <w:ind w:firstLine="640"/>
        <w:rPr>
          <w:rFonts w:ascii="Times New Roman" w:hAnsi="Times New Roman" w:eastAsia="方正仿宋_GBK" w:cs="Times New Roman"/>
          <w:color w:val="000000" w:themeColor="text1"/>
          <w:kern w:val="0"/>
          <w:sz w:val="32"/>
          <w:szCs w:val="32"/>
          <w14:textFill>
            <w14:solidFill>
              <w14:schemeClr w14:val="tx1"/>
            </w14:solidFill>
          </w14:textFill>
        </w:rPr>
      </w:pPr>
      <w:r>
        <w:rPr>
          <w:rFonts w:hint="eastAsia" w:ascii="Times New Roman" w:hAnsi="Times New Roman" w:eastAsia="方正仿宋_GBK" w:cs="Times New Roman"/>
          <w:color w:val="000000" w:themeColor="text1"/>
          <w:kern w:val="0"/>
          <w:sz w:val="32"/>
          <w:szCs w:val="32"/>
          <w14:textFill>
            <w14:solidFill>
              <w14:schemeClr w14:val="tx1"/>
            </w14:solidFill>
          </w14:textFill>
        </w:rPr>
        <w:t>2.以区交通局名义印发的</w:t>
      </w:r>
      <w:r>
        <w:rPr>
          <w:rFonts w:hint="eastAsia" w:ascii="方正仿宋_GBK" w:hAnsi="方正仿宋_GBK" w:eastAsia="方正仿宋_GBK" w:cs="方正仿宋_GBK"/>
          <w:sz w:val="32"/>
          <w:szCs w:val="32"/>
        </w:rPr>
        <w:t>政策措施</w:t>
      </w:r>
      <w:r>
        <w:rPr>
          <w:rFonts w:hint="eastAsia" w:ascii="Times New Roman" w:hAnsi="Times New Roman" w:eastAsia="方正仿宋_GBK" w:cs="Times New Roman"/>
          <w:color w:val="000000" w:themeColor="text1"/>
          <w:kern w:val="0"/>
          <w:sz w:val="32"/>
          <w:szCs w:val="32"/>
          <w14:textFill>
            <w14:solidFill>
              <w14:schemeClr w14:val="tx1"/>
            </w14:solidFill>
          </w14:textFill>
        </w:rPr>
        <w:t xml:space="preserve">； </w:t>
      </w:r>
    </w:p>
    <w:p>
      <w:pPr>
        <w:pStyle w:val="9"/>
        <w:spacing w:line="574" w:lineRule="exact"/>
        <w:ind w:firstLine="640"/>
        <w:rPr>
          <w:rFonts w:ascii="Times New Roman" w:hAnsi="Times New Roman" w:eastAsia="方正仿宋_GBK" w:cs="Times New Roman"/>
          <w:color w:val="000000" w:themeColor="text1"/>
          <w:kern w:val="0"/>
          <w:sz w:val="32"/>
          <w:szCs w:val="32"/>
          <w14:textFill>
            <w14:solidFill>
              <w14:schemeClr w14:val="tx1"/>
            </w14:solidFill>
          </w14:textFill>
        </w:rPr>
      </w:pPr>
      <w:r>
        <w:rPr>
          <w:rFonts w:hint="eastAsia" w:ascii="Times New Roman" w:hAnsi="Times New Roman" w:eastAsia="方正仿宋_GBK" w:cs="Times New Roman"/>
          <w:color w:val="000000" w:themeColor="text1"/>
          <w:kern w:val="0"/>
          <w:sz w:val="32"/>
          <w:szCs w:val="32"/>
          <w14:textFill>
            <w14:solidFill>
              <w14:schemeClr w14:val="tx1"/>
            </w14:solidFill>
          </w14:textFill>
        </w:rPr>
        <w:t>3.其他政策措施，如涉及规范市场主体经济活动的会议纪要、批复、意见、通知、合同等。</w:t>
      </w:r>
    </w:p>
    <w:p>
      <w:pPr>
        <w:ind w:firstLine="640" w:firstLineChars="200"/>
        <w:rPr>
          <w:rFonts w:ascii="Times New Roman" w:hAnsi="Times New Roman" w:eastAsia="方正仿宋_GBK" w:cs="Times New Roman"/>
          <w:color w:val="000000" w:themeColor="text1"/>
          <w:kern w:val="0"/>
          <w:sz w:val="32"/>
          <w:szCs w:val="32"/>
          <w14:textFill>
            <w14:solidFill>
              <w14:schemeClr w14:val="tx1"/>
            </w14:solidFill>
          </w14:textFill>
        </w:rPr>
      </w:pPr>
      <w:r>
        <w:rPr>
          <w:rFonts w:hint="eastAsia" w:ascii="Times New Roman" w:hAnsi="Times New Roman" w:eastAsia="方正仿宋_GBK" w:cs="Times New Roman"/>
          <w:color w:val="000000" w:themeColor="text1"/>
          <w:kern w:val="0"/>
          <w:sz w:val="32"/>
          <w:szCs w:val="32"/>
          <w14:textFill>
            <w14:solidFill>
              <w14:schemeClr w14:val="tx1"/>
            </w14:solidFill>
          </w14:textFill>
        </w:rPr>
        <w:t>以下四类文件不纳入审查范围：</w:t>
      </w:r>
    </w:p>
    <w:p>
      <w:pPr>
        <w:ind w:firstLine="640" w:firstLineChars="200"/>
        <w:rPr>
          <w:rFonts w:ascii="Times New Roman" w:hAnsi="Times New Roman" w:eastAsia="方正仿宋_GBK" w:cs="Times New Roman"/>
          <w:color w:val="000000" w:themeColor="text1"/>
          <w:kern w:val="0"/>
          <w:sz w:val="32"/>
          <w:szCs w:val="32"/>
          <w14:textFill>
            <w14:solidFill>
              <w14:schemeClr w14:val="tx1"/>
            </w14:solidFill>
          </w14:textFill>
        </w:rPr>
      </w:pPr>
      <w:r>
        <w:rPr>
          <w:rFonts w:hint="eastAsia" w:ascii="方正楷体_GBK" w:hAnsi="方正楷体_GBK" w:eastAsia="方正楷体_GBK" w:cs="方正楷体_GBK"/>
          <w:kern w:val="0"/>
          <w:sz w:val="32"/>
          <w:szCs w:val="32"/>
        </w:rPr>
        <w:t>（一）</w:t>
      </w:r>
      <w:r>
        <w:rPr>
          <w:rFonts w:hint="eastAsia" w:ascii="Times New Roman" w:hAnsi="Times New Roman" w:eastAsia="方正仿宋_GBK" w:cs="Times New Roman"/>
          <w:color w:val="000000" w:themeColor="text1"/>
          <w:kern w:val="0"/>
          <w:sz w:val="32"/>
          <w:szCs w:val="32"/>
          <w14:textFill>
            <w14:solidFill>
              <w14:schemeClr w14:val="tx1"/>
            </w14:solidFill>
          </w14:textFill>
        </w:rPr>
        <w:t xml:space="preserve">内部管理性文件，如涉及人事、机构、编制、财务、外事、保卫、保密、内部工作制度、程序性规则等；  </w:t>
      </w:r>
    </w:p>
    <w:p>
      <w:pPr>
        <w:ind w:firstLine="640" w:firstLineChars="200"/>
        <w:rPr>
          <w:rFonts w:ascii="Times New Roman" w:hAnsi="Times New Roman" w:eastAsia="方正仿宋_GBK" w:cs="Times New Roman"/>
          <w:color w:val="000000" w:themeColor="text1"/>
          <w:kern w:val="0"/>
          <w:sz w:val="32"/>
          <w:szCs w:val="32"/>
          <w14:textFill>
            <w14:solidFill>
              <w14:schemeClr w14:val="tx1"/>
            </w14:solidFill>
          </w14:textFill>
        </w:rPr>
      </w:pPr>
      <w:r>
        <w:rPr>
          <w:rFonts w:hint="eastAsia" w:ascii="方正楷体_GBK" w:hAnsi="方正楷体_GBK" w:eastAsia="方正楷体_GBK" w:cs="方正楷体_GBK"/>
          <w:kern w:val="0"/>
          <w:sz w:val="32"/>
          <w:szCs w:val="32"/>
        </w:rPr>
        <w:t>（二）</w:t>
      </w:r>
      <w:r>
        <w:rPr>
          <w:rFonts w:hint="eastAsia" w:ascii="Times New Roman" w:hAnsi="Times New Roman" w:eastAsia="方正仿宋_GBK" w:cs="Times New Roman"/>
          <w:color w:val="000000" w:themeColor="text1"/>
          <w:kern w:val="0"/>
          <w:sz w:val="32"/>
          <w:szCs w:val="32"/>
          <w14:textFill>
            <w14:solidFill>
              <w14:schemeClr w14:val="tx1"/>
            </w14:solidFill>
          </w14:textFill>
        </w:rPr>
        <w:t>一般事务性文件，如工作报告、工作总结、职责分工、会议通知、领导讲话、情况通报等；</w:t>
      </w:r>
    </w:p>
    <w:p>
      <w:pPr>
        <w:ind w:firstLine="640" w:firstLineChars="200"/>
        <w:rPr>
          <w:rFonts w:ascii="Times New Roman" w:hAnsi="Times New Roman" w:eastAsia="方正仿宋_GBK" w:cs="Times New Roman"/>
          <w:color w:val="000000" w:themeColor="text1"/>
          <w:kern w:val="0"/>
          <w:sz w:val="32"/>
          <w:szCs w:val="32"/>
          <w14:textFill>
            <w14:solidFill>
              <w14:schemeClr w14:val="tx1"/>
            </w14:solidFill>
          </w14:textFill>
        </w:rPr>
      </w:pPr>
      <w:r>
        <w:rPr>
          <w:rFonts w:hint="eastAsia" w:ascii="方正楷体_GBK" w:hAnsi="方正楷体_GBK" w:eastAsia="方正楷体_GBK" w:cs="方正楷体_GBK"/>
          <w:kern w:val="0"/>
          <w:sz w:val="32"/>
          <w:szCs w:val="32"/>
        </w:rPr>
        <w:t>（三）</w:t>
      </w:r>
      <w:r>
        <w:rPr>
          <w:rFonts w:hint="eastAsia" w:ascii="Times New Roman" w:hAnsi="Times New Roman" w:eastAsia="方正仿宋_GBK" w:cs="Times New Roman"/>
          <w:color w:val="000000" w:themeColor="text1"/>
          <w:kern w:val="0"/>
          <w:sz w:val="32"/>
          <w:szCs w:val="32"/>
          <w14:textFill>
            <w14:solidFill>
              <w14:schemeClr w14:val="tx1"/>
            </w14:solidFill>
          </w14:textFill>
        </w:rPr>
        <w:t>过程性文件，如不涉及出台具体政策措施的请示、征求意见函、回复意见函等；</w:t>
      </w:r>
    </w:p>
    <w:p>
      <w:pPr>
        <w:ind w:firstLine="640" w:firstLineChars="200"/>
        <w:rPr>
          <w:rFonts w:ascii="Times New Roman" w:hAnsi="Times New Roman" w:eastAsia="方正仿宋_GBK" w:cs="Times New Roman"/>
          <w:color w:val="000000" w:themeColor="text1"/>
          <w:kern w:val="0"/>
          <w:sz w:val="32"/>
          <w:szCs w:val="32"/>
          <w14:textFill>
            <w14:solidFill>
              <w14:schemeClr w14:val="tx1"/>
            </w14:solidFill>
          </w14:textFill>
        </w:rPr>
      </w:pPr>
      <w:r>
        <w:rPr>
          <w:rFonts w:hint="eastAsia" w:ascii="方正楷体_GBK" w:hAnsi="方正楷体_GBK" w:eastAsia="方正楷体_GBK" w:cs="方正楷体_GBK"/>
          <w:kern w:val="0"/>
          <w:sz w:val="32"/>
          <w:szCs w:val="32"/>
        </w:rPr>
        <w:t>（四）</w:t>
      </w:r>
      <w:r>
        <w:rPr>
          <w:rFonts w:hint="eastAsia" w:ascii="Times New Roman" w:hAnsi="Times New Roman" w:eastAsia="方正仿宋_GBK" w:cs="Times New Roman"/>
          <w:color w:val="000000" w:themeColor="text1"/>
          <w:kern w:val="0"/>
          <w:sz w:val="32"/>
          <w:szCs w:val="32"/>
          <w14:textFill>
            <w14:solidFill>
              <w14:schemeClr w14:val="tx1"/>
            </w14:solidFill>
          </w14:textFill>
        </w:rPr>
        <w:t>常规性的具体行政行为，如依法作出的行政处罚、行政许可，常规性的项目核准、批复、备案等。</w:t>
      </w:r>
    </w:p>
    <w:p>
      <w:pPr>
        <w:ind w:firstLine="640" w:firstLineChars="200"/>
        <w:rPr>
          <w:rFonts w:ascii="Times New Roman" w:hAnsi="Times New Roman" w:eastAsia="方正仿宋_GBK" w:cs="Times New Roman"/>
          <w:color w:val="000000" w:themeColor="text1"/>
          <w:kern w:val="0"/>
          <w:sz w:val="32"/>
          <w:szCs w:val="32"/>
          <w14:textFill>
            <w14:solidFill>
              <w14:schemeClr w14:val="tx1"/>
            </w14:solidFill>
          </w14:textFill>
        </w:rPr>
      </w:pPr>
      <w:r>
        <w:rPr>
          <w:rFonts w:hint="eastAsia" w:ascii="Times New Roman" w:hAnsi="Times New Roman" w:eastAsia="方正仿宋_GBK" w:cs="Times New Roman"/>
          <w:color w:val="000000" w:themeColor="text1"/>
          <w:kern w:val="0"/>
          <w:sz w:val="32"/>
          <w:szCs w:val="32"/>
          <w14:textFill>
            <w14:solidFill>
              <w14:schemeClr w14:val="tx1"/>
            </w14:solidFill>
          </w14:textFill>
        </w:rPr>
        <w:t>涉密文件暂不纳入审查范围。</w:t>
      </w:r>
    </w:p>
    <w:p>
      <w:pPr>
        <w:ind w:firstLine="640" w:firstLineChars="200"/>
        <w:rPr>
          <w:rFonts w:ascii="方正黑体_GBK" w:hAnsi="黑体" w:eastAsia="方正黑体_GBK" w:cs="黑体"/>
          <w:kern w:val="0"/>
          <w:sz w:val="32"/>
          <w:szCs w:val="32"/>
        </w:rPr>
      </w:pPr>
      <w:r>
        <w:rPr>
          <w:rFonts w:hint="eastAsia" w:ascii="方正黑体_GBK" w:hAnsi="黑体" w:eastAsia="方正黑体_GBK" w:cs="黑体"/>
          <w:kern w:val="0"/>
          <w:sz w:val="32"/>
          <w:szCs w:val="32"/>
        </w:rPr>
        <w:t>四、审查主体</w:t>
      </w:r>
    </w:p>
    <w:p>
      <w:pPr>
        <w:ind w:firstLine="640" w:firstLineChars="200"/>
        <w:rPr>
          <w:rFonts w:ascii="Times New Roman" w:hAnsi="Times New Roman" w:eastAsia="方正仿宋_GBK" w:cs="Times New Roman"/>
          <w:color w:val="000000" w:themeColor="text1"/>
          <w:kern w:val="0"/>
          <w:sz w:val="32"/>
          <w:szCs w:val="32"/>
          <w14:textFill>
            <w14:solidFill>
              <w14:schemeClr w14:val="tx1"/>
            </w14:solidFill>
          </w14:textFill>
        </w:rPr>
      </w:pPr>
      <w:r>
        <w:rPr>
          <w:rFonts w:hint="eastAsia" w:ascii="Times New Roman" w:hAnsi="Times New Roman" w:eastAsia="方正仿宋_GBK" w:cs="Times New Roman"/>
          <w:color w:val="000000" w:themeColor="text1"/>
          <w:kern w:val="0"/>
          <w:sz w:val="32"/>
          <w:szCs w:val="32"/>
          <w14:textFill>
            <w14:solidFill>
              <w14:schemeClr w14:val="tx1"/>
            </w14:solidFill>
          </w14:textFill>
        </w:rPr>
        <w:t>各科室（单位）起草的由我局出台的政策措施，起草科室（单位）在文件起草过程中开展公平竞争自我审查，经复核形成审查结论后与文稿一并提交审议。</w:t>
      </w:r>
    </w:p>
    <w:p>
      <w:pPr>
        <w:ind w:firstLine="640" w:firstLineChars="200"/>
        <w:rPr>
          <w:rFonts w:ascii="Times New Roman" w:hAnsi="Times New Roman" w:eastAsia="方正仿宋_GBK" w:cs="Times New Roman"/>
          <w:color w:val="000000" w:themeColor="text1"/>
          <w:kern w:val="0"/>
          <w:sz w:val="32"/>
          <w:szCs w:val="32"/>
          <w14:textFill>
            <w14:solidFill>
              <w14:schemeClr w14:val="tx1"/>
            </w14:solidFill>
          </w14:textFill>
        </w:rPr>
      </w:pPr>
      <w:r>
        <w:rPr>
          <w:rFonts w:hint="eastAsia" w:ascii="Times New Roman" w:hAnsi="Times New Roman" w:eastAsia="方正仿宋_GBK" w:cs="Times New Roman"/>
          <w:color w:val="000000" w:themeColor="text1"/>
          <w:kern w:val="0"/>
          <w:sz w:val="32"/>
          <w:szCs w:val="32"/>
          <w14:textFill>
            <w14:solidFill>
              <w14:schemeClr w14:val="tx1"/>
            </w14:solidFill>
          </w14:textFill>
        </w:rPr>
        <w:t>多个科室（单位）联合起草的政策措施，由牵头科室负责公平竞争自我审查和报送复核，其他起草科室在各自职责范围内参与公平竞争审查。</w:t>
      </w:r>
    </w:p>
    <w:p>
      <w:pPr>
        <w:ind w:firstLine="640" w:firstLineChars="200"/>
        <w:rPr>
          <w:rFonts w:ascii="Times New Roman" w:hAnsi="Times New Roman" w:eastAsia="方正仿宋_GBK" w:cs="Times New Roman"/>
          <w:color w:val="000000" w:themeColor="text1"/>
          <w:kern w:val="0"/>
          <w:sz w:val="32"/>
          <w:szCs w:val="32"/>
          <w14:textFill>
            <w14:solidFill>
              <w14:schemeClr w14:val="tx1"/>
            </w14:solidFill>
          </w14:textFill>
        </w:rPr>
      </w:pPr>
      <w:r>
        <w:rPr>
          <w:rFonts w:hint="eastAsia" w:ascii="Times New Roman" w:hAnsi="Times New Roman" w:eastAsia="方正仿宋_GBK" w:cs="Times New Roman"/>
          <w:color w:val="000000" w:themeColor="text1"/>
          <w:kern w:val="0"/>
          <w:sz w:val="32"/>
          <w:szCs w:val="32"/>
          <w14:textFill>
            <w14:solidFill>
              <w14:schemeClr w14:val="tx1"/>
            </w14:solidFill>
          </w14:textFill>
        </w:rPr>
        <w:t>我局牵头的与其他部门联合制定出台的政策措施，起草科室（单位）负责公平竞争自我审查工作，经复核后将审查结论与文稿一并送至其他部门联合会签。</w:t>
      </w:r>
    </w:p>
    <w:p>
      <w:pPr>
        <w:ind w:firstLine="640" w:firstLineChars="200"/>
        <w:rPr>
          <w:rFonts w:ascii="Times New Roman" w:hAnsi="Times New Roman" w:eastAsia="方正仿宋_GBK" w:cs="Times New Roman"/>
          <w:color w:val="000000" w:themeColor="text1"/>
          <w:kern w:val="0"/>
          <w:sz w:val="32"/>
          <w:szCs w:val="32"/>
          <w14:textFill>
            <w14:solidFill>
              <w14:schemeClr w14:val="tx1"/>
            </w14:solidFill>
          </w14:textFill>
        </w:rPr>
      </w:pPr>
      <w:r>
        <w:rPr>
          <w:rFonts w:hint="eastAsia" w:ascii="Times New Roman" w:hAnsi="Times New Roman" w:eastAsia="方正仿宋_GBK" w:cs="Times New Roman"/>
          <w:color w:val="000000" w:themeColor="text1"/>
          <w:kern w:val="0"/>
          <w:sz w:val="32"/>
          <w:szCs w:val="32"/>
          <w14:textFill>
            <w14:solidFill>
              <w14:schemeClr w14:val="tx1"/>
            </w14:solidFill>
          </w14:textFill>
        </w:rPr>
        <w:t>我局与其他部门会签的政策措施，承办科室（单位）在职责范围内严格把关，对违反公平竞争审查规定的，不予会签。</w:t>
      </w:r>
    </w:p>
    <w:p>
      <w:pPr>
        <w:ind w:firstLine="640" w:firstLineChars="200"/>
        <w:rPr>
          <w:rFonts w:ascii="Times New Roman" w:hAnsi="Times New Roman" w:eastAsia="方正仿宋_GBK" w:cs="Times New Roman"/>
          <w:color w:val="000000" w:themeColor="text1"/>
          <w:kern w:val="0"/>
          <w:sz w:val="32"/>
          <w:szCs w:val="32"/>
          <w14:textFill>
            <w14:solidFill>
              <w14:schemeClr w14:val="tx1"/>
            </w14:solidFill>
          </w14:textFill>
        </w:rPr>
      </w:pPr>
      <w:r>
        <w:rPr>
          <w:rFonts w:hint="eastAsia" w:ascii="Times New Roman" w:hAnsi="Times New Roman" w:eastAsia="方正仿宋_GBK" w:cs="Times New Roman"/>
          <w:color w:val="000000" w:themeColor="text1"/>
          <w:kern w:val="0"/>
          <w:sz w:val="32"/>
          <w:szCs w:val="32"/>
          <w14:textFill>
            <w14:solidFill>
              <w14:schemeClr w14:val="tx1"/>
            </w14:solidFill>
          </w14:textFill>
        </w:rPr>
        <w:t>我局为区管委会代拟涉及市场主体经济活动的区管委会文件草案等相关政策措施，起草科室（单位）在起草过程中开展公平竞争自我审查，经复核形成审查结论与文稿一并提交区管委会审议。</w:t>
      </w:r>
    </w:p>
    <w:p>
      <w:pPr>
        <w:ind w:firstLine="640" w:firstLineChars="200"/>
        <w:rPr>
          <w:rFonts w:ascii="方正黑体_GBK" w:hAnsi="黑体" w:eastAsia="方正黑体_GBK" w:cs="黑体"/>
          <w:kern w:val="0"/>
          <w:sz w:val="32"/>
          <w:szCs w:val="32"/>
        </w:rPr>
      </w:pPr>
      <w:r>
        <w:rPr>
          <w:rFonts w:hint="eastAsia" w:ascii="方正黑体_GBK" w:hAnsi="黑体" w:eastAsia="方正黑体_GBK" w:cs="黑体"/>
          <w:kern w:val="0"/>
          <w:sz w:val="32"/>
          <w:szCs w:val="32"/>
        </w:rPr>
        <w:t>五、审查方式。</w:t>
      </w:r>
    </w:p>
    <w:p>
      <w:pPr>
        <w:ind w:firstLine="640" w:firstLineChars="200"/>
        <w:rPr>
          <w:rFonts w:ascii="Times New Roman" w:hAnsi="Times New Roman" w:eastAsia="方正仿宋_GBK" w:cs="Times New Roman"/>
          <w:color w:val="000000" w:themeColor="text1"/>
          <w:kern w:val="0"/>
          <w:sz w:val="32"/>
          <w:szCs w:val="32"/>
          <w14:textFill>
            <w14:solidFill>
              <w14:schemeClr w14:val="tx1"/>
            </w14:solidFill>
          </w14:textFill>
        </w:rPr>
      </w:pPr>
      <w:r>
        <w:rPr>
          <w:rFonts w:hint="eastAsia" w:ascii="Times New Roman" w:hAnsi="Times New Roman" w:eastAsia="方正仿宋_GBK" w:cs="Times New Roman"/>
          <w:color w:val="000000" w:themeColor="text1"/>
          <w:kern w:val="0"/>
          <w:sz w:val="32"/>
          <w:szCs w:val="32"/>
          <w14:textFill>
            <w14:solidFill>
              <w14:schemeClr w14:val="tx1"/>
            </w14:solidFill>
          </w14:textFill>
        </w:rPr>
        <w:t>1．</w:t>
      </w:r>
      <w:r>
        <w:rPr>
          <w:rFonts w:hint="eastAsia" w:ascii="方正仿宋_GBK" w:hAnsi="方正仿宋_GBK" w:eastAsia="方正仿宋_GBK" w:cs="方正仿宋_GBK"/>
          <w:sz w:val="32"/>
          <w:szCs w:val="32"/>
        </w:rPr>
        <w:t>起草科室（单位）在政策措施制定过程中，应当遵循公平竞争审查基本流程，严格对照审查标准进行自行审查，形成书面审查结论，填写《公平竞争审查表》。经审查认为不具有排除、限制竞争效果的，予以实施；具有排除、限制</w:t>
      </w:r>
      <w:r>
        <w:rPr>
          <w:rFonts w:hint="eastAsia" w:ascii="Times New Roman" w:hAnsi="Times New Roman" w:eastAsia="方正仿宋_GBK" w:cs="Times New Roman"/>
          <w:color w:val="000000" w:themeColor="text1"/>
          <w:kern w:val="0"/>
          <w:sz w:val="32"/>
          <w:szCs w:val="32"/>
          <w14:textFill>
            <w14:solidFill>
              <w14:schemeClr w14:val="tx1"/>
            </w14:solidFill>
          </w14:textFill>
        </w:rPr>
        <w:t>竞争效果的，应当不予出台或调整至符合相关要求后出台；没有进行公平竞争审查的不得出台。</w:t>
      </w:r>
    </w:p>
    <w:p>
      <w:pPr>
        <w:ind w:firstLine="640" w:firstLineChars="200"/>
        <w:rPr>
          <w:rFonts w:ascii="Times New Roman" w:hAnsi="Times New Roman" w:eastAsia="方正仿宋_GBK" w:cs="Times New Roman"/>
          <w:color w:val="000000" w:themeColor="text1"/>
          <w:kern w:val="0"/>
          <w:sz w:val="32"/>
          <w:szCs w:val="32"/>
          <w14:textFill>
            <w14:solidFill>
              <w14:schemeClr w14:val="tx1"/>
            </w14:solidFill>
          </w14:textFill>
        </w:rPr>
      </w:pPr>
      <w:r>
        <w:rPr>
          <w:rFonts w:hint="eastAsia" w:ascii="Times New Roman" w:hAnsi="Times New Roman" w:eastAsia="方正仿宋_GBK" w:cs="Times New Roman"/>
          <w:color w:val="000000" w:themeColor="text1"/>
          <w:kern w:val="0"/>
          <w:sz w:val="32"/>
          <w:szCs w:val="32"/>
          <w14:textFill>
            <w14:solidFill>
              <w14:schemeClr w14:val="tx1"/>
            </w14:solidFill>
          </w14:textFill>
        </w:rPr>
        <w:t>2．起草科室（单位）制定政策措施和开展公平竞争审查应当以适当方式征求利害关系人意见，或者通过政府部门网站、政务新媒体等便于社会公众知晓的方式公开征求意见，并在书面审查结论中说明征求意见情况。</w:t>
      </w:r>
    </w:p>
    <w:p>
      <w:pPr>
        <w:ind w:firstLine="640" w:firstLineChars="200"/>
        <w:rPr>
          <w:rFonts w:ascii="Times New Roman" w:hAnsi="Times New Roman" w:eastAsia="方正仿宋_GBK" w:cs="Times New Roman"/>
          <w:color w:val="000000" w:themeColor="text1"/>
          <w:kern w:val="0"/>
          <w:sz w:val="32"/>
          <w:szCs w:val="32"/>
          <w14:textFill>
            <w14:solidFill>
              <w14:schemeClr w14:val="tx1"/>
            </w14:solidFill>
          </w14:textFill>
        </w:rPr>
      </w:pPr>
      <w:r>
        <w:rPr>
          <w:rFonts w:hint="eastAsia" w:ascii="Times New Roman" w:hAnsi="Times New Roman" w:eastAsia="方正仿宋_GBK" w:cs="Times New Roman"/>
          <w:color w:val="000000" w:themeColor="text1"/>
          <w:kern w:val="0"/>
          <w:sz w:val="32"/>
          <w:szCs w:val="32"/>
          <w14:textFill>
            <w14:solidFill>
              <w14:schemeClr w14:val="tx1"/>
            </w14:solidFill>
          </w14:textFill>
        </w:rPr>
        <w:t>3．有关政策措施出台后，要按照《中华人民共和国政府信息公开条例》要求向社会公开。</w:t>
      </w:r>
    </w:p>
    <w:p>
      <w:pPr>
        <w:ind w:firstLine="640" w:firstLineChars="200"/>
        <w:rPr>
          <w:rFonts w:ascii="方正黑体_GBK" w:hAnsi="黑体" w:eastAsia="方正黑体_GBK" w:cs="黑体"/>
          <w:kern w:val="0"/>
          <w:sz w:val="32"/>
          <w:szCs w:val="32"/>
        </w:rPr>
      </w:pPr>
      <w:r>
        <w:rPr>
          <w:rFonts w:hint="eastAsia" w:ascii="方正黑体_GBK" w:hAnsi="黑体" w:eastAsia="方正黑体_GBK" w:cs="黑体"/>
          <w:kern w:val="0"/>
          <w:sz w:val="32"/>
          <w:szCs w:val="32"/>
        </w:rPr>
        <w:t xml:space="preserve">六、审查标准 </w:t>
      </w:r>
    </w:p>
    <w:p>
      <w:pPr>
        <w:ind w:firstLine="640" w:firstLineChars="200"/>
        <w:rPr>
          <w:rFonts w:ascii="Times New Roman" w:hAnsi="Times New Roman" w:eastAsia="方正仿宋_GBK" w:cs="Times New Roman"/>
          <w:color w:val="000000" w:themeColor="text1"/>
          <w:kern w:val="0"/>
          <w:sz w:val="32"/>
          <w:szCs w:val="32"/>
          <w14:textFill>
            <w14:solidFill>
              <w14:schemeClr w14:val="tx1"/>
            </w14:solidFill>
          </w14:textFill>
        </w:rPr>
      </w:pPr>
      <w:r>
        <w:rPr>
          <w:rFonts w:hint="eastAsia" w:ascii="Times New Roman" w:hAnsi="Times New Roman" w:eastAsia="方正仿宋_GBK" w:cs="Times New Roman"/>
          <w:color w:val="000000" w:themeColor="text1"/>
          <w:kern w:val="0"/>
          <w:sz w:val="32"/>
          <w:szCs w:val="32"/>
          <w14:textFill>
            <w14:solidFill>
              <w14:schemeClr w14:val="tx1"/>
            </w14:solidFill>
          </w14:textFill>
        </w:rPr>
        <w:t>各科室（单位）要从维护市场公平竞争的角度，按照以下标准进行审查：</w:t>
      </w:r>
    </w:p>
    <w:p>
      <w:pPr>
        <w:pStyle w:val="10"/>
        <w:spacing w:line="574" w:lineRule="exact"/>
        <w:ind w:firstLine="640" w:firstLineChars="200"/>
        <w:contextualSpacing/>
        <w:rPr>
          <w:rFonts w:ascii="Times New Roman" w:hAnsi="Times New Roman" w:eastAsia="方正仿宋_GBK"/>
          <w:color w:val="000000" w:themeColor="text1"/>
          <w:kern w:val="0"/>
          <w:sz w:val="32"/>
          <w:szCs w:val="32"/>
          <w14:textFill>
            <w14:solidFill>
              <w14:schemeClr w14:val="tx1"/>
            </w14:solidFill>
          </w14:textFill>
        </w:rPr>
      </w:pPr>
      <w:r>
        <w:rPr>
          <w:rFonts w:hint="eastAsia" w:ascii="Times New Roman" w:hAnsi="Times New Roman" w:eastAsia="方正仿宋_GBK"/>
          <w:color w:val="000000" w:themeColor="text1"/>
          <w:kern w:val="0"/>
          <w:sz w:val="32"/>
          <w:szCs w:val="32"/>
          <w14:textFill>
            <w14:solidFill>
              <w14:schemeClr w14:val="tx1"/>
            </w14:solidFill>
          </w14:textFill>
        </w:rPr>
        <w:t>1．市场准入和退出标准。</w:t>
      </w:r>
    </w:p>
    <w:p>
      <w:pPr>
        <w:pStyle w:val="10"/>
        <w:spacing w:line="574" w:lineRule="exact"/>
        <w:ind w:firstLine="640" w:firstLineChars="200"/>
        <w:contextualSpacing/>
        <w:rPr>
          <w:rFonts w:ascii="Times New Roman" w:hAnsi="Times New Roman" w:eastAsia="方正仿宋_GBK"/>
          <w:color w:val="000000" w:themeColor="text1"/>
          <w:kern w:val="0"/>
          <w:sz w:val="32"/>
          <w:szCs w:val="32"/>
          <w14:textFill>
            <w14:solidFill>
              <w14:schemeClr w14:val="tx1"/>
            </w14:solidFill>
          </w14:textFill>
        </w:rPr>
      </w:pPr>
      <w:r>
        <w:rPr>
          <w:rFonts w:hint="eastAsia" w:ascii="Times New Roman" w:hAnsi="Times New Roman" w:eastAsia="方正仿宋_GBK"/>
          <w:color w:val="000000" w:themeColor="text1"/>
          <w:kern w:val="0"/>
          <w:sz w:val="32"/>
          <w:szCs w:val="32"/>
          <w14:textFill>
            <w14:solidFill>
              <w14:schemeClr w14:val="tx1"/>
            </w14:solidFill>
          </w14:textFill>
        </w:rPr>
        <w:t>（1）不得设置不合理或者歧视性的准入和退出条件；</w:t>
      </w:r>
    </w:p>
    <w:p>
      <w:pPr>
        <w:pStyle w:val="10"/>
        <w:spacing w:line="574" w:lineRule="exact"/>
        <w:ind w:firstLine="640" w:firstLineChars="200"/>
        <w:contextualSpacing/>
        <w:rPr>
          <w:rFonts w:ascii="Times New Roman" w:hAnsi="Times New Roman" w:eastAsia="方正仿宋_GBK"/>
          <w:color w:val="000000" w:themeColor="text1"/>
          <w:kern w:val="0"/>
          <w:sz w:val="32"/>
          <w:szCs w:val="32"/>
          <w14:textFill>
            <w14:solidFill>
              <w14:schemeClr w14:val="tx1"/>
            </w14:solidFill>
          </w14:textFill>
        </w:rPr>
      </w:pPr>
      <w:r>
        <w:rPr>
          <w:rFonts w:hint="eastAsia" w:ascii="Times New Roman" w:hAnsi="Times New Roman" w:eastAsia="方正仿宋_GBK"/>
          <w:color w:val="000000" w:themeColor="text1"/>
          <w:kern w:val="0"/>
          <w:sz w:val="32"/>
          <w:szCs w:val="32"/>
          <w14:textFill>
            <w14:solidFill>
              <w14:schemeClr w14:val="tx1"/>
            </w14:solidFill>
          </w14:textFill>
        </w:rPr>
        <w:t>（2）未经公平竞争不得授予经营者特许经营权；</w:t>
      </w:r>
    </w:p>
    <w:p>
      <w:pPr>
        <w:pStyle w:val="10"/>
        <w:spacing w:line="574" w:lineRule="exact"/>
        <w:ind w:firstLine="640" w:firstLineChars="200"/>
        <w:contextualSpacing/>
        <w:rPr>
          <w:rFonts w:ascii="Times New Roman" w:hAnsi="Times New Roman" w:eastAsia="方正仿宋_GBK"/>
          <w:color w:val="000000" w:themeColor="text1"/>
          <w:kern w:val="0"/>
          <w:sz w:val="32"/>
          <w:szCs w:val="32"/>
          <w14:textFill>
            <w14:solidFill>
              <w14:schemeClr w14:val="tx1"/>
            </w14:solidFill>
          </w14:textFill>
        </w:rPr>
      </w:pPr>
      <w:r>
        <w:rPr>
          <w:rFonts w:hint="eastAsia" w:ascii="Times New Roman" w:hAnsi="Times New Roman" w:eastAsia="方正仿宋_GBK"/>
          <w:color w:val="000000" w:themeColor="text1"/>
          <w:kern w:val="0"/>
          <w:sz w:val="32"/>
          <w:szCs w:val="32"/>
          <w14:textFill>
            <w14:solidFill>
              <w14:schemeClr w14:val="tx1"/>
            </w14:solidFill>
          </w14:textFill>
        </w:rPr>
        <w:t>（3）不得限定经营、购买、</w:t>
      </w:r>
      <w:r>
        <w:rPr>
          <w:rFonts w:hint="eastAsia" w:ascii="Times New Roman" w:hAnsi="Times New Roman" w:eastAsia="方正仿宋_GBK"/>
          <w:color w:val="000000" w:themeColor="text1"/>
          <w:kern w:val="0"/>
          <w:sz w:val="32"/>
          <w:szCs w:val="32"/>
          <w:lang w:eastAsia="zh-CN"/>
          <w14:textFill>
            <w14:solidFill>
              <w14:schemeClr w14:val="tx1"/>
            </w14:solidFill>
          </w14:textFill>
        </w:rPr>
        <w:t>使</w:t>
      </w:r>
      <w:bookmarkStart w:id="0" w:name="_GoBack"/>
      <w:bookmarkEnd w:id="0"/>
      <w:r>
        <w:rPr>
          <w:rFonts w:hint="eastAsia" w:ascii="Times New Roman" w:hAnsi="Times New Roman" w:eastAsia="方正仿宋_GBK"/>
          <w:color w:val="000000" w:themeColor="text1"/>
          <w:kern w:val="0"/>
          <w:sz w:val="32"/>
          <w:szCs w:val="32"/>
          <w14:textFill>
            <w14:solidFill>
              <w14:schemeClr w14:val="tx1"/>
            </w14:solidFill>
          </w14:textFill>
        </w:rPr>
        <w:t>用特定经营者提供的商品和服务；</w:t>
      </w:r>
    </w:p>
    <w:p>
      <w:pPr>
        <w:pStyle w:val="10"/>
        <w:spacing w:line="574" w:lineRule="exact"/>
        <w:ind w:firstLine="640" w:firstLineChars="200"/>
        <w:contextualSpacing/>
        <w:rPr>
          <w:rFonts w:ascii="Times New Roman" w:hAnsi="Times New Roman" w:eastAsia="方正仿宋_GBK"/>
          <w:color w:val="000000" w:themeColor="text1"/>
          <w:kern w:val="0"/>
          <w:sz w:val="32"/>
          <w:szCs w:val="32"/>
          <w14:textFill>
            <w14:solidFill>
              <w14:schemeClr w14:val="tx1"/>
            </w14:solidFill>
          </w14:textFill>
        </w:rPr>
      </w:pPr>
      <w:r>
        <w:rPr>
          <w:rFonts w:hint="eastAsia" w:ascii="Times New Roman" w:hAnsi="Times New Roman" w:eastAsia="方正仿宋_GBK"/>
          <w:color w:val="000000" w:themeColor="text1"/>
          <w:kern w:val="0"/>
          <w:sz w:val="32"/>
          <w:szCs w:val="32"/>
          <w14:textFill>
            <w14:solidFill>
              <w14:schemeClr w14:val="tx1"/>
            </w14:solidFill>
          </w14:textFill>
        </w:rPr>
        <w:t>（4）不得设置没有法律、行政法规或者国务院规定依据的审批或者具有行政审批性质的事前备案程序；</w:t>
      </w:r>
    </w:p>
    <w:p>
      <w:pPr>
        <w:pStyle w:val="10"/>
        <w:spacing w:line="574" w:lineRule="exact"/>
        <w:ind w:firstLine="640" w:firstLineChars="200"/>
        <w:contextualSpacing/>
        <w:rPr>
          <w:rFonts w:ascii="Times New Roman" w:hAnsi="Times New Roman" w:eastAsia="方正仿宋_GBK"/>
          <w:color w:val="000000" w:themeColor="text1"/>
          <w:kern w:val="0"/>
          <w:sz w:val="32"/>
          <w:szCs w:val="32"/>
          <w14:textFill>
            <w14:solidFill>
              <w14:schemeClr w14:val="tx1"/>
            </w14:solidFill>
          </w14:textFill>
        </w:rPr>
      </w:pPr>
      <w:r>
        <w:rPr>
          <w:rFonts w:hint="eastAsia" w:ascii="Times New Roman" w:hAnsi="Times New Roman" w:eastAsia="方正仿宋_GBK"/>
          <w:color w:val="000000" w:themeColor="text1"/>
          <w:kern w:val="0"/>
          <w:sz w:val="32"/>
          <w:szCs w:val="32"/>
          <w14:textFill>
            <w14:solidFill>
              <w14:schemeClr w14:val="tx1"/>
            </w14:solidFill>
          </w14:textFill>
        </w:rPr>
        <w:t>（5）不得对市场准入负面清单以外的行业、领域、业务等设置审批程序。</w:t>
      </w:r>
    </w:p>
    <w:p>
      <w:pPr>
        <w:pStyle w:val="10"/>
        <w:spacing w:line="574" w:lineRule="exact"/>
        <w:ind w:firstLine="640" w:firstLineChars="200"/>
        <w:contextualSpacing/>
        <w:rPr>
          <w:rFonts w:ascii="Times New Roman" w:hAnsi="Times New Roman" w:eastAsia="方正仿宋_GBK"/>
          <w:color w:val="000000" w:themeColor="text1"/>
          <w:kern w:val="0"/>
          <w:sz w:val="32"/>
          <w:szCs w:val="32"/>
          <w14:textFill>
            <w14:solidFill>
              <w14:schemeClr w14:val="tx1"/>
            </w14:solidFill>
          </w14:textFill>
        </w:rPr>
      </w:pPr>
      <w:r>
        <w:rPr>
          <w:rFonts w:hint="eastAsia" w:ascii="Times New Roman" w:hAnsi="Times New Roman" w:eastAsia="方正仿宋_GBK"/>
          <w:color w:val="000000" w:themeColor="text1"/>
          <w:kern w:val="0"/>
          <w:sz w:val="32"/>
          <w:szCs w:val="32"/>
          <w14:textFill>
            <w14:solidFill>
              <w14:schemeClr w14:val="tx1"/>
            </w14:solidFill>
          </w14:textFill>
        </w:rPr>
        <w:t>2．商品和要素自由流动标准。</w:t>
      </w:r>
    </w:p>
    <w:p>
      <w:pPr>
        <w:pStyle w:val="10"/>
        <w:spacing w:line="574" w:lineRule="exact"/>
        <w:ind w:firstLine="640" w:firstLineChars="200"/>
        <w:contextualSpacing/>
        <w:rPr>
          <w:rFonts w:ascii="Times New Roman" w:hAnsi="Times New Roman" w:eastAsia="方正仿宋_GBK"/>
          <w:color w:val="000000" w:themeColor="text1"/>
          <w:kern w:val="0"/>
          <w:sz w:val="32"/>
          <w:szCs w:val="32"/>
          <w14:textFill>
            <w14:solidFill>
              <w14:schemeClr w14:val="tx1"/>
            </w14:solidFill>
          </w14:textFill>
        </w:rPr>
      </w:pPr>
      <w:r>
        <w:rPr>
          <w:rFonts w:hint="eastAsia" w:ascii="Times New Roman" w:hAnsi="Times New Roman" w:eastAsia="方正仿宋_GBK"/>
          <w:color w:val="000000" w:themeColor="text1"/>
          <w:kern w:val="0"/>
          <w:sz w:val="32"/>
          <w:szCs w:val="32"/>
          <w14:textFill>
            <w14:solidFill>
              <w14:schemeClr w14:val="tx1"/>
            </w14:solidFill>
          </w14:textFill>
        </w:rPr>
        <w:t>（1）不得对外地和进口商品、服务实行歧视性价格和歧视性补贴政策；</w:t>
      </w:r>
    </w:p>
    <w:p>
      <w:pPr>
        <w:pStyle w:val="10"/>
        <w:spacing w:line="574" w:lineRule="exact"/>
        <w:ind w:firstLine="640" w:firstLineChars="200"/>
        <w:contextualSpacing/>
        <w:rPr>
          <w:rFonts w:ascii="Times New Roman" w:hAnsi="Times New Roman" w:eastAsia="方正仿宋_GBK"/>
          <w:color w:val="000000" w:themeColor="text1"/>
          <w:kern w:val="0"/>
          <w:sz w:val="32"/>
          <w:szCs w:val="32"/>
          <w14:textFill>
            <w14:solidFill>
              <w14:schemeClr w14:val="tx1"/>
            </w14:solidFill>
          </w14:textFill>
        </w:rPr>
      </w:pPr>
      <w:r>
        <w:rPr>
          <w:rFonts w:hint="eastAsia" w:ascii="Times New Roman" w:hAnsi="Times New Roman" w:eastAsia="方正仿宋_GBK"/>
          <w:color w:val="000000" w:themeColor="text1"/>
          <w:kern w:val="0"/>
          <w:sz w:val="32"/>
          <w:szCs w:val="32"/>
          <w14:textFill>
            <w14:solidFill>
              <w14:schemeClr w14:val="tx1"/>
            </w14:solidFill>
          </w14:textFill>
        </w:rPr>
        <w:t>（2）不得限制外地和进口商品、服务进入本地市场或者阻碍本地商品运出、服务输出；</w:t>
      </w:r>
    </w:p>
    <w:p>
      <w:pPr>
        <w:pStyle w:val="10"/>
        <w:spacing w:line="574" w:lineRule="exact"/>
        <w:ind w:firstLine="640" w:firstLineChars="200"/>
        <w:contextualSpacing/>
        <w:rPr>
          <w:rFonts w:ascii="Times New Roman" w:hAnsi="Times New Roman" w:eastAsia="方正仿宋_GBK"/>
          <w:color w:val="000000" w:themeColor="text1"/>
          <w:kern w:val="0"/>
          <w:sz w:val="32"/>
          <w:szCs w:val="32"/>
          <w14:textFill>
            <w14:solidFill>
              <w14:schemeClr w14:val="tx1"/>
            </w14:solidFill>
          </w14:textFill>
        </w:rPr>
      </w:pPr>
      <w:r>
        <w:rPr>
          <w:rFonts w:hint="eastAsia" w:ascii="Times New Roman" w:hAnsi="Times New Roman" w:eastAsia="方正仿宋_GBK"/>
          <w:color w:val="000000" w:themeColor="text1"/>
          <w:kern w:val="0"/>
          <w:sz w:val="32"/>
          <w:szCs w:val="32"/>
          <w14:textFill>
            <w14:solidFill>
              <w14:schemeClr w14:val="tx1"/>
            </w14:solidFill>
          </w14:textFill>
        </w:rPr>
        <w:t>（3）不得排斥或者限制外地经营者参加本地招标投标活动；</w:t>
      </w:r>
    </w:p>
    <w:p>
      <w:pPr>
        <w:pStyle w:val="10"/>
        <w:spacing w:line="574" w:lineRule="exact"/>
        <w:ind w:firstLine="640" w:firstLineChars="200"/>
        <w:contextualSpacing/>
        <w:rPr>
          <w:rFonts w:ascii="Times New Roman" w:hAnsi="Times New Roman" w:eastAsia="方正仿宋_GBK"/>
          <w:color w:val="000000" w:themeColor="text1"/>
          <w:kern w:val="0"/>
          <w:sz w:val="32"/>
          <w:szCs w:val="32"/>
          <w14:textFill>
            <w14:solidFill>
              <w14:schemeClr w14:val="tx1"/>
            </w14:solidFill>
          </w14:textFill>
        </w:rPr>
      </w:pPr>
      <w:r>
        <w:rPr>
          <w:rFonts w:hint="eastAsia" w:ascii="Times New Roman" w:hAnsi="Times New Roman" w:eastAsia="方正仿宋_GBK"/>
          <w:color w:val="000000" w:themeColor="text1"/>
          <w:kern w:val="0"/>
          <w:sz w:val="32"/>
          <w:szCs w:val="32"/>
          <w14:textFill>
            <w14:solidFill>
              <w14:schemeClr w14:val="tx1"/>
            </w14:solidFill>
          </w14:textFill>
        </w:rPr>
        <w:t>（4）不得排斥、限制或者强制外地经营者在本地投资或者设立分支机构；</w:t>
      </w:r>
    </w:p>
    <w:p>
      <w:pPr>
        <w:pStyle w:val="10"/>
        <w:spacing w:line="574" w:lineRule="exact"/>
        <w:ind w:firstLine="640" w:firstLineChars="200"/>
        <w:contextualSpacing/>
        <w:rPr>
          <w:rFonts w:ascii="Times New Roman" w:hAnsi="Times New Roman" w:eastAsia="方正仿宋_GBK"/>
          <w:color w:val="000000" w:themeColor="text1"/>
          <w:kern w:val="0"/>
          <w:sz w:val="32"/>
          <w:szCs w:val="32"/>
          <w14:textFill>
            <w14:solidFill>
              <w14:schemeClr w14:val="tx1"/>
            </w14:solidFill>
          </w14:textFill>
        </w:rPr>
      </w:pPr>
      <w:r>
        <w:rPr>
          <w:rFonts w:hint="eastAsia" w:ascii="Times New Roman" w:hAnsi="Times New Roman" w:eastAsia="方正仿宋_GBK"/>
          <w:color w:val="000000" w:themeColor="text1"/>
          <w:kern w:val="0"/>
          <w:sz w:val="32"/>
          <w:szCs w:val="32"/>
          <w14:textFill>
            <w14:solidFill>
              <w14:schemeClr w14:val="tx1"/>
            </w14:solidFill>
          </w14:textFill>
        </w:rPr>
        <w:t>（5）不得对外地经营者在本地的投资或者设立的分支机构实行歧视性待遇，侵害其合法权益。</w:t>
      </w:r>
    </w:p>
    <w:p>
      <w:pPr>
        <w:pStyle w:val="10"/>
        <w:spacing w:line="574" w:lineRule="exact"/>
        <w:ind w:firstLine="640" w:firstLineChars="200"/>
        <w:contextualSpacing/>
        <w:rPr>
          <w:rFonts w:ascii="Times New Roman" w:hAnsi="Times New Roman" w:eastAsia="方正仿宋_GBK"/>
          <w:color w:val="000000" w:themeColor="text1"/>
          <w:kern w:val="0"/>
          <w:sz w:val="32"/>
          <w:szCs w:val="32"/>
          <w14:textFill>
            <w14:solidFill>
              <w14:schemeClr w14:val="tx1"/>
            </w14:solidFill>
          </w14:textFill>
        </w:rPr>
      </w:pPr>
      <w:r>
        <w:rPr>
          <w:rFonts w:hint="eastAsia" w:ascii="Times New Roman" w:hAnsi="Times New Roman" w:eastAsia="方正仿宋_GBK"/>
          <w:color w:val="000000" w:themeColor="text1"/>
          <w:kern w:val="0"/>
          <w:sz w:val="32"/>
          <w:szCs w:val="32"/>
          <w14:textFill>
            <w14:solidFill>
              <w14:schemeClr w14:val="tx1"/>
            </w14:solidFill>
          </w14:textFill>
        </w:rPr>
        <w:t>3．影响生产经营成本标准。</w:t>
      </w:r>
    </w:p>
    <w:p>
      <w:pPr>
        <w:pStyle w:val="10"/>
        <w:spacing w:line="574" w:lineRule="exact"/>
        <w:ind w:firstLine="640" w:firstLineChars="200"/>
        <w:contextualSpacing/>
        <w:rPr>
          <w:rFonts w:ascii="Times New Roman" w:hAnsi="Times New Roman" w:eastAsia="方正仿宋_GBK"/>
          <w:color w:val="000000" w:themeColor="text1"/>
          <w:kern w:val="0"/>
          <w:sz w:val="32"/>
          <w:szCs w:val="32"/>
          <w14:textFill>
            <w14:solidFill>
              <w14:schemeClr w14:val="tx1"/>
            </w14:solidFill>
          </w14:textFill>
        </w:rPr>
      </w:pPr>
      <w:r>
        <w:rPr>
          <w:rFonts w:hint="eastAsia" w:ascii="Times New Roman" w:hAnsi="Times New Roman" w:eastAsia="方正仿宋_GBK"/>
          <w:color w:val="000000" w:themeColor="text1"/>
          <w:kern w:val="0"/>
          <w:sz w:val="32"/>
          <w:szCs w:val="32"/>
          <w14:textFill>
            <w14:solidFill>
              <w14:schemeClr w14:val="tx1"/>
            </w14:solidFill>
          </w14:textFill>
        </w:rPr>
        <w:t>（1）不得违法给予特定经营者优惠政策；</w:t>
      </w:r>
    </w:p>
    <w:p>
      <w:pPr>
        <w:pStyle w:val="10"/>
        <w:spacing w:line="574" w:lineRule="exact"/>
        <w:ind w:firstLine="640" w:firstLineChars="200"/>
        <w:contextualSpacing/>
        <w:rPr>
          <w:rFonts w:ascii="Times New Roman" w:hAnsi="Times New Roman" w:eastAsia="方正仿宋_GBK"/>
          <w:color w:val="000000" w:themeColor="text1"/>
          <w:kern w:val="0"/>
          <w:sz w:val="32"/>
          <w:szCs w:val="32"/>
          <w14:textFill>
            <w14:solidFill>
              <w14:schemeClr w14:val="tx1"/>
            </w14:solidFill>
          </w14:textFill>
        </w:rPr>
      </w:pPr>
      <w:r>
        <w:rPr>
          <w:rFonts w:hint="eastAsia" w:ascii="Times New Roman" w:hAnsi="Times New Roman" w:eastAsia="方正仿宋_GBK"/>
          <w:color w:val="000000" w:themeColor="text1"/>
          <w:kern w:val="0"/>
          <w:sz w:val="32"/>
          <w:szCs w:val="32"/>
          <w14:textFill>
            <w14:solidFill>
              <w14:schemeClr w14:val="tx1"/>
            </w14:solidFill>
          </w14:textFill>
        </w:rPr>
        <w:t>（2）安排财政支出一般不得与特定经营者交纳的税收或非税收入挂钩；</w:t>
      </w:r>
    </w:p>
    <w:p>
      <w:pPr>
        <w:pStyle w:val="10"/>
        <w:spacing w:line="574" w:lineRule="exact"/>
        <w:ind w:firstLine="640" w:firstLineChars="200"/>
        <w:contextualSpacing/>
        <w:rPr>
          <w:rFonts w:ascii="Times New Roman" w:hAnsi="Times New Roman" w:eastAsia="方正仿宋_GBK"/>
          <w:color w:val="000000" w:themeColor="text1"/>
          <w:kern w:val="0"/>
          <w:sz w:val="32"/>
          <w:szCs w:val="32"/>
          <w14:textFill>
            <w14:solidFill>
              <w14:schemeClr w14:val="tx1"/>
            </w14:solidFill>
          </w14:textFill>
        </w:rPr>
      </w:pPr>
      <w:r>
        <w:rPr>
          <w:rFonts w:hint="eastAsia" w:ascii="Times New Roman" w:hAnsi="Times New Roman" w:eastAsia="方正仿宋_GBK"/>
          <w:color w:val="000000" w:themeColor="text1"/>
          <w:kern w:val="0"/>
          <w:sz w:val="32"/>
          <w:szCs w:val="32"/>
          <w14:textFill>
            <w14:solidFill>
              <w14:schemeClr w14:val="tx1"/>
            </w14:solidFill>
          </w14:textFill>
        </w:rPr>
        <w:t>（3）不得违法违规减免或者缓征特定经营者应当交纳的社会保险费用；</w:t>
      </w:r>
    </w:p>
    <w:p>
      <w:pPr>
        <w:pStyle w:val="10"/>
        <w:spacing w:line="574" w:lineRule="exact"/>
        <w:ind w:firstLine="640" w:firstLineChars="200"/>
        <w:contextualSpacing/>
        <w:rPr>
          <w:rFonts w:ascii="Times New Roman" w:hAnsi="Times New Roman" w:eastAsia="方正仿宋_GBK"/>
          <w:color w:val="000000" w:themeColor="text1"/>
          <w:kern w:val="0"/>
          <w:sz w:val="32"/>
          <w:szCs w:val="32"/>
          <w14:textFill>
            <w14:solidFill>
              <w14:schemeClr w14:val="tx1"/>
            </w14:solidFill>
          </w14:textFill>
        </w:rPr>
      </w:pPr>
      <w:r>
        <w:rPr>
          <w:rFonts w:hint="eastAsia" w:ascii="Times New Roman" w:hAnsi="Times New Roman" w:eastAsia="方正仿宋_GBK"/>
          <w:color w:val="000000" w:themeColor="text1"/>
          <w:kern w:val="0"/>
          <w:sz w:val="32"/>
          <w:szCs w:val="32"/>
          <w14:textFill>
            <w14:solidFill>
              <w14:schemeClr w14:val="tx1"/>
            </w14:solidFill>
          </w14:textFill>
        </w:rPr>
        <w:t>（4）不得在法律规定之外要求经营者提供或扣留经营者各类保证金。</w:t>
      </w:r>
    </w:p>
    <w:p>
      <w:pPr>
        <w:pStyle w:val="10"/>
        <w:spacing w:line="574" w:lineRule="exact"/>
        <w:ind w:firstLine="640" w:firstLineChars="200"/>
        <w:contextualSpacing/>
        <w:rPr>
          <w:rFonts w:ascii="Times New Roman" w:hAnsi="Times New Roman" w:eastAsia="方正仿宋_GBK"/>
          <w:color w:val="000000" w:themeColor="text1"/>
          <w:kern w:val="0"/>
          <w:sz w:val="32"/>
          <w:szCs w:val="32"/>
          <w14:textFill>
            <w14:solidFill>
              <w14:schemeClr w14:val="tx1"/>
            </w14:solidFill>
          </w14:textFill>
        </w:rPr>
      </w:pPr>
      <w:r>
        <w:rPr>
          <w:rFonts w:hint="eastAsia" w:ascii="Times New Roman" w:hAnsi="Times New Roman" w:eastAsia="方正仿宋_GBK"/>
          <w:color w:val="000000" w:themeColor="text1"/>
          <w:kern w:val="0"/>
          <w:sz w:val="32"/>
          <w:szCs w:val="32"/>
          <w14:textFill>
            <w14:solidFill>
              <w14:schemeClr w14:val="tx1"/>
            </w14:solidFill>
          </w14:textFill>
        </w:rPr>
        <w:t>4．影响生产经营行为标准。</w:t>
      </w:r>
    </w:p>
    <w:p>
      <w:pPr>
        <w:pStyle w:val="10"/>
        <w:spacing w:line="574" w:lineRule="exact"/>
        <w:ind w:firstLine="640" w:firstLineChars="200"/>
        <w:contextualSpacing/>
        <w:rPr>
          <w:rFonts w:ascii="Times New Roman" w:hAnsi="Times New Roman" w:eastAsia="方正仿宋_GBK"/>
          <w:color w:val="000000" w:themeColor="text1"/>
          <w:kern w:val="0"/>
          <w:sz w:val="32"/>
          <w:szCs w:val="32"/>
          <w14:textFill>
            <w14:solidFill>
              <w14:schemeClr w14:val="tx1"/>
            </w14:solidFill>
          </w14:textFill>
        </w:rPr>
      </w:pPr>
      <w:r>
        <w:rPr>
          <w:rFonts w:hint="eastAsia" w:ascii="Times New Roman" w:hAnsi="Times New Roman" w:eastAsia="方正仿宋_GBK"/>
          <w:color w:val="000000" w:themeColor="text1"/>
          <w:kern w:val="0"/>
          <w:sz w:val="32"/>
          <w:szCs w:val="32"/>
          <w14:textFill>
            <w14:solidFill>
              <w14:schemeClr w14:val="tx1"/>
            </w14:solidFill>
          </w14:textFill>
        </w:rPr>
        <w:t>（1）不得强制经营者从事《中华人民共和国反垄断法》禁止的垄断行为；</w:t>
      </w:r>
    </w:p>
    <w:p>
      <w:pPr>
        <w:pStyle w:val="10"/>
        <w:spacing w:line="574" w:lineRule="exact"/>
        <w:ind w:firstLine="640" w:firstLineChars="200"/>
        <w:contextualSpacing/>
        <w:rPr>
          <w:rFonts w:ascii="Times New Roman" w:hAnsi="Times New Roman" w:eastAsia="方正仿宋_GBK"/>
          <w:color w:val="000000" w:themeColor="text1"/>
          <w:kern w:val="0"/>
          <w:sz w:val="32"/>
          <w:szCs w:val="32"/>
          <w14:textFill>
            <w14:solidFill>
              <w14:schemeClr w14:val="tx1"/>
            </w14:solidFill>
          </w14:textFill>
        </w:rPr>
      </w:pPr>
      <w:r>
        <w:rPr>
          <w:rFonts w:hint="eastAsia" w:ascii="Times New Roman" w:hAnsi="Times New Roman" w:eastAsia="方正仿宋_GBK"/>
          <w:color w:val="000000" w:themeColor="text1"/>
          <w:kern w:val="0"/>
          <w:sz w:val="32"/>
          <w:szCs w:val="32"/>
          <w14:textFill>
            <w14:solidFill>
              <w14:schemeClr w14:val="tx1"/>
            </w14:solidFill>
          </w14:textFill>
        </w:rPr>
        <w:t>（2）不得违法披露或者违法要求经营者披露生产经营敏感信息，为经营者实施垄断行为提供便利条件；</w:t>
      </w:r>
    </w:p>
    <w:p>
      <w:pPr>
        <w:pStyle w:val="10"/>
        <w:spacing w:line="574" w:lineRule="exact"/>
        <w:ind w:firstLine="640" w:firstLineChars="200"/>
        <w:contextualSpacing/>
        <w:rPr>
          <w:rFonts w:ascii="Times New Roman" w:hAnsi="Times New Roman" w:eastAsia="方正仿宋_GBK"/>
          <w:color w:val="000000" w:themeColor="text1"/>
          <w:kern w:val="0"/>
          <w:sz w:val="32"/>
          <w:szCs w:val="32"/>
          <w14:textFill>
            <w14:solidFill>
              <w14:schemeClr w14:val="tx1"/>
            </w14:solidFill>
          </w14:textFill>
        </w:rPr>
      </w:pPr>
      <w:r>
        <w:rPr>
          <w:rFonts w:hint="eastAsia" w:ascii="Times New Roman" w:hAnsi="Times New Roman" w:eastAsia="方正仿宋_GBK"/>
          <w:color w:val="000000" w:themeColor="text1"/>
          <w:kern w:val="0"/>
          <w:sz w:val="32"/>
          <w:szCs w:val="32"/>
          <w14:textFill>
            <w14:solidFill>
              <w14:schemeClr w14:val="tx1"/>
            </w14:solidFill>
          </w14:textFill>
        </w:rPr>
        <w:t>（3）不得超越定价权限进行政府定价；</w:t>
      </w:r>
    </w:p>
    <w:p>
      <w:pPr>
        <w:pStyle w:val="10"/>
        <w:spacing w:line="574" w:lineRule="exact"/>
        <w:ind w:firstLine="640" w:firstLineChars="200"/>
        <w:contextualSpacing/>
        <w:rPr>
          <w:rFonts w:ascii="Times New Roman" w:hAnsi="Times New Roman" w:eastAsia="方正仿宋_GBK"/>
          <w:color w:val="000000" w:themeColor="text1"/>
          <w:kern w:val="0"/>
          <w:sz w:val="32"/>
          <w:szCs w:val="32"/>
          <w14:textFill>
            <w14:solidFill>
              <w14:schemeClr w14:val="tx1"/>
            </w14:solidFill>
          </w14:textFill>
        </w:rPr>
      </w:pPr>
      <w:r>
        <w:rPr>
          <w:rFonts w:hint="eastAsia" w:ascii="Times New Roman" w:hAnsi="Times New Roman" w:eastAsia="方正仿宋_GBK"/>
          <w:color w:val="000000" w:themeColor="text1"/>
          <w:kern w:val="0"/>
          <w:sz w:val="32"/>
          <w:szCs w:val="32"/>
          <w14:textFill>
            <w14:solidFill>
              <w14:schemeClr w14:val="tx1"/>
            </w14:solidFill>
          </w14:textFill>
        </w:rPr>
        <w:t>（4）不得违法干预实行市场调节价的商品和服务的价格水平。</w:t>
      </w:r>
    </w:p>
    <w:p>
      <w:pPr>
        <w:pStyle w:val="10"/>
        <w:spacing w:line="574" w:lineRule="exact"/>
        <w:ind w:firstLine="640" w:firstLineChars="200"/>
        <w:contextualSpacing/>
        <w:rPr>
          <w:rFonts w:ascii="Times New Roman" w:hAnsi="Times New Roman" w:eastAsia="方正仿宋_GBK"/>
          <w:color w:val="000000" w:themeColor="text1"/>
          <w:kern w:val="0"/>
          <w:sz w:val="32"/>
          <w:szCs w:val="32"/>
          <w14:textFill>
            <w14:solidFill>
              <w14:schemeClr w14:val="tx1"/>
            </w14:solidFill>
          </w14:textFill>
        </w:rPr>
      </w:pPr>
      <w:r>
        <w:rPr>
          <w:rFonts w:hint="eastAsia" w:ascii="Times New Roman" w:hAnsi="Times New Roman" w:eastAsia="方正仿宋_GBK"/>
          <w:color w:val="000000" w:themeColor="text1"/>
          <w:kern w:val="0"/>
          <w:sz w:val="32"/>
          <w:szCs w:val="32"/>
          <w14:textFill>
            <w14:solidFill>
              <w14:schemeClr w14:val="tx1"/>
            </w14:solidFill>
          </w14:textFill>
        </w:rPr>
        <w:t>没有法律、法规依据，不得制定减损市场主体合法权益或者增加其义务的政策措施；不得违反《中华人民共和国反垄断法》，制定含有排除、限制竞争内容的政策措施。</w:t>
      </w:r>
    </w:p>
    <w:p>
      <w:pPr>
        <w:ind w:firstLine="640" w:firstLineChars="200"/>
        <w:rPr>
          <w:rFonts w:ascii="方正黑体_GBK" w:hAnsi="黑体" w:eastAsia="方正黑体_GBK" w:cs="黑体"/>
          <w:kern w:val="0"/>
          <w:sz w:val="32"/>
          <w:szCs w:val="32"/>
        </w:rPr>
      </w:pPr>
      <w:r>
        <w:rPr>
          <w:rFonts w:hint="eastAsia" w:ascii="方正黑体_GBK" w:hAnsi="黑体" w:eastAsia="方正黑体_GBK" w:cs="黑体"/>
          <w:kern w:val="0"/>
          <w:sz w:val="32"/>
          <w:szCs w:val="32"/>
        </w:rPr>
        <w:t>七、审查流程</w:t>
      </w:r>
    </w:p>
    <w:p>
      <w:pPr>
        <w:ind w:firstLine="640" w:firstLineChars="200"/>
        <w:rPr>
          <w:rFonts w:ascii="Times New Roman" w:hAnsi="Times New Roman" w:eastAsia="方正仿宋_GBK" w:cs="Times New Roman"/>
          <w:color w:val="000000" w:themeColor="text1"/>
          <w:kern w:val="0"/>
          <w:sz w:val="32"/>
          <w:szCs w:val="32"/>
          <w14:textFill>
            <w14:solidFill>
              <w14:schemeClr w14:val="tx1"/>
            </w14:solidFill>
          </w14:textFill>
        </w:rPr>
      </w:pPr>
      <w:r>
        <w:rPr>
          <w:rFonts w:hint="eastAsia" w:ascii="Times New Roman" w:hAnsi="Times New Roman" w:eastAsia="方正仿宋_GBK" w:cs="Times New Roman"/>
          <w:color w:val="000000" w:themeColor="text1"/>
          <w:kern w:val="0"/>
          <w:sz w:val="32"/>
          <w:szCs w:val="32"/>
          <w14:textFill>
            <w14:solidFill>
              <w14:schemeClr w14:val="tx1"/>
            </w14:solidFill>
          </w14:textFill>
        </w:rPr>
        <w:t>各科室（单位）在起草涉及市场主体经济活动的政策措施时，均需进行公平竞争审查，形成书面审查结论。未形成书面审查结论出台政策措施的，视为未进行公平竞争审查；未进行公平竞争审查的，不得出台或提交审议。</w:t>
      </w:r>
    </w:p>
    <w:p>
      <w:pPr>
        <w:ind w:firstLine="640" w:firstLineChars="200"/>
        <w:rPr>
          <w:rFonts w:ascii="Times New Roman" w:hAnsi="Times New Roman" w:eastAsia="方正仿宋_GBK" w:cs="Times New Roman"/>
          <w:color w:val="000000" w:themeColor="text1"/>
          <w:kern w:val="0"/>
          <w:sz w:val="32"/>
          <w:szCs w:val="32"/>
          <w14:textFill>
            <w14:solidFill>
              <w14:schemeClr w14:val="tx1"/>
            </w14:solidFill>
          </w14:textFill>
        </w:rPr>
      </w:pPr>
      <w:r>
        <w:rPr>
          <w:rFonts w:hint="eastAsia" w:ascii="Times New Roman" w:hAnsi="Times New Roman" w:eastAsia="方正仿宋_GBK" w:cs="Times New Roman"/>
          <w:color w:val="000000" w:themeColor="text1"/>
          <w:kern w:val="0"/>
          <w:sz w:val="32"/>
          <w:szCs w:val="32"/>
          <w14:textFill>
            <w14:solidFill>
              <w14:schemeClr w14:val="tx1"/>
            </w14:solidFill>
          </w14:textFill>
        </w:rPr>
        <w:t>在政策措施制定过程中，起草科室（单位）应严格对照审查标准进行审查，填写《公平竞争审查表》（详见附件1）一式三份，一份存档备查，一份随文流转，一份交局公平竞争内部审查科室留存。起草科室（单位）完成公平竞争自我审查后，应将起草的政策措施文本及起草说明、公平竞争审查表等材料提交局公平竞争内部审查科室复核，局公平竞争内部审查科室自收到复核材料之日起七个工作日内完成复核；情况复杂无法在规定期限内复核完毕的，应当报经分管领导同意延长。局公平竞争内部审查科室在复核过程中，根据需要可以要求起草科室（单位）提供出台政策措施的原因和依据等相关材料。</w:t>
      </w:r>
    </w:p>
    <w:p>
      <w:pPr>
        <w:pStyle w:val="4"/>
        <w:widowControl/>
        <w:shd w:val="clear" w:color="auto" w:fill="FFFFFF"/>
        <w:spacing w:before="0" w:beforeAutospacing="0" w:after="0" w:afterAutospacing="0" w:line="574" w:lineRule="exact"/>
        <w:ind w:firstLine="629"/>
        <w:jc w:val="both"/>
        <w:rPr>
          <w:rFonts w:ascii="方正楷体_GBK" w:hAnsi="楷体" w:eastAsia="方正楷体_GBK" w:cs="楷体"/>
          <w:sz w:val="32"/>
          <w:szCs w:val="32"/>
          <w:shd w:val="clear" w:color="auto" w:fill="FFFFFF"/>
        </w:rPr>
      </w:pPr>
      <w:r>
        <w:rPr>
          <w:rFonts w:hint="eastAsia" w:ascii="方正黑体_GBK" w:hAnsi="黑体" w:eastAsia="方正黑体_GBK" w:cs="黑体"/>
          <w:kern w:val="0"/>
          <w:sz w:val="32"/>
          <w:szCs w:val="32"/>
        </w:rPr>
        <w:t>八、例外规定</w:t>
      </w:r>
      <w:r>
        <w:rPr>
          <w:rFonts w:hint="eastAsia" w:ascii="方正楷体_GBK" w:hAnsi="楷体" w:eastAsia="方正楷体_GBK" w:cs="楷体"/>
          <w:sz w:val="32"/>
          <w:szCs w:val="32"/>
          <w:shd w:val="clear" w:color="auto" w:fill="FFFFFF"/>
        </w:rPr>
        <w:t xml:space="preserve"> </w:t>
      </w:r>
    </w:p>
    <w:p>
      <w:pPr>
        <w:pStyle w:val="4"/>
        <w:widowControl/>
        <w:shd w:val="clear" w:color="auto" w:fill="FFFFFF"/>
        <w:spacing w:before="0" w:beforeAutospacing="0" w:after="0" w:afterAutospacing="0" w:line="574" w:lineRule="exact"/>
        <w:ind w:firstLine="629"/>
        <w:jc w:val="both"/>
        <w:rPr>
          <w:rFonts w:ascii="Times New Roman" w:hAnsi="Times New Roman" w:eastAsia="方正仿宋_GBK" w:cs="Times New Roman"/>
          <w:color w:val="000000" w:themeColor="text1"/>
          <w:kern w:val="0"/>
          <w:sz w:val="32"/>
          <w:szCs w:val="32"/>
          <w14:textFill>
            <w14:solidFill>
              <w14:schemeClr w14:val="tx1"/>
            </w14:solidFill>
          </w14:textFill>
        </w:rPr>
      </w:pPr>
      <w:r>
        <w:rPr>
          <w:rFonts w:hint="eastAsia" w:ascii="Times New Roman" w:hAnsi="Times New Roman" w:eastAsia="方正仿宋_GBK" w:cs="Times New Roman"/>
          <w:color w:val="000000" w:themeColor="text1"/>
          <w:kern w:val="0"/>
          <w:sz w:val="32"/>
          <w:szCs w:val="32"/>
          <w14:textFill>
            <w14:solidFill>
              <w14:schemeClr w14:val="tx1"/>
            </w14:solidFill>
          </w14:textFill>
        </w:rPr>
        <w:t xml:space="preserve">属于下列情形之一的政策措施，虽然在一定程度上具有限制竞争的效果，但在符合规定的情况下可以出台实施： </w:t>
      </w:r>
    </w:p>
    <w:p>
      <w:pPr>
        <w:pStyle w:val="10"/>
        <w:spacing w:line="574" w:lineRule="exact"/>
        <w:ind w:firstLine="640" w:firstLineChars="200"/>
        <w:contextualSpacing/>
        <w:rPr>
          <w:rFonts w:ascii="Times New Roman" w:hAnsi="Times New Roman" w:eastAsia="方正仿宋_GBK"/>
          <w:color w:val="000000" w:themeColor="text1"/>
          <w:kern w:val="0"/>
          <w:sz w:val="32"/>
          <w:szCs w:val="32"/>
          <w14:textFill>
            <w14:solidFill>
              <w14:schemeClr w14:val="tx1"/>
            </w14:solidFill>
          </w14:textFill>
        </w:rPr>
      </w:pPr>
      <w:r>
        <w:rPr>
          <w:rFonts w:hint="eastAsia" w:ascii="Times New Roman" w:hAnsi="Times New Roman" w:eastAsia="方正仿宋_GBK"/>
          <w:color w:val="000000" w:themeColor="text1"/>
          <w:kern w:val="0"/>
          <w:sz w:val="32"/>
          <w:szCs w:val="32"/>
          <w14:textFill>
            <w14:solidFill>
              <w14:schemeClr w14:val="tx1"/>
            </w14:solidFill>
          </w14:textFill>
        </w:rPr>
        <w:t>1．维护国家经济安全、文化安全、科技安全或者涉及国防建设的；</w:t>
      </w:r>
    </w:p>
    <w:p>
      <w:pPr>
        <w:pStyle w:val="10"/>
        <w:spacing w:line="574" w:lineRule="exact"/>
        <w:ind w:firstLine="640" w:firstLineChars="200"/>
        <w:contextualSpacing/>
        <w:rPr>
          <w:rFonts w:ascii="Times New Roman" w:hAnsi="Times New Roman" w:eastAsia="方正仿宋_GBK"/>
          <w:color w:val="000000" w:themeColor="text1"/>
          <w:kern w:val="0"/>
          <w:sz w:val="32"/>
          <w:szCs w:val="32"/>
          <w14:textFill>
            <w14:solidFill>
              <w14:schemeClr w14:val="tx1"/>
            </w14:solidFill>
          </w14:textFill>
        </w:rPr>
      </w:pPr>
      <w:r>
        <w:rPr>
          <w:rFonts w:hint="eastAsia" w:ascii="Times New Roman" w:hAnsi="Times New Roman" w:eastAsia="方正仿宋_GBK"/>
          <w:color w:val="000000" w:themeColor="text1"/>
          <w:kern w:val="0"/>
          <w:sz w:val="32"/>
          <w:szCs w:val="32"/>
          <w14:textFill>
            <w14:solidFill>
              <w14:schemeClr w14:val="tx1"/>
            </w14:solidFill>
          </w14:textFill>
        </w:rPr>
        <w:t>2．为实现扶贫开发、救灾救助等社会保障目的；</w:t>
      </w:r>
    </w:p>
    <w:p>
      <w:pPr>
        <w:pStyle w:val="10"/>
        <w:spacing w:line="574" w:lineRule="exact"/>
        <w:ind w:firstLine="640" w:firstLineChars="200"/>
        <w:contextualSpacing/>
        <w:rPr>
          <w:rFonts w:ascii="Times New Roman" w:hAnsi="Times New Roman" w:eastAsia="方正仿宋_GBK"/>
          <w:color w:val="000000" w:themeColor="text1"/>
          <w:kern w:val="0"/>
          <w:sz w:val="32"/>
          <w:szCs w:val="32"/>
          <w14:textFill>
            <w14:solidFill>
              <w14:schemeClr w14:val="tx1"/>
            </w14:solidFill>
          </w14:textFill>
        </w:rPr>
      </w:pPr>
      <w:r>
        <w:rPr>
          <w:rFonts w:hint="eastAsia" w:ascii="Times New Roman" w:hAnsi="Times New Roman" w:eastAsia="方正仿宋_GBK"/>
          <w:color w:val="000000" w:themeColor="text1"/>
          <w:kern w:val="0"/>
          <w:sz w:val="32"/>
          <w:szCs w:val="32"/>
          <w14:textFill>
            <w14:solidFill>
              <w14:schemeClr w14:val="tx1"/>
            </w14:solidFill>
          </w14:textFill>
        </w:rPr>
        <w:t>3．为实现节约能源资源、保护生态环境、维护公共卫生健康安全等社会公共利益的；</w:t>
      </w:r>
    </w:p>
    <w:p>
      <w:pPr>
        <w:pStyle w:val="10"/>
        <w:spacing w:line="574" w:lineRule="exact"/>
        <w:ind w:firstLine="640" w:firstLineChars="200"/>
        <w:contextualSpacing/>
        <w:rPr>
          <w:rFonts w:ascii="Times New Roman" w:hAnsi="Times New Roman" w:eastAsia="方正仿宋_GBK"/>
          <w:color w:val="000000" w:themeColor="text1"/>
          <w:kern w:val="0"/>
          <w:sz w:val="32"/>
          <w:szCs w:val="32"/>
          <w14:textFill>
            <w14:solidFill>
              <w14:schemeClr w14:val="tx1"/>
            </w14:solidFill>
          </w14:textFill>
        </w:rPr>
      </w:pPr>
      <w:r>
        <w:rPr>
          <w:rFonts w:hint="eastAsia" w:ascii="Times New Roman" w:hAnsi="Times New Roman" w:eastAsia="方正仿宋_GBK"/>
          <w:color w:val="000000" w:themeColor="text1"/>
          <w:kern w:val="0"/>
          <w:sz w:val="32"/>
          <w:szCs w:val="32"/>
          <w14:textFill>
            <w14:solidFill>
              <w14:schemeClr w14:val="tx1"/>
            </w14:solidFill>
          </w14:textFill>
        </w:rPr>
        <w:t>4．法律、行政法规规定的其他情形。</w:t>
      </w:r>
    </w:p>
    <w:p>
      <w:pPr>
        <w:pStyle w:val="10"/>
        <w:spacing w:line="574" w:lineRule="exact"/>
        <w:ind w:firstLine="640" w:firstLineChars="200"/>
        <w:contextualSpacing/>
        <w:rPr>
          <w:rFonts w:ascii="方正仿宋_GBK" w:eastAsia="方正仿宋_GBK"/>
          <w:sz w:val="32"/>
          <w:szCs w:val="32"/>
        </w:rPr>
      </w:pPr>
      <w:r>
        <w:rPr>
          <w:rFonts w:hint="eastAsia" w:ascii="Times New Roman" w:hAnsi="Times New Roman" w:eastAsia="方正仿宋_GBK"/>
          <w:color w:val="000000" w:themeColor="text1"/>
          <w:kern w:val="0"/>
          <w:sz w:val="32"/>
          <w:szCs w:val="32"/>
          <w14:textFill>
            <w14:solidFill>
              <w14:schemeClr w14:val="tx1"/>
            </w14:solidFill>
          </w14:textFill>
        </w:rPr>
        <w:t>起草科室（单位）</w:t>
      </w:r>
      <w:r>
        <w:rPr>
          <w:rFonts w:hint="eastAsia" w:ascii="方正仿宋_GBK" w:eastAsia="方正仿宋_GBK"/>
          <w:sz w:val="32"/>
          <w:szCs w:val="32"/>
        </w:rPr>
        <w:t>应当说明相关政策措施对实现政策目的不可或缺，且不会严重限制市场竞争，并明确实施期限。</w:t>
      </w:r>
    </w:p>
    <w:p>
      <w:pPr>
        <w:pStyle w:val="10"/>
        <w:spacing w:line="574" w:lineRule="exact"/>
        <w:ind w:firstLine="640" w:firstLineChars="200"/>
        <w:contextualSpacing/>
        <w:rPr>
          <w:rFonts w:ascii="方正仿宋_GBK" w:eastAsia="方正仿宋_GBK"/>
          <w:sz w:val="32"/>
          <w:szCs w:val="32"/>
        </w:rPr>
      </w:pPr>
      <w:r>
        <w:rPr>
          <w:rFonts w:hint="eastAsia" w:ascii="Times New Roman" w:hAnsi="Times New Roman" w:eastAsia="方正仿宋_GBK"/>
          <w:color w:val="000000" w:themeColor="text1"/>
          <w:kern w:val="0"/>
          <w:sz w:val="32"/>
          <w:szCs w:val="32"/>
          <w14:textFill>
            <w14:solidFill>
              <w14:schemeClr w14:val="tx1"/>
            </w14:solidFill>
          </w14:textFill>
        </w:rPr>
        <w:t>起草科室（单位）</w:t>
      </w:r>
      <w:r>
        <w:rPr>
          <w:rFonts w:hint="eastAsia" w:ascii="方正仿宋_GBK" w:eastAsia="方正仿宋_GBK"/>
          <w:sz w:val="32"/>
          <w:szCs w:val="32"/>
        </w:rPr>
        <w:t>应当在书面审查结论中说明政策措施是否适用例外规定。认为适用例外规定的，应当对符合适用例外规定的情形和条件进行详细说明。</w:t>
      </w:r>
    </w:p>
    <w:p>
      <w:pPr>
        <w:ind w:firstLine="640" w:firstLineChars="200"/>
        <w:rPr>
          <w:rFonts w:ascii="方正黑体_GBK" w:hAnsi="黑体" w:eastAsia="方正黑体_GBK" w:cs="黑体"/>
          <w:kern w:val="0"/>
          <w:sz w:val="32"/>
          <w:szCs w:val="32"/>
        </w:rPr>
      </w:pPr>
      <w:r>
        <w:rPr>
          <w:rFonts w:hint="eastAsia" w:ascii="Times New Roman" w:hAnsi="Times New Roman" w:eastAsia="方正仿宋_GBK" w:cs="Times New Roman"/>
          <w:color w:val="000000" w:themeColor="text1"/>
          <w:kern w:val="0"/>
          <w:sz w:val="32"/>
          <w:szCs w:val="32"/>
          <w14:textFill>
            <w14:solidFill>
              <w14:schemeClr w14:val="tx1"/>
            </w14:solidFill>
          </w14:textFill>
        </w:rPr>
        <w:t>起草科室（单位）</w:t>
      </w:r>
      <w:r>
        <w:rPr>
          <w:rFonts w:hint="eastAsia" w:ascii="方正仿宋_GBK" w:eastAsia="方正仿宋_GBK"/>
          <w:sz w:val="32"/>
          <w:szCs w:val="32"/>
        </w:rPr>
        <w:t>应当逐年评估适用例外规定的政策措施的实施效果，形成书面评估报告。实施期限到期或者未达到预期效果的政策措施，应当及时停止执行或者进行调整。</w:t>
      </w:r>
    </w:p>
    <w:p>
      <w:pPr>
        <w:ind w:firstLine="640" w:firstLineChars="200"/>
        <w:rPr>
          <w:rFonts w:ascii="方正黑体_GBK" w:hAnsi="黑体" w:eastAsia="方正黑体_GBK" w:cs="黑体"/>
          <w:kern w:val="0"/>
          <w:sz w:val="32"/>
          <w:szCs w:val="32"/>
        </w:rPr>
      </w:pPr>
      <w:r>
        <w:rPr>
          <w:rFonts w:hint="eastAsia" w:ascii="方正黑体_GBK" w:hAnsi="黑体" w:eastAsia="方正黑体_GBK" w:cs="黑体"/>
          <w:kern w:val="0"/>
          <w:sz w:val="32"/>
          <w:szCs w:val="32"/>
        </w:rPr>
        <w:t>九、工作要求</w:t>
      </w:r>
    </w:p>
    <w:p>
      <w:pPr>
        <w:widowControl/>
        <w:adjustRightInd w:val="0"/>
        <w:spacing w:line="550" w:lineRule="exact"/>
        <w:ind w:firstLine="640"/>
        <w:textAlignment w:val="baseline"/>
        <w:rPr>
          <w:rFonts w:ascii="方正仿宋_GBK" w:hAnsi="方正仿宋_GBK" w:eastAsia="方正仿宋_GBK" w:cs="方正仿宋_GBK"/>
          <w:sz w:val="32"/>
          <w:szCs w:val="32"/>
        </w:rPr>
      </w:pPr>
      <w:r>
        <w:rPr>
          <w:rFonts w:hint="eastAsia" w:ascii="方正楷体_GBK" w:hAnsi="方正仿宋_GBK" w:eastAsia="方正楷体_GBK" w:cs="方正仿宋_GBK"/>
          <w:bCs/>
          <w:kern w:val="0"/>
          <w:sz w:val="32"/>
          <w:szCs w:val="32"/>
        </w:rPr>
        <w:t>（一）深化思想认识。</w:t>
      </w:r>
      <w:r>
        <w:rPr>
          <w:rFonts w:hint="eastAsia" w:ascii="方正仿宋_GBK" w:hAnsi="方正仿宋_GBK" w:eastAsia="方正仿宋_GBK" w:cs="方正仿宋_GBK"/>
          <w:sz w:val="32"/>
          <w:szCs w:val="32"/>
        </w:rPr>
        <w:t>各科室（单位）要从深化“放管服”改革、优化营商环境、推动高质量发展的高度，充分认识落实公平竞争审查制度的重要意义，确保新出台涉及市场主体经济活动的政策措施全部通过公平竞争审查。</w:t>
      </w:r>
    </w:p>
    <w:p>
      <w:pPr>
        <w:pStyle w:val="2"/>
        <w:tabs>
          <w:tab w:val="left" w:pos="3060"/>
        </w:tabs>
        <w:autoSpaceDE w:val="0"/>
        <w:spacing w:line="574" w:lineRule="exact"/>
        <w:ind w:firstLine="640" w:firstLineChars="200"/>
        <w:rPr>
          <w:rFonts w:ascii="方正仿宋_GBK" w:eastAsia="方正仿宋_GBK"/>
          <w:kern w:val="0"/>
        </w:rPr>
      </w:pPr>
      <w:r>
        <w:rPr>
          <w:rFonts w:hint="eastAsia" w:ascii="方正楷体_GBK" w:hAnsi="方正仿宋_GBK" w:eastAsia="方正楷体_GBK" w:cs="方正仿宋_GBK"/>
          <w:bCs/>
          <w:kern w:val="0"/>
        </w:rPr>
        <w:t>（二）建立部门内部审查机制。</w:t>
      </w:r>
      <w:r>
        <w:rPr>
          <w:rFonts w:hint="eastAsia" w:ascii="方正仿宋_GBK" w:hAnsi="方正仿宋_GBK" w:eastAsia="方正仿宋_GBK" w:cs="方正仿宋_GBK"/>
        </w:rPr>
        <w:t>各科室（单位）</w:t>
      </w:r>
      <w:r>
        <w:rPr>
          <w:rFonts w:hint="eastAsia" w:ascii="方正仿宋_GBK" w:eastAsia="方正仿宋_GBK"/>
          <w:kern w:val="0"/>
        </w:rPr>
        <w:t>要把自我审查与外部监督结合起来，落实审查职责分工、审查人员配备等相关要求，切实保障自我审查的客观性、公正性和有效性。</w:t>
      </w:r>
    </w:p>
    <w:p>
      <w:pPr>
        <w:pStyle w:val="9"/>
        <w:spacing w:line="574" w:lineRule="exact"/>
        <w:ind w:firstLine="640"/>
        <w:rPr>
          <w:rFonts w:ascii="方正仿宋_GBK" w:hAnsi="方正仿宋_GBK" w:eastAsia="方正仿宋_GBK" w:cs="方正仿宋_GBK"/>
          <w:sz w:val="32"/>
          <w:szCs w:val="32"/>
        </w:rPr>
      </w:pPr>
      <w:r>
        <w:rPr>
          <w:rFonts w:hint="eastAsia" w:ascii="方正楷体_GBK" w:hAnsi="方正仿宋_GBK" w:eastAsia="方正楷体_GBK" w:cs="方正仿宋_GBK"/>
          <w:bCs/>
          <w:kern w:val="0"/>
          <w:sz w:val="32"/>
          <w:szCs w:val="32"/>
        </w:rPr>
        <w:t>（三）建立举报受理回应机制。</w:t>
      </w:r>
      <w:r>
        <w:rPr>
          <w:rFonts w:hint="eastAsia" w:ascii="方正仿宋_GBK" w:hAnsi="方正仿宋_GBK" w:eastAsia="方正仿宋_GBK" w:cs="方正仿宋_GBK"/>
          <w:sz w:val="32"/>
          <w:szCs w:val="32"/>
        </w:rPr>
        <w:t>积极落实公平竞争投诉举报处理工作要求，规范公平竞争审查举报处理，明确举报反映违反公平竞争审查标准出台政策措施问题的处理程序和回应机制，进一步提升制度权威和效能。对涉嫌违反公平竞争审查标准的政策措施，任何单位和个人有权举报，按照《公平竞争审查举报受理回应机制》及时予以处理；案件情况和处理建议要向社会公开。</w:t>
      </w:r>
    </w:p>
    <w:p>
      <w:pPr>
        <w:widowControl/>
        <w:adjustRightInd w:val="0"/>
        <w:spacing w:line="550" w:lineRule="exact"/>
        <w:ind w:firstLine="640"/>
        <w:textAlignment w:val="baseline"/>
        <w:rPr>
          <w:rFonts w:ascii="方正仿宋_GBK" w:hAnsi="方正仿宋_GBK" w:eastAsia="方正仿宋_GBK" w:cs="方正仿宋_GBK"/>
          <w:sz w:val="32"/>
          <w:szCs w:val="32"/>
        </w:rPr>
      </w:pPr>
      <w:r>
        <w:rPr>
          <w:rFonts w:hint="eastAsia" w:ascii="方正楷体_GBK" w:hAnsi="方正仿宋_GBK" w:eastAsia="方正楷体_GBK" w:cs="方正仿宋_GBK"/>
          <w:bCs/>
          <w:kern w:val="0"/>
          <w:sz w:val="32"/>
          <w:szCs w:val="32"/>
        </w:rPr>
        <w:t>（四）建立全局政策名录库。</w:t>
      </w:r>
      <w:r>
        <w:rPr>
          <w:rFonts w:hint="eastAsia" w:ascii="方正仿宋_GBK" w:hAnsi="方正仿宋_GBK" w:eastAsia="方正仿宋_GBK" w:cs="方正仿宋_GBK"/>
          <w:sz w:val="32"/>
          <w:szCs w:val="32"/>
        </w:rPr>
        <w:t>局办公室负责建立全局政策名录库。按照政策措施名称、文号、起草科室、印发时间、有效期、涉及行业领域、是否经过公平竞争审查、是否适用例外规定等情况，由局办公室建立统一规范的全局现行有效的政策名录库（见附件</w:t>
      </w:r>
      <w:r>
        <w:rPr>
          <w:rFonts w:hint="eastAsia" w:ascii="Times New Roman" w:hAnsi="Times New Roman" w:eastAsia="方正仿宋_GBK" w:cs="Times New Roman"/>
          <w:color w:val="000000" w:themeColor="text1"/>
          <w:kern w:val="0"/>
          <w:sz w:val="32"/>
          <w:szCs w:val="32"/>
          <w14:textFill>
            <w14:solidFill>
              <w14:schemeClr w14:val="tx1"/>
            </w14:solidFill>
          </w14:textFill>
        </w:rPr>
        <w:t>2）</w:t>
      </w:r>
      <w:r>
        <w:rPr>
          <w:rFonts w:hint="eastAsia" w:ascii="方正仿宋_GBK" w:hAnsi="方正仿宋_GBK" w:eastAsia="方正仿宋_GBK" w:cs="方正仿宋_GBK"/>
          <w:sz w:val="32"/>
          <w:szCs w:val="32"/>
        </w:rPr>
        <w:t>，并做好名录库的维护和动态调整。我局作为区管委会制定的规范性文件和其他政策措施实施部门或者牵头实施部门的，该规范性文件和其他政策措施纳入我局政策名录库。</w:t>
      </w:r>
    </w:p>
    <w:p>
      <w:pPr>
        <w:widowControl/>
        <w:adjustRightInd w:val="0"/>
        <w:spacing w:line="550" w:lineRule="exact"/>
        <w:ind w:firstLine="640"/>
        <w:textAlignment w:val="baseline"/>
        <w:rPr>
          <w:rFonts w:ascii="方正仿宋_GBK" w:hAnsi="Times New Roman" w:eastAsia="方正仿宋_GBK" w:cs="Times New Roman"/>
          <w:kern w:val="0"/>
          <w:sz w:val="32"/>
          <w:szCs w:val="32"/>
        </w:rPr>
      </w:pPr>
      <w:r>
        <w:rPr>
          <w:rFonts w:hint="eastAsia" w:ascii="方正楷体_GBK" w:hAnsi="方正仿宋_GBK" w:eastAsia="方正楷体_GBK" w:cs="方正仿宋_GBK"/>
          <w:bCs/>
          <w:kern w:val="0"/>
          <w:sz w:val="32"/>
          <w:szCs w:val="32"/>
        </w:rPr>
        <w:t>（五）强化定期评估清理。</w:t>
      </w:r>
      <w:r>
        <w:rPr>
          <w:rFonts w:hint="eastAsia" w:ascii="方正仿宋_GBK" w:hAnsi="Times New Roman" w:eastAsia="方正仿宋_GBK" w:cs="Times New Roman"/>
          <w:kern w:val="0"/>
          <w:sz w:val="32"/>
          <w:szCs w:val="32"/>
        </w:rPr>
        <w:t>对公平竞争审查制度实施后出台的政策文件，</w:t>
      </w:r>
      <w:r>
        <w:rPr>
          <w:rFonts w:hint="eastAsia" w:ascii="方正仿宋_GBK" w:hAnsi="方正仿宋_GBK" w:eastAsia="方正仿宋_GBK" w:cs="方正仿宋_GBK"/>
          <w:sz w:val="32"/>
          <w:szCs w:val="32"/>
        </w:rPr>
        <w:t>相关科室（单位）</w:t>
      </w:r>
      <w:r>
        <w:rPr>
          <w:rFonts w:hint="eastAsia" w:ascii="方正仿宋_GBK" w:hAnsi="Times New Roman" w:eastAsia="方正仿宋_GBK" w:cs="Times New Roman"/>
          <w:kern w:val="0"/>
          <w:sz w:val="32"/>
          <w:szCs w:val="32"/>
        </w:rPr>
        <w:t>应当就其是否存在影响</w:t>
      </w:r>
      <w:r>
        <w:rPr>
          <w:rFonts w:hint="eastAsia" w:ascii="Times New Roman" w:hAnsi="Times New Roman" w:eastAsia="方正仿宋_GBK" w:cs="Times New Roman"/>
          <w:color w:val="000000" w:themeColor="text1"/>
          <w:kern w:val="0"/>
          <w:sz w:val="32"/>
          <w:szCs w:val="32"/>
          <w14:textFill>
            <w14:solidFill>
              <w14:schemeClr w14:val="tx1"/>
            </w14:solidFill>
          </w14:textFill>
        </w:rPr>
        <w:t>统一市场和公平竞争的情况，适用例外规定的政策措施应逐年评估。经评估认为妨碍统一市场和公平竞争的，应当及时废止或者修改完善。相关科室（单位）每季度组织开展一次现行有效的涉及市场主体经济活动政策措施清理工作，填写《公平竞争审查文件清理目录》（详见附件3），向局公平竞争内部审查科室报送增量审查情况及存量清理。</w:t>
      </w:r>
    </w:p>
    <w:p>
      <w:pPr>
        <w:widowControl/>
        <w:adjustRightInd w:val="0"/>
        <w:spacing w:line="550" w:lineRule="exact"/>
        <w:ind w:firstLine="640"/>
        <w:textAlignment w:val="baseline"/>
        <w:rPr>
          <w:rFonts w:ascii="方正仿宋_GBK" w:hAnsi="方正仿宋_GBK" w:eastAsia="方正仿宋_GBK" w:cs="方正仿宋_GBK"/>
          <w:sz w:val="32"/>
          <w:szCs w:val="32"/>
        </w:rPr>
      </w:pPr>
      <w:r>
        <w:rPr>
          <w:rFonts w:hint="eastAsia" w:ascii="方正楷体_GBK" w:hAnsi="方正仿宋_GBK" w:eastAsia="方正楷体_GBK" w:cs="方正仿宋_GBK"/>
          <w:bCs/>
          <w:kern w:val="0"/>
          <w:sz w:val="32"/>
          <w:szCs w:val="32"/>
        </w:rPr>
        <w:t>（六）加强宣传培训。</w:t>
      </w:r>
      <w:r>
        <w:rPr>
          <w:rFonts w:hint="eastAsia" w:ascii="方正仿宋_GBK" w:hAnsi="方正仿宋_GBK" w:eastAsia="方正仿宋_GBK" w:cs="方正仿宋_GBK"/>
          <w:sz w:val="32"/>
          <w:szCs w:val="32"/>
        </w:rPr>
        <w:t>各科室（单位）要开展形式多样的公平竞争审查政策业务培训，不断提升公平竞争政策意识和审查业务水平。要切实加大宣传培训，加强政策解读和舆论引导，增进全社会对公平竞争审查制度的认识和理解，培育竞争文化，为公平竞争审查制度实施营造良好的舆论氛围和工作环境。</w:t>
      </w:r>
    </w:p>
    <w:p>
      <w:pPr>
        <w:pStyle w:val="2"/>
        <w:autoSpaceDE w:val="0"/>
        <w:spacing w:line="574" w:lineRule="exact"/>
        <w:ind w:firstLine="640" w:firstLineChars="200"/>
        <w:rPr>
          <w:rFonts w:eastAsia="方正仿宋_GBK"/>
          <w:color w:val="000000" w:themeColor="text1"/>
          <w:kern w:val="0"/>
          <w14:textFill>
            <w14:solidFill>
              <w14:schemeClr w14:val="tx1"/>
            </w14:solidFill>
          </w14:textFill>
        </w:rPr>
      </w:pPr>
      <w:r>
        <w:rPr>
          <w:rFonts w:hint="eastAsia" w:eastAsia="方正仿宋_GBK"/>
          <w:color w:val="000000" w:themeColor="text1"/>
          <w:kern w:val="0"/>
          <w14:textFill>
            <w14:solidFill>
              <w14:schemeClr w14:val="tx1"/>
            </w14:solidFill>
          </w14:textFill>
        </w:rPr>
        <w:t>本实施方案自发文之日起，与本实施方案不一致的，以本实施方案为准。</w:t>
      </w:r>
    </w:p>
    <w:p>
      <w:pPr>
        <w:spacing w:line="574" w:lineRule="exact"/>
        <w:ind w:firstLine="640" w:firstLineChars="200"/>
        <w:rPr>
          <w:rFonts w:ascii="Times New Roman" w:hAnsi="Times New Roman" w:eastAsia="方正仿宋_GBK" w:cs="Times New Roman"/>
          <w:color w:val="000000" w:themeColor="text1"/>
          <w:kern w:val="0"/>
          <w:sz w:val="32"/>
          <w:szCs w:val="32"/>
          <w14:textFill>
            <w14:solidFill>
              <w14:schemeClr w14:val="tx1"/>
            </w14:solidFill>
          </w14:textFill>
        </w:rPr>
      </w:pPr>
      <w:r>
        <w:rPr>
          <w:rFonts w:hint="eastAsia" w:ascii="Times New Roman" w:hAnsi="Times New Roman" w:eastAsia="方正仿宋_GBK" w:cs="Times New Roman"/>
          <w:color w:val="000000" w:themeColor="text1"/>
          <w:kern w:val="0"/>
          <w:sz w:val="32"/>
          <w:szCs w:val="32"/>
          <w14:textFill>
            <w14:solidFill>
              <w14:schemeClr w14:val="tx1"/>
            </w14:solidFill>
          </w14:textFill>
        </w:rPr>
        <w:t>联系人：交通局行政审批科，电话：48291750，邮箱：1664570809@qq.com</w:t>
      </w:r>
    </w:p>
    <w:p>
      <w:pPr>
        <w:widowControl/>
        <w:adjustRightInd w:val="0"/>
        <w:spacing w:line="550" w:lineRule="exact"/>
        <w:ind w:firstLine="640"/>
        <w:textAlignment w:val="baseline"/>
        <w:rPr>
          <w:rFonts w:ascii="方正仿宋_GBK" w:hAnsi="方正仿宋_GBK" w:eastAsia="方正仿宋_GBK" w:cs="方正仿宋_GBK"/>
          <w:sz w:val="32"/>
          <w:szCs w:val="32"/>
        </w:rPr>
      </w:pPr>
    </w:p>
    <w:p>
      <w:pPr>
        <w:adjustRightInd w:val="0"/>
        <w:spacing w:line="574" w:lineRule="exact"/>
        <w:ind w:firstLine="640" w:firstLineChars="200"/>
        <w:textAlignment w:val="baseline"/>
        <w:rPr>
          <w:rFonts w:ascii="方正仿宋_GBK" w:hAnsi="Times New Roman" w:eastAsia="方正仿宋_GBK" w:cs="Times New Roman"/>
          <w:kern w:val="0"/>
          <w:sz w:val="32"/>
          <w:szCs w:val="32"/>
        </w:rPr>
      </w:pPr>
    </w:p>
    <w:p>
      <w:pPr>
        <w:spacing w:line="574" w:lineRule="exact"/>
        <w:ind w:firstLine="640" w:firstLineChars="200"/>
        <w:rPr>
          <w:rFonts w:ascii="Times New Roman" w:hAnsi="Times New Roman" w:eastAsia="方正仿宋_GBK" w:cs="Times New Roman"/>
          <w:color w:val="000000" w:themeColor="text1"/>
          <w:kern w:val="0"/>
          <w:sz w:val="32"/>
          <w:szCs w:val="32"/>
          <w14:textFill>
            <w14:solidFill>
              <w14:schemeClr w14:val="tx1"/>
            </w14:solidFill>
          </w14:textFill>
        </w:rPr>
      </w:pPr>
      <w:r>
        <w:rPr>
          <w:rFonts w:hint="eastAsia" w:ascii="方正仿宋_GBK" w:hAnsi="Times New Roman" w:eastAsia="方正仿宋_GBK" w:cs="Times New Roman"/>
          <w:kern w:val="0"/>
          <w:sz w:val="32"/>
          <w:szCs w:val="32"/>
        </w:rPr>
        <w:t>附件：</w:t>
      </w:r>
      <w:r>
        <w:rPr>
          <w:rFonts w:hint="eastAsia" w:ascii="Times New Roman" w:hAnsi="Times New Roman" w:eastAsia="方正仿宋_GBK" w:cs="Times New Roman"/>
          <w:color w:val="000000" w:themeColor="text1"/>
          <w:kern w:val="0"/>
          <w:sz w:val="32"/>
          <w:szCs w:val="32"/>
          <w14:textFill>
            <w14:solidFill>
              <w14:schemeClr w14:val="tx1"/>
            </w14:solidFill>
          </w14:textFill>
        </w:rPr>
        <w:t>1.公平竞争审查表</w:t>
      </w:r>
    </w:p>
    <w:p>
      <w:pPr>
        <w:spacing w:line="574" w:lineRule="exact"/>
        <w:ind w:firstLine="640" w:firstLineChars="200"/>
        <w:rPr>
          <w:rFonts w:ascii="Times New Roman" w:hAnsi="Times New Roman" w:eastAsia="方正仿宋_GBK" w:cs="Times New Roman"/>
          <w:color w:val="000000" w:themeColor="text1"/>
          <w:kern w:val="0"/>
          <w:sz w:val="32"/>
          <w:szCs w:val="32"/>
          <w14:textFill>
            <w14:solidFill>
              <w14:schemeClr w14:val="tx1"/>
            </w14:solidFill>
          </w14:textFill>
        </w:rPr>
      </w:pPr>
      <w:r>
        <w:rPr>
          <w:rFonts w:hint="eastAsia" w:ascii="Times New Roman" w:hAnsi="Times New Roman" w:eastAsia="方正仿宋_GBK" w:cs="Times New Roman"/>
          <w:color w:val="000000" w:themeColor="text1"/>
          <w:kern w:val="0"/>
          <w:sz w:val="32"/>
          <w:szCs w:val="32"/>
          <w14:textFill>
            <w14:solidFill>
              <w14:schemeClr w14:val="tx1"/>
            </w14:solidFill>
          </w14:textFill>
        </w:rPr>
        <w:t xml:space="preserve">      2.政策名录库</w:t>
      </w:r>
    </w:p>
    <w:p>
      <w:pPr>
        <w:spacing w:line="574" w:lineRule="exact"/>
        <w:ind w:firstLine="1600" w:firstLineChars="500"/>
        <w:rPr>
          <w:rFonts w:ascii="Times New Roman" w:hAnsi="Times New Roman" w:eastAsia="方正仿宋_GBK" w:cs="Times New Roman"/>
          <w:color w:val="000000" w:themeColor="text1"/>
          <w:kern w:val="0"/>
          <w:sz w:val="32"/>
          <w:szCs w:val="32"/>
          <w14:textFill>
            <w14:solidFill>
              <w14:schemeClr w14:val="tx1"/>
            </w14:solidFill>
          </w14:textFill>
        </w:rPr>
      </w:pPr>
      <w:r>
        <w:rPr>
          <w:rFonts w:hint="eastAsia" w:ascii="Times New Roman" w:hAnsi="Times New Roman" w:eastAsia="方正仿宋_GBK" w:cs="Times New Roman"/>
          <w:color w:val="000000" w:themeColor="text1"/>
          <w:kern w:val="0"/>
          <w:sz w:val="32"/>
          <w:szCs w:val="32"/>
          <w14:textFill>
            <w14:solidFill>
              <w14:schemeClr w14:val="tx1"/>
            </w14:solidFill>
          </w14:textFill>
        </w:rPr>
        <w:t>3.公平竞争审查文件清理目录</w:t>
      </w:r>
    </w:p>
    <w:p>
      <w:pPr>
        <w:widowControl/>
        <w:adjustRightInd w:val="0"/>
        <w:spacing w:line="550" w:lineRule="exact"/>
        <w:ind w:firstLine="640"/>
        <w:textAlignment w:val="baseline"/>
        <w:rPr>
          <w:rFonts w:ascii="方正仿宋_GBK" w:hAnsi="方正仿宋_GBK" w:eastAsia="方正仿宋_GBK" w:cs="方正仿宋_GBK"/>
          <w:sz w:val="32"/>
          <w:szCs w:val="32"/>
        </w:rPr>
      </w:pPr>
    </w:p>
    <w:p>
      <w:pPr>
        <w:widowControl/>
        <w:adjustRightInd w:val="0"/>
        <w:spacing w:line="550" w:lineRule="exact"/>
        <w:ind w:firstLine="640"/>
        <w:textAlignment w:val="baseline"/>
        <w:rPr>
          <w:rFonts w:ascii="方正仿宋_GBK" w:hAnsi="方正仿宋_GBK" w:eastAsia="方正仿宋_GBK" w:cs="方正仿宋_GBK"/>
          <w:sz w:val="32"/>
          <w:szCs w:val="32"/>
        </w:rPr>
      </w:pPr>
    </w:p>
    <w:p>
      <w:pPr>
        <w:widowControl/>
        <w:adjustRightInd w:val="0"/>
        <w:spacing w:line="550" w:lineRule="exact"/>
        <w:ind w:firstLine="640"/>
        <w:textAlignment w:val="baseline"/>
        <w:rPr>
          <w:rFonts w:ascii="方正仿宋_GBK" w:hAnsi="方正仿宋_GBK" w:eastAsia="方正仿宋_GBK" w:cs="方正仿宋_GBK"/>
          <w:sz w:val="32"/>
          <w:szCs w:val="32"/>
        </w:rPr>
      </w:pPr>
    </w:p>
    <w:p>
      <w:pPr>
        <w:widowControl/>
        <w:adjustRightInd w:val="0"/>
        <w:spacing w:line="550" w:lineRule="exact"/>
        <w:ind w:firstLine="640"/>
        <w:textAlignment w:val="baseline"/>
        <w:rPr>
          <w:rFonts w:ascii="方正仿宋_GBK" w:hAnsi="方正仿宋_GBK" w:eastAsia="方正仿宋_GBK" w:cs="方正仿宋_GBK"/>
          <w:sz w:val="32"/>
          <w:szCs w:val="32"/>
        </w:rPr>
      </w:pPr>
    </w:p>
    <w:p>
      <w:pPr>
        <w:widowControl/>
        <w:adjustRightInd w:val="0"/>
        <w:spacing w:line="550" w:lineRule="exact"/>
        <w:ind w:firstLine="640"/>
        <w:textAlignment w:val="baseline"/>
        <w:rPr>
          <w:rFonts w:ascii="方正仿宋_GBK" w:hAnsi="方正仿宋_GBK" w:eastAsia="方正仿宋_GBK" w:cs="方正仿宋_GBK"/>
          <w:sz w:val="32"/>
          <w:szCs w:val="32"/>
        </w:rPr>
      </w:pPr>
    </w:p>
    <w:p>
      <w:pPr>
        <w:widowControl/>
        <w:spacing w:line="440" w:lineRule="exact"/>
        <w:rPr>
          <w:rFonts w:ascii="方正黑体_GBK" w:hAnsi="Times New Roman" w:eastAsia="方正黑体_GBK" w:cs="Times New Roman"/>
          <w:kern w:val="0"/>
          <w:sz w:val="32"/>
          <w:szCs w:val="32"/>
        </w:rPr>
      </w:pPr>
    </w:p>
    <w:p>
      <w:pPr>
        <w:widowControl/>
        <w:spacing w:line="440" w:lineRule="exact"/>
        <w:rPr>
          <w:rFonts w:ascii="方正黑体_GBK" w:hAnsi="Times New Roman" w:eastAsia="方正黑体_GBK" w:cs="Times New Roman"/>
          <w:kern w:val="0"/>
          <w:sz w:val="32"/>
          <w:szCs w:val="32"/>
        </w:rPr>
      </w:pPr>
    </w:p>
    <w:p>
      <w:pPr>
        <w:widowControl/>
        <w:spacing w:line="440" w:lineRule="exact"/>
        <w:rPr>
          <w:rFonts w:ascii="方正黑体_GBK" w:hAnsi="Times New Roman" w:eastAsia="方正黑体_GBK" w:cs="Times New Roman"/>
          <w:kern w:val="0"/>
          <w:sz w:val="32"/>
          <w:szCs w:val="32"/>
        </w:rPr>
      </w:pPr>
    </w:p>
    <w:p>
      <w:pPr>
        <w:widowControl/>
        <w:spacing w:line="440" w:lineRule="exact"/>
        <w:rPr>
          <w:rFonts w:ascii="方正黑体_GBK" w:hAnsi="Times New Roman" w:eastAsia="方正黑体_GBK" w:cs="Times New Roman"/>
          <w:kern w:val="0"/>
          <w:sz w:val="32"/>
          <w:szCs w:val="32"/>
        </w:rPr>
      </w:pPr>
      <w:r>
        <w:rPr>
          <w:rFonts w:hint="eastAsia" w:ascii="方正黑体_GBK" w:hAnsi="Times New Roman" w:eastAsia="方正黑体_GBK" w:cs="Times New Roman"/>
          <w:kern w:val="0"/>
          <w:sz w:val="32"/>
          <w:szCs w:val="32"/>
        </w:rPr>
        <w:t>附件1</w:t>
      </w:r>
    </w:p>
    <w:p>
      <w:pPr>
        <w:spacing w:line="52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 xml:space="preserve"> 公平竞争审查表</w:t>
      </w:r>
    </w:p>
    <w:p>
      <w:pPr>
        <w:ind w:right="600"/>
        <w:jc w:val="right"/>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   年  月  日</w:t>
      </w:r>
    </w:p>
    <w:tbl>
      <w:tblPr>
        <w:tblStyle w:val="5"/>
        <w:tblW w:w="878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47"/>
        <w:gridCol w:w="1725"/>
        <w:gridCol w:w="58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8" w:hRule="atLeast"/>
        </w:trPr>
        <w:tc>
          <w:tcPr>
            <w:tcW w:w="1247" w:type="dxa"/>
            <w:vAlign w:val="center"/>
          </w:tcPr>
          <w:p>
            <w:pPr>
              <w:snapToGrid w:val="0"/>
              <w:jc w:val="center"/>
              <w:rPr>
                <w:rFonts w:ascii="方正仿宋_GBK" w:hAnsi="方正仿宋_GBK" w:cs="方正仿宋_GBK"/>
                <w:sz w:val="24"/>
              </w:rPr>
            </w:pPr>
            <w:r>
              <w:rPr>
                <w:rFonts w:hint="eastAsia" w:ascii="方正仿宋_GBK" w:hAnsi="方正仿宋_GBK" w:cs="方正仿宋_GBK"/>
                <w:sz w:val="24"/>
              </w:rPr>
              <w:t>科室名称</w:t>
            </w:r>
          </w:p>
        </w:tc>
        <w:tc>
          <w:tcPr>
            <w:tcW w:w="7537" w:type="dxa"/>
            <w:gridSpan w:val="2"/>
          </w:tcPr>
          <w:p>
            <w:pPr>
              <w:rPr>
                <w:rFonts w:ascii="方正仿宋_GBK" w:hAnsi="方正仿宋_GBK" w:eastAsia="方正仿宋_GBK" w:cs="方正仿宋_GBK"/>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8" w:hRule="atLeast"/>
        </w:trPr>
        <w:tc>
          <w:tcPr>
            <w:tcW w:w="1247" w:type="dxa"/>
            <w:vAlign w:val="center"/>
          </w:tcPr>
          <w:p>
            <w:pPr>
              <w:snapToGrid w:val="0"/>
              <w:jc w:val="center"/>
              <w:rPr>
                <w:rFonts w:ascii="方正仿宋_GBK" w:hAnsi="方正仿宋_GBK" w:cs="方正仿宋_GBK"/>
                <w:sz w:val="24"/>
              </w:rPr>
            </w:pPr>
            <w:r>
              <w:rPr>
                <w:rFonts w:hint="eastAsia" w:ascii="方正仿宋_GBK" w:hAnsi="方正仿宋_GBK" w:cs="方正仿宋_GBK"/>
                <w:sz w:val="24"/>
              </w:rPr>
              <w:t>政</w:t>
            </w:r>
            <w:r>
              <w:rPr>
                <w:rFonts w:hint="eastAsia" w:ascii="方正仿宋_GBK" w:hAnsi="方正仿宋_GBK" w:cs="方正仿宋_GBK"/>
                <w:color w:val="000000"/>
                <w:sz w:val="24"/>
              </w:rPr>
              <w:t>策</w:t>
            </w:r>
            <w:r>
              <w:rPr>
                <w:rFonts w:hint="eastAsia" w:ascii="方正仿宋_GBK" w:hAnsi="方正仿宋_GBK" w:cs="方正仿宋_GBK"/>
                <w:sz w:val="24"/>
              </w:rPr>
              <w:t>措施名称</w:t>
            </w:r>
          </w:p>
        </w:tc>
        <w:tc>
          <w:tcPr>
            <w:tcW w:w="7537" w:type="dxa"/>
            <w:gridSpan w:val="2"/>
          </w:tcPr>
          <w:p>
            <w:pPr>
              <w:rPr>
                <w:rFonts w:ascii="方正仿宋_GBK" w:hAnsi="方正仿宋_GBK" w:eastAsia="方正仿宋_GBK" w:cs="方正仿宋_GBK"/>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2" w:hRule="atLeast"/>
        </w:trPr>
        <w:tc>
          <w:tcPr>
            <w:tcW w:w="1247" w:type="dxa"/>
            <w:vAlign w:val="center"/>
          </w:tcPr>
          <w:p>
            <w:pPr>
              <w:jc w:val="center"/>
              <w:rPr>
                <w:rFonts w:ascii="方正仿宋_GBK" w:hAnsi="方正仿宋_GBK" w:cs="方正仿宋_GBK"/>
                <w:sz w:val="24"/>
              </w:rPr>
            </w:pPr>
            <w:r>
              <w:rPr>
                <w:rFonts w:hint="eastAsia" w:ascii="方正仿宋_GBK" w:hAnsi="方正仿宋_GBK" w:cs="方正仿宋_GBK"/>
                <w:sz w:val="24"/>
              </w:rPr>
              <w:t>涉及行业领域</w:t>
            </w:r>
          </w:p>
        </w:tc>
        <w:tc>
          <w:tcPr>
            <w:tcW w:w="7537" w:type="dxa"/>
            <w:gridSpan w:val="2"/>
          </w:tcPr>
          <w:p>
            <w:pPr>
              <w:rPr>
                <w:rFonts w:ascii="方正仿宋_GBK" w:hAnsi="方正仿宋_GBK" w:cs="方正仿宋_GBK"/>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46" w:hRule="atLeast"/>
        </w:trPr>
        <w:tc>
          <w:tcPr>
            <w:tcW w:w="1247" w:type="dxa"/>
            <w:vAlign w:val="center"/>
          </w:tcPr>
          <w:p>
            <w:pPr>
              <w:jc w:val="center"/>
              <w:rPr>
                <w:rFonts w:ascii="方正仿宋_GBK" w:hAnsi="方正仿宋_GBK" w:cs="方正仿宋_GBK"/>
                <w:sz w:val="24"/>
              </w:rPr>
            </w:pPr>
            <w:r>
              <w:rPr>
                <w:rFonts w:hint="eastAsia" w:ascii="方正仿宋_GBK" w:hAnsi="方正仿宋_GBK" w:cs="方正仿宋_GBK"/>
                <w:sz w:val="24"/>
              </w:rPr>
              <w:t>政策措施类型</w:t>
            </w:r>
          </w:p>
        </w:tc>
        <w:tc>
          <w:tcPr>
            <w:tcW w:w="7537" w:type="dxa"/>
            <w:gridSpan w:val="2"/>
          </w:tcPr>
          <w:p>
            <w:pPr>
              <w:widowControl/>
              <w:adjustRightInd w:val="0"/>
              <w:spacing w:line="360" w:lineRule="exact"/>
              <w:textAlignment w:val="baseline"/>
              <w:rPr>
                <w:rFonts w:ascii="方正仿宋_GBK" w:hAnsi="方正仿宋_GBK" w:eastAsia="方正仿宋_GBK" w:cs="方正仿宋_GBK"/>
                <w:sz w:val="24"/>
              </w:rPr>
            </w:pPr>
            <w:r>
              <w:rPr>
                <w:rFonts w:hint="eastAsia" w:ascii="方正仿宋_GBK" w:hAnsi="方正仿宋_GBK" w:eastAsia="方正仿宋_GBK" w:cs="方正仿宋_GBK"/>
                <w:sz w:val="24"/>
              </w:rPr>
              <mc:AlternateContent>
                <mc:Choice Requires="wps">
                  <w:drawing>
                    <wp:anchor distT="0" distB="0" distL="114300" distR="114300" simplePos="0" relativeHeight="251659264" behindDoc="0" locked="0" layoutInCell="1" allowOverlap="1">
                      <wp:simplePos x="0" y="0"/>
                      <wp:positionH relativeFrom="column">
                        <wp:posOffset>2846070</wp:posOffset>
                      </wp:positionH>
                      <wp:positionV relativeFrom="paragraph">
                        <wp:posOffset>33020</wp:posOffset>
                      </wp:positionV>
                      <wp:extent cx="180975" cy="171450"/>
                      <wp:effectExtent l="4445" t="4445" r="5080" b="14605"/>
                      <wp:wrapNone/>
                      <wp:docPr id="35" name="流程图: 过程 35"/>
                      <wp:cNvGraphicFramePr/>
                      <a:graphic xmlns:a="http://schemas.openxmlformats.org/drawingml/2006/main">
                        <a:graphicData uri="http://schemas.microsoft.com/office/word/2010/wordprocessingShape">
                          <wps:wsp>
                            <wps:cNvSpPr/>
                            <wps:spPr>
                              <a:xfrm>
                                <a:off x="0" y="0"/>
                                <a:ext cx="180975" cy="171450"/>
                              </a:xfrm>
                              <a:prstGeom prst="flowChartProcess">
                                <a:avLst/>
                              </a:prstGeom>
                              <a:solidFill>
                                <a:srgbClr val="FFFFFF"/>
                              </a:solidFill>
                              <a:ln w="9525" cap="flat" cmpd="sng">
                                <a:solidFill>
                                  <a:srgbClr val="000000"/>
                                </a:solidFill>
                                <a:prstDash val="solid"/>
                                <a:miter/>
                                <a:headEnd type="none" w="med" len="med"/>
                                <a:tailEnd type="none" w="med" len="med"/>
                              </a:ln>
                              <a:effectLst/>
                            </wps:spPr>
                            <wps:bodyPr upright="1"/>
                          </wps:wsp>
                        </a:graphicData>
                      </a:graphic>
                    </wp:anchor>
                  </w:drawing>
                </mc:Choice>
                <mc:Fallback>
                  <w:pict>
                    <v:shape id="_x0000_s1026" o:spid="_x0000_s1026" o:spt="109" type="#_x0000_t109" style="position:absolute;left:0pt;margin-left:224.1pt;margin-top:2.6pt;height:13.5pt;width:14.25pt;z-index:251659264;mso-width-relative:page;mso-height-relative:page;" fillcolor="#FFFFFF" filled="t" stroked="t" coordsize="21600,21600" o:gfxdata="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LRkbJHZAAAACAEA&#10;AA8AAAAAAAAAAQAgAAAAIgAAAGRycy9kb3ducmV2LnhtbFBLAQIUABQAAAAIAIdO4kAtxuNTGQIA&#10;AEQEAAAOAAAAAAAAAAEAIAAAACgBAABkcnMvZTJvRG9jLnhtbFBLBQYAAAAABgAGAFkBAACzBQAA&#10;AAA=&#10;">
                      <v:fill on="t" focussize="0,0"/>
                      <v:stroke color="#000000" joinstyle="miter"/>
                      <v:imagedata o:title=""/>
                      <o:lock v:ext="edit" aspectratio="f"/>
                    </v:shape>
                  </w:pict>
                </mc:Fallback>
              </mc:AlternateContent>
            </w:r>
            <w:r>
              <w:rPr>
                <w:rFonts w:hint="eastAsia" w:ascii="方正仿宋_GBK" w:hAnsi="方正仿宋_GBK" w:eastAsia="方正仿宋_GBK" w:cs="方正仿宋_GBK"/>
                <w:sz w:val="24"/>
              </w:rPr>
              <w:t>万盛经开区交通局名义印发的规范性文件</w:t>
            </w:r>
          </w:p>
          <w:p>
            <w:pPr>
              <w:widowControl/>
              <w:adjustRightInd w:val="0"/>
              <w:spacing w:line="360" w:lineRule="exact"/>
              <w:ind w:firstLine="641"/>
              <w:textAlignment w:val="baseline"/>
              <w:rPr>
                <w:rFonts w:ascii="方正仿宋_GBK" w:hAnsi="方正仿宋_GBK" w:eastAsia="方正仿宋_GBK" w:cs="方正仿宋_GBK"/>
                <w:sz w:val="24"/>
              </w:rPr>
            </w:pPr>
          </w:p>
          <w:p>
            <w:pPr>
              <w:widowControl/>
              <w:adjustRightInd w:val="0"/>
              <w:spacing w:line="360" w:lineRule="exact"/>
              <w:textAlignment w:val="baseline"/>
              <w:rPr>
                <w:rFonts w:ascii="方正仿宋_GBK" w:hAnsi="方正仿宋_GBK" w:eastAsia="方正仿宋_GBK" w:cs="方正仿宋_GBK"/>
                <w:sz w:val="24"/>
              </w:rPr>
            </w:pPr>
            <w:r>
              <w:rPr>
                <w:rFonts w:hint="eastAsia" w:ascii="方正仿宋_GBK" w:hAnsi="方正仿宋_GBK" w:eastAsia="方正仿宋_GBK" w:cs="方正仿宋_GBK"/>
                <w:sz w:val="24"/>
              </w:rPr>
              <mc:AlternateContent>
                <mc:Choice Requires="wps">
                  <w:drawing>
                    <wp:anchor distT="0" distB="0" distL="114300" distR="114300" simplePos="0" relativeHeight="251664384" behindDoc="0" locked="0" layoutInCell="1" allowOverlap="1">
                      <wp:simplePos x="0" y="0"/>
                      <wp:positionH relativeFrom="column">
                        <wp:posOffset>1139825</wp:posOffset>
                      </wp:positionH>
                      <wp:positionV relativeFrom="paragraph">
                        <wp:posOffset>66040</wp:posOffset>
                      </wp:positionV>
                      <wp:extent cx="180975" cy="171450"/>
                      <wp:effectExtent l="4445" t="4445" r="5080" b="14605"/>
                      <wp:wrapNone/>
                      <wp:docPr id="41" name="流程图: 过程 41"/>
                      <wp:cNvGraphicFramePr/>
                      <a:graphic xmlns:a="http://schemas.openxmlformats.org/drawingml/2006/main">
                        <a:graphicData uri="http://schemas.microsoft.com/office/word/2010/wordprocessingShape">
                          <wps:wsp>
                            <wps:cNvSpPr/>
                            <wps:spPr>
                              <a:xfrm>
                                <a:off x="0" y="0"/>
                                <a:ext cx="180975" cy="171450"/>
                              </a:xfrm>
                              <a:prstGeom prst="flowChartProcess">
                                <a:avLst/>
                              </a:prstGeom>
                              <a:solidFill>
                                <a:srgbClr val="FFFFFF"/>
                              </a:solidFill>
                              <a:ln w="9525" cap="flat" cmpd="sng">
                                <a:solidFill>
                                  <a:srgbClr val="000000"/>
                                </a:solidFill>
                                <a:prstDash val="solid"/>
                                <a:miter/>
                                <a:headEnd type="none" w="med" len="med"/>
                                <a:tailEnd type="none" w="med" len="med"/>
                              </a:ln>
                              <a:effectLst/>
                            </wps:spPr>
                            <wps:bodyPr upright="1"/>
                          </wps:wsp>
                        </a:graphicData>
                      </a:graphic>
                    </wp:anchor>
                  </w:drawing>
                </mc:Choice>
                <mc:Fallback>
                  <w:pict>
                    <v:shape id="_x0000_s1026" o:spid="_x0000_s1026" o:spt="109" type="#_x0000_t109" style="position:absolute;left:0pt;margin-left:89.75pt;margin-top:5.2pt;height:13.5pt;width:14.25pt;z-index:251664384;mso-width-relative:page;mso-height-relative:page;" fillcolor="#FFFFFF" filled="t" stroked="t" coordsize="21600,21600" o:gfxdata="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Pf6w1TZAAAACQEA&#10;AA8AAAAAAAAAAQAgAAAAIgAAAGRycy9kb3ducmV2LnhtbFBLAQIUABQAAAAIAIdO4kC3UPzpGQIA&#10;AEQEAAAOAAAAAAAAAAEAIAAAACgBAABkcnMvZTJvRG9jLnhtbFBLBQYAAAAABgAGAFkBAACzBQAA&#10;AAA=&#10;">
                      <v:fill on="t" focussize="0,0"/>
                      <v:stroke color="#000000" joinstyle="miter"/>
                      <v:imagedata o:title=""/>
                      <o:lock v:ext="edit" aspectratio="f"/>
                    </v:shape>
                  </w:pict>
                </mc:Fallback>
              </mc:AlternateContent>
            </w:r>
            <w:r>
              <w:rPr>
                <w:rFonts w:hint="eastAsia" w:ascii="方正仿宋_GBK" w:hAnsi="方正仿宋_GBK" w:eastAsia="方正仿宋_GBK" w:cs="方正仿宋_GBK"/>
                <w:sz w:val="24"/>
              </w:rPr>
              <mc:AlternateContent>
                <mc:Choice Requires="wps">
                  <w:drawing>
                    <wp:anchor distT="0" distB="0" distL="114300" distR="114300" simplePos="0" relativeHeight="251665408" behindDoc="0" locked="0" layoutInCell="1" allowOverlap="1">
                      <wp:simplePos x="0" y="0"/>
                      <wp:positionH relativeFrom="column">
                        <wp:posOffset>4000500</wp:posOffset>
                      </wp:positionH>
                      <wp:positionV relativeFrom="paragraph">
                        <wp:posOffset>60325</wp:posOffset>
                      </wp:positionV>
                      <wp:extent cx="180975" cy="171450"/>
                      <wp:effectExtent l="4445" t="4445" r="5080" b="14605"/>
                      <wp:wrapNone/>
                      <wp:docPr id="42" name="流程图: 过程 42"/>
                      <wp:cNvGraphicFramePr/>
                      <a:graphic xmlns:a="http://schemas.openxmlformats.org/drawingml/2006/main">
                        <a:graphicData uri="http://schemas.microsoft.com/office/word/2010/wordprocessingShape">
                          <wps:wsp>
                            <wps:cNvSpPr/>
                            <wps:spPr>
                              <a:xfrm>
                                <a:off x="0" y="0"/>
                                <a:ext cx="180975" cy="171450"/>
                              </a:xfrm>
                              <a:prstGeom prst="flowChartProcess">
                                <a:avLst/>
                              </a:prstGeom>
                              <a:solidFill>
                                <a:srgbClr val="FFFFFF"/>
                              </a:solidFill>
                              <a:ln w="9525" cap="flat" cmpd="sng">
                                <a:solidFill>
                                  <a:srgbClr val="000000"/>
                                </a:solidFill>
                                <a:prstDash val="solid"/>
                                <a:miter/>
                                <a:headEnd type="none" w="med" len="med"/>
                                <a:tailEnd type="none" w="med" len="med"/>
                              </a:ln>
                              <a:effectLst/>
                            </wps:spPr>
                            <wps:bodyPr upright="1"/>
                          </wps:wsp>
                        </a:graphicData>
                      </a:graphic>
                    </wp:anchor>
                  </w:drawing>
                </mc:Choice>
                <mc:Fallback>
                  <w:pict>
                    <v:shape id="_x0000_s1026" o:spid="_x0000_s1026" o:spt="109" type="#_x0000_t109" style="position:absolute;left:0pt;margin-left:315pt;margin-top:4.75pt;height:13.5pt;width:14.25pt;z-index:251665408;mso-width-relative:page;mso-height-relative:page;" fillcolor="#FFFFFF" filled="t" stroked="t" coordsize="21600,21600" o:gfxdata="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lbK7N9gAAAAIAQAA&#10;DwAAAAAAAAABACAAAAAiAAAAZHJzL2Rvd25yZXYueG1sUEsBAhQAFAAAAAgAh07iQAueWX8ZAgAA&#10;RAQAAA4AAAAAAAAAAQAgAAAAJwEAAGRycy9lMm9Eb2MueG1sUEsFBgAAAAAGAAYAWQEAALIFAAAA&#10;AA==&#10;">
                      <v:fill on="t" focussize="0,0"/>
                      <v:stroke color="#000000" joinstyle="miter"/>
                      <v:imagedata o:title=""/>
                      <o:lock v:ext="edit" aspectratio="f"/>
                    </v:shape>
                  </w:pict>
                </mc:Fallback>
              </mc:AlternateContent>
            </w:r>
            <w:r>
              <w:rPr>
                <w:rFonts w:hint="eastAsia" w:ascii="方正仿宋_GBK" w:hAnsi="方正仿宋_GBK" w:eastAsia="方正仿宋_GBK" w:cs="方正仿宋_GBK"/>
                <w:sz w:val="24"/>
              </w:rPr>
              <w:t>其他政策性措施        “一事一议”形式的具体政策措施</w:t>
            </w:r>
          </w:p>
          <w:p>
            <w:pPr>
              <w:widowControl/>
              <w:adjustRightInd w:val="0"/>
              <w:spacing w:line="360" w:lineRule="exact"/>
              <w:ind w:firstLine="641"/>
              <w:textAlignment w:val="baseline"/>
              <w:rPr>
                <w:rFonts w:ascii="方正仿宋_GBK" w:hAnsi="方正仿宋_GBK" w:eastAsia="方正仿宋_GBK" w:cs="方正仿宋_GBK"/>
                <w:sz w:val="24"/>
              </w:rPr>
            </w:pPr>
          </w:p>
          <w:p>
            <w:pPr>
              <w:widowControl/>
              <w:adjustRightInd w:val="0"/>
              <w:spacing w:line="360" w:lineRule="exact"/>
              <w:textAlignment w:val="baseline"/>
              <w:rPr>
                <w:rFonts w:ascii="方正仿宋_GBK" w:hAnsi="方正仿宋_GBK" w:cs="方正仿宋_GBK"/>
                <w:sz w:val="24"/>
              </w:rPr>
            </w:pPr>
            <w:r>
              <w:rPr>
                <w:rFonts w:hint="eastAsia" w:ascii="方正仿宋_GBK" w:hAnsi="方正仿宋_GBK" w:eastAsia="方正仿宋_GBK" w:cs="方正仿宋_GBK"/>
                <w:sz w:val="24"/>
              </w:rPr>
              <mc:AlternateContent>
                <mc:Choice Requires="wps">
                  <w:drawing>
                    <wp:anchor distT="0" distB="0" distL="114300" distR="114300" simplePos="0" relativeHeight="251666432" behindDoc="0" locked="0" layoutInCell="1" allowOverlap="1">
                      <wp:simplePos x="0" y="0"/>
                      <wp:positionH relativeFrom="column">
                        <wp:posOffset>2646045</wp:posOffset>
                      </wp:positionH>
                      <wp:positionV relativeFrom="paragraph">
                        <wp:posOffset>33655</wp:posOffset>
                      </wp:positionV>
                      <wp:extent cx="180975" cy="171450"/>
                      <wp:effectExtent l="4445" t="4445" r="5080" b="14605"/>
                      <wp:wrapNone/>
                      <wp:docPr id="37" name="流程图: 过程 37"/>
                      <wp:cNvGraphicFramePr/>
                      <a:graphic xmlns:a="http://schemas.openxmlformats.org/drawingml/2006/main">
                        <a:graphicData uri="http://schemas.microsoft.com/office/word/2010/wordprocessingShape">
                          <wps:wsp>
                            <wps:cNvSpPr/>
                            <wps:spPr>
                              <a:xfrm>
                                <a:off x="0" y="0"/>
                                <a:ext cx="180975" cy="171450"/>
                              </a:xfrm>
                              <a:prstGeom prst="flowChartProcess">
                                <a:avLst/>
                              </a:prstGeom>
                              <a:solidFill>
                                <a:srgbClr val="FFFFFF"/>
                              </a:solidFill>
                              <a:ln w="9525" cap="flat" cmpd="sng">
                                <a:solidFill>
                                  <a:srgbClr val="000000"/>
                                </a:solidFill>
                                <a:prstDash val="solid"/>
                                <a:miter/>
                                <a:headEnd type="none" w="med" len="med"/>
                                <a:tailEnd type="none" w="med" len="med"/>
                              </a:ln>
                              <a:effectLst/>
                            </wps:spPr>
                            <wps:bodyPr upright="1"/>
                          </wps:wsp>
                        </a:graphicData>
                      </a:graphic>
                    </wp:anchor>
                  </w:drawing>
                </mc:Choice>
                <mc:Fallback>
                  <w:pict>
                    <v:shape id="_x0000_s1026" o:spid="_x0000_s1026" o:spt="109" type="#_x0000_t109" style="position:absolute;left:0pt;margin-left:208.35pt;margin-top:2.65pt;height:13.5pt;width:14.25pt;z-index:251666432;mso-width-relative:page;mso-height-relative:page;" fillcolor="#FFFFFF" filled="t" stroked="t" coordsize="21600,21600" o:gfxdata="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wtBVzdgAAAAIAQAA&#10;DwAAAAAAAAABACAAAAAiAAAAZHJzL2Rvd25yZXYueG1sUEsBAhQAFAAAAAgAh07iQAVNJbcZAgAA&#10;RAQAAA4AAAAAAAAAAQAgAAAAJwEAAGRycy9lMm9Eb2MueG1sUEsFBgAAAAAGAAYAWQEAALIFAAAA&#10;AA==&#10;">
                      <v:fill on="t" focussize="0,0"/>
                      <v:stroke color="#000000" joinstyle="miter"/>
                      <v:imagedata o:title=""/>
                      <o:lock v:ext="edit" aspectratio="f"/>
                    </v:shape>
                  </w:pict>
                </mc:Fallback>
              </mc:AlternateContent>
            </w:r>
            <w:r>
              <w:rPr>
                <w:rFonts w:hint="eastAsia" w:ascii="方正仿宋_GBK" w:hAnsi="方正仿宋_GBK" w:eastAsia="方正仿宋_GBK" w:cs="方正仿宋_GBK"/>
                <w:sz w:val="24"/>
              </w:rPr>
              <w:t>其他涉及市场主体经济活动的政策措施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1247" w:type="dxa"/>
            <w:vMerge w:val="restart"/>
            <w:vAlign w:val="center"/>
          </w:tcPr>
          <w:p>
            <w:pPr>
              <w:spacing w:line="480" w:lineRule="exact"/>
              <w:jc w:val="center"/>
              <w:rPr>
                <w:rFonts w:ascii="方正仿宋_GBK" w:hAnsi="方正仿宋_GBK" w:cs="方正仿宋_GBK"/>
                <w:sz w:val="24"/>
              </w:rPr>
            </w:pPr>
            <w:r>
              <w:rPr>
                <w:rFonts w:hint="eastAsia" w:ascii="方正仿宋_GBK" w:hAnsi="方正仿宋_GBK" w:cs="方正仿宋_GBK"/>
                <w:sz w:val="24"/>
              </w:rPr>
              <w:t>征求意见情况</w:t>
            </w:r>
          </w:p>
        </w:tc>
        <w:tc>
          <w:tcPr>
            <w:tcW w:w="7537" w:type="dxa"/>
            <w:gridSpan w:val="2"/>
            <w:tcBorders>
              <w:bottom w:val="single" w:color="auto" w:sz="4" w:space="0"/>
            </w:tcBorders>
            <w:vAlign w:val="center"/>
          </w:tcPr>
          <w:p>
            <w:pPr>
              <w:widowControl/>
              <w:adjustRightInd w:val="0"/>
              <w:spacing w:line="360" w:lineRule="auto"/>
              <w:textAlignment w:val="baseline"/>
              <w:rPr>
                <w:rFonts w:ascii="方正仿宋_GBK" w:hAnsi="方正仿宋_GBK" w:eastAsia="方正仿宋_GBK" w:cs="方正仿宋_GBK"/>
                <w:sz w:val="24"/>
              </w:rPr>
            </w:pPr>
            <w:r>
              <w:rPr>
                <w:rFonts w:hint="eastAsia" w:ascii="方正仿宋_GBK" w:hAnsi="方正仿宋_GBK" w:eastAsia="方正仿宋_GBK" w:cs="方正仿宋_GBK"/>
                <w:sz w:val="24"/>
              </w:rPr>
              <mc:AlternateContent>
                <mc:Choice Requires="wps">
                  <w:drawing>
                    <wp:anchor distT="0" distB="0" distL="114300" distR="114300" simplePos="0" relativeHeight="251660288" behindDoc="0" locked="0" layoutInCell="1" allowOverlap="1">
                      <wp:simplePos x="0" y="0"/>
                      <wp:positionH relativeFrom="column">
                        <wp:posOffset>3564890</wp:posOffset>
                      </wp:positionH>
                      <wp:positionV relativeFrom="paragraph">
                        <wp:posOffset>101600</wp:posOffset>
                      </wp:positionV>
                      <wp:extent cx="180975" cy="171450"/>
                      <wp:effectExtent l="4445" t="4445" r="5080" b="14605"/>
                      <wp:wrapNone/>
                      <wp:docPr id="1" name="流程图: 过程 1"/>
                      <wp:cNvGraphicFramePr/>
                      <a:graphic xmlns:a="http://schemas.openxmlformats.org/drawingml/2006/main">
                        <a:graphicData uri="http://schemas.microsoft.com/office/word/2010/wordprocessingShape">
                          <wps:wsp>
                            <wps:cNvSpPr/>
                            <wps:spPr>
                              <a:xfrm>
                                <a:off x="0" y="0"/>
                                <a:ext cx="180975" cy="171450"/>
                              </a:xfrm>
                              <a:prstGeom prst="flowChartProcess">
                                <a:avLst/>
                              </a:prstGeom>
                              <a:solidFill>
                                <a:srgbClr val="FFFFFF"/>
                              </a:solidFill>
                              <a:ln w="9525" cap="flat" cmpd="sng">
                                <a:solidFill>
                                  <a:srgbClr val="000000"/>
                                </a:solidFill>
                                <a:prstDash val="solid"/>
                                <a:miter/>
                                <a:headEnd type="none" w="med" len="med"/>
                                <a:tailEnd type="none" w="med" len="med"/>
                              </a:ln>
                              <a:effectLst/>
                            </wps:spPr>
                            <wps:bodyPr upright="1"/>
                          </wps:wsp>
                        </a:graphicData>
                      </a:graphic>
                    </wp:anchor>
                  </w:drawing>
                </mc:Choice>
                <mc:Fallback>
                  <w:pict>
                    <v:shape id="_x0000_s1026" o:spid="_x0000_s1026" o:spt="109" type="#_x0000_t109" style="position:absolute;left:0pt;margin-left:280.7pt;margin-top:8pt;height:13.5pt;width:14.25pt;z-index:251660288;mso-width-relative:page;mso-height-relative:page;" fillcolor="#FFFFFF" filled="t" stroked="t" coordsize="21600,21600" o:gfxdata="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MOeSX2QAAAAkBAAAP&#10;AAAAAAAAAAEAIAAAACIAAABkcnMvZG93bnJldi54bWxQSwECFAAUAAAACACHTuJAZ1IycBcCAABC&#10;BAAADgAAAAAAAAABACAAAAAoAQAAZHJzL2Uyb0RvYy54bWxQSwUGAAAAAAYABgBZAQAAsQUAAAAA&#10;">
                      <v:fill on="t" focussize="0,0"/>
                      <v:stroke color="#000000" joinstyle="miter"/>
                      <v:imagedata o:title=""/>
                      <o:lock v:ext="edit" aspectratio="f"/>
                    </v:shape>
                  </w:pict>
                </mc:Fallback>
              </mc:AlternateContent>
            </w:r>
            <w:r>
              <w:rPr>
                <w:rFonts w:hint="eastAsia" w:ascii="方正仿宋_GBK" w:hAnsi="方正仿宋_GBK" w:eastAsia="方正仿宋_GBK" w:cs="方正仿宋_GBK"/>
                <w:sz w:val="24"/>
              </w:rPr>
              <mc:AlternateContent>
                <mc:Choice Requires="wps">
                  <w:drawing>
                    <wp:anchor distT="0" distB="0" distL="114300" distR="114300" simplePos="0" relativeHeight="251661312" behindDoc="0" locked="0" layoutInCell="1" allowOverlap="1">
                      <wp:simplePos x="0" y="0"/>
                      <wp:positionH relativeFrom="column">
                        <wp:posOffset>1417955</wp:posOffset>
                      </wp:positionH>
                      <wp:positionV relativeFrom="paragraph">
                        <wp:posOffset>105410</wp:posOffset>
                      </wp:positionV>
                      <wp:extent cx="180975" cy="178435"/>
                      <wp:effectExtent l="4445" t="4445" r="5080" b="7620"/>
                      <wp:wrapNone/>
                      <wp:docPr id="43" name="流程图: 过程 43"/>
                      <wp:cNvGraphicFramePr/>
                      <a:graphic xmlns:a="http://schemas.openxmlformats.org/drawingml/2006/main">
                        <a:graphicData uri="http://schemas.microsoft.com/office/word/2010/wordprocessingShape">
                          <wps:wsp>
                            <wps:cNvSpPr/>
                            <wps:spPr>
                              <a:xfrm>
                                <a:off x="0" y="0"/>
                                <a:ext cx="180975" cy="178435"/>
                              </a:xfrm>
                              <a:prstGeom prst="flowChartProcess">
                                <a:avLst/>
                              </a:prstGeom>
                              <a:solidFill>
                                <a:srgbClr val="FFFFFF"/>
                              </a:solidFill>
                              <a:ln w="9525" cap="flat" cmpd="sng">
                                <a:solidFill>
                                  <a:srgbClr val="000000"/>
                                </a:solidFill>
                                <a:prstDash val="solid"/>
                                <a:miter/>
                                <a:headEnd type="none" w="med" len="med"/>
                                <a:tailEnd type="none" w="med" len="med"/>
                              </a:ln>
                              <a:effectLst/>
                            </wps:spPr>
                            <wps:bodyPr upright="1"/>
                          </wps:wsp>
                        </a:graphicData>
                      </a:graphic>
                    </wp:anchor>
                  </w:drawing>
                </mc:Choice>
                <mc:Fallback>
                  <w:pict>
                    <v:shape id="_x0000_s1026" o:spid="_x0000_s1026" o:spt="109" type="#_x0000_t109" style="position:absolute;left:0pt;margin-left:111.65pt;margin-top:8.3pt;height:14.05pt;width:14.25pt;z-index:251661312;mso-width-relative:page;mso-height-relative:page;" fillcolor="#FFFFFF" filled="t" stroked="t" coordsize="21600,21600" o:gfxdata="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7mYmEtgAAAAJAQAADwAA&#10;AAAAAAABACAAAAAiAAAAZHJzL2Rvd25yZXYueG1sUEsBAhQAFAAAAAgAh07iQL5djroWAgAARAQA&#10;AA4AAAAAAAAAAQAgAAAAJwEAAGRycy9lMm9Eb2MueG1sUEsFBgAAAAAGAAYAWQEAAK8FAAAAAA==&#10;">
                      <v:fill on="t" focussize="0,0"/>
                      <v:stroke color="#000000" joinstyle="miter"/>
                      <v:imagedata o:title=""/>
                      <o:lock v:ext="edit" aspectratio="f"/>
                    </v:shape>
                  </w:pict>
                </mc:Fallback>
              </mc:AlternateContent>
            </w:r>
            <w:r>
              <w:rPr>
                <w:rFonts w:hint="eastAsia" w:ascii="方正仿宋_GBK" w:hAnsi="方正仿宋_GBK" w:eastAsia="方正仿宋_GBK" w:cs="方正仿宋_GBK"/>
                <w:sz w:val="24"/>
              </w:rPr>
              <w:t>征求利害关系人意见          向社会公开征求意见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21" w:hRule="atLeast"/>
        </w:trPr>
        <w:tc>
          <w:tcPr>
            <w:tcW w:w="1247" w:type="dxa"/>
            <w:vMerge w:val="continue"/>
            <w:vAlign w:val="center"/>
          </w:tcPr>
          <w:p>
            <w:pPr>
              <w:spacing w:line="480" w:lineRule="exact"/>
              <w:jc w:val="left"/>
              <w:rPr>
                <w:rFonts w:ascii="方正仿宋_GBK" w:hAnsi="方正仿宋_GBK" w:cs="方正仿宋_GBK"/>
                <w:sz w:val="24"/>
              </w:rPr>
            </w:pPr>
          </w:p>
        </w:tc>
        <w:tc>
          <w:tcPr>
            <w:tcW w:w="7537" w:type="dxa"/>
            <w:gridSpan w:val="2"/>
            <w:tcBorders>
              <w:top w:val="single" w:color="auto" w:sz="4" w:space="0"/>
            </w:tcBorders>
          </w:tcPr>
          <w:p>
            <w:pPr>
              <w:rPr>
                <w:rFonts w:ascii="方正仿宋_GBK" w:hAnsi="方正仿宋_GBK" w:eastAsia="方正仿宋_GBK" w:cs="方正仿宋_GBK"/>
                <w:sz w:val="24"/>
              </w:rPr>
            </w:pPr>
            <w:r>
              <w:rPr>
                <w:rFonts w:hint="eastAsia" w:ascii="方正仿宋_GBK" w:hAnsi="方正仿宋_GBK" w:cs="方正仿宋_GBK"/>
                <w:sz w:val="24"/>
              </w:rPr>
              <w:t xml:space="preserve">具体情况（时间、对象、意见反馈和采纳情况）： </w:t>
            </w:r>
          </w:p>
          <w:p>
            <w:pPr>
              <w:ind w:firstLine="4200" w:firstLineChars="1750"/>
              <w:rPr>
                <w:rFonts w:ascii="方正仿宋_GBK" w:hAnsi="方正仿宋_GBK" w:cs="方正仿宋_GBK"/>
                <w:sz w:val="24"/>
              </w:rPr>
            </w:pPr>
          </w:p>
          <w:p>
            <w:pPr>
              <w:ind w:firstLine="4200" w:firstLineChars="1750"/>
              <w:rPr>
                <w:rFonts w:ascii="方正仿宋_GBK" w:hAnsi="方正仿宋_GBK" w:cs="方正仿宋_GBK"/>
                <w:sz w:val="24"/>
              </w:rPr>
            </w:pPr>
          </w:p>
          <w:p>
            <w:pPr>
              <w:ind w:firstLine="4200" w:firstLineChars="1750"/>
              <w:rPr>
                <w:rFonts w:ascii="方正仿宋_GBK" w:hAnsi="方正仿宋_GBK" w:cs="方正仿宋_GBK"/>
                <w:sz w:val="24"/>
              </w:rPr>
            </w:pPr>
          </w:p>
          <w:p>
            <w:pPr>
              <w:ind w:firstLine="4200" w:firstLineChars="1750"/>
              <w:rPr>
                <w:rFonts w:ascii="方正仿宋_GBK" w:hAnsi="方正仿宋_GBK" w:cs="方正仿宋_GBK"/>
                <w:sz w:val="24"/>
              </w:rPr>
            </w:pPr>
          </w:p>
          <w:p>
            <w:pPr>
              <w:ind w:firstLine="5400" w:firstLineChars="2250"/>
              <w:rPr>
                <w:rFonts w:ascii="方正仿宋_GBK" w:hAnsi="方正仿宋_GBK" w:cs="方正仿宋_GBK"/>
                <w:sz w:val="24"/>
              </w:rPr>
            </w:pPr>
          </w:p>
          <w:p>
            <w:pPr>
              <w:ind w:firstLine="5400" w:firstLineChars="2250"/>
              <w:rPr>
                <w:rFonts w:ascii="方正仿宋_GBK" w:hAnsi="方正仿宋_GBK" w:cs="方正仿宋_GBK"/>
                <w:sz w:val="24"/>
              </w:rPr>
            </w:pPr>
            <w:r>
              <w:rPr>
                <w:rFonts w:hint="eastAsia" w:ascii="方正仿宋_GBK" w:hAnsi="方正仿宋_GBK" w:cs="方正仿宋_GBK"/>
                <w:sz w:val="24"/>
              </w:rPr>
              <w:t>（可附相关报告）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68" w:hRule="atLeast"/>
        </w:trPr>
        <w:tc>
          <w:tcPr>
            <w:tcW w:w="1247" w:type="dxa"/>
            <w:vAlign w:val="center"/>
          </w:tcPr>
          <w:p>
            <w:pPr>
              <w:snapToGrid w:val="0"/>
              <w:spacing w:line="440" w:lineRule="exact"/>
              <w:jc w:val="center"/>
              <w:rPr>
                <w:rFonts w:ascii="方正仿宋_GBK" w:hAnsi="方正仿宋_GBK" w:cs="方正仿宋_GBK"/>
                <w:sz w:val="24"/>
              </w:rPr>
            </w:pPr>
            <w:r>
              <w:rPr>
                <w:rFonts w:hint="eastAsia" w:ascii="方正仿宋_GBK" w:hAnsi="方正仿宋_GBK" w:cs="方正仿宋_GBK"/>
                <w:sz w:val="24"/>
              </w:rPr>
              <w:t>咨询及第三方评估情况</w:t>
            </w:r>
          </w:p>
          <w:p>
            <w:pPr>
              <w:snapToGrid w:val="0"/>
              <w:spacing w:line="440" w:lineRule="exact"/>
              <w:jc w:val="center"/>
              <w:rPr>
                <w:rFonts w:ascii="方正仿宋_GBK" w:hAnsi="方正仿宋_GBK" w:cs="方正仿宋_GBK"/>
                <w:sz w:val="24"/>
              </w:rPr>
            </w:pPr>
            <w:r>
              <w:rPr>
                <w:rFonts w:hint="eastAsia" w:ascii="方正仿宋_GBK" w:hAnsi="方正仿宋_GBK" w:cs="方正仿宋_GBK"/>
                <w:sz w:val="24"/>
              </w:rPr>
              <w:t>（选填）</w:t>
            </w:r>
          </w:p>
        </w:tc>
        <w:tc>
          <w:tcPr>
            <w:tcW w:w="7537" w:type="dxa"/>
            <w:gridSpan w:val="2"/>
          </w:tcPr>
          <w:p>
            <w:pPr>
              <w:snapToGrid w:val="0"/>
              <w:ind w:right="560"/>
              <w:rPr>
                <w:rFonts w:ascii="方正仿宋_GBK" w:hAnsi="方正仿宋_GBK" w:cs="方正仿宋_GBK"/>
                <w:sz w:val="24"/>
              </w:rPr>
            </w:pPr>
          </w:p>
          <w:p>
            <w:pPr>
              <w:snapToGrid w:val="0"/>
              <w:jc w:val="right"/>
              <w:rPr>
                <w:rFonts w:ascii="方正仿宋_GBK" w:hAnsi="方正仿宋_GBK" w:cs="方正仿宋_GBK"/>
                <w:sz w:val="24"/>
              </w:rPr>
            </w:pPr>
          </w:p>
          <w:p>
            <w:pPr>
              <w:snapToGrid w:val="0"/>
              <w:jc w:val="left"/>
              <w:rPr>
                <w:rFonts w:ascii="方正仿宋_GBK" w:hAnsi="方正仿宋_GBK" w:eastAsia="方正仿宋_GBK" w:cs="方正仿宋_GBK"/>
                <w:sz w:val="24"/>
              </w:rPr>
            </w:pPr>
            <w:r>
              <w:rPr>
                <w:rFonts w:hint="eastAsia" w:ascii="方正仿宋_GBK" w:hAnsi="方正仿宋_GBK" w:cs="方正仿宋_GBK"/>
                <w:sz w:val="24"/>
              </w:rPr>
              <w:t xml:space="preserve"> </w:t>
            </w:r>
          </w:p>
          <w:p>
            <w:pPr>
              <w:snapToGrid w:val="0"/>
              <w:jc w:val="right"/>
              <w:rPr>
                <w:rFonts w:ascii="方正仿宋_GBK" w:hAnsi="方正仿宋_GBK" w:cs="方正仿宋_GBK"/>
                <w:sz w:val="24"/>
              </w:rPr>
            </w:pPr>
          </w:p>
          <w:p>
            <w:pPr>
              <w:snapToGrid w:val="0"/>
              <w:jc w:val="right"/>
              <w:rPr>
                <w:rFonts w:ascii="方正仿宋_GBK" w:hAnsi="方正仿宋_GBK" w:cs="方正仿宋_GBK"/>
                <w:sz w:val="24"/>
              </w:rPr>
            </w:pPr>
          </w:p>
          <w:p>
            <w:pPr>
              <w:snapToGrid w:val="0"/>
              <w:jc w:val="right"/>
              <w:rPr>
                <w:rFonts w:ascii="方正仿宋_GBK" w:hAnsi="方正仿宋_GBK" w:cs="方正仿宋_GBK"/>
                <w:sz w:val="24"/>
              </w:rPr>
            </w:pPr>
          </w:p>
          <w:p>
            <w:pPr>
              <w:snapToGrid w:val="0"/>
              <w:jc w:val="right"/>
              <w:rPr>
                <w:rFonts w:ascii="方正仿宋_GBK" w:hAnsi="方正仿宋_GBK" w:cs="方正仿宋_GBK"/>
                <w:sz w:val="24"/>
              </w:rPr>
            </w:pPr>
          </w:p>
          <w:p>
            <w:pPr>
              <w:snapToGrid w:val="0"/>
              <w:jc w:val="right"/>
              <w:rPr>
                <w:rFonts w:ascii="方正仿宋_GBK" w:hAnsi="方正仿宋_GBK" w:cs="方正仿宋_GBK"/>
                <w:sz w:val="24"/>
              </w:rPr>
            </w:pPr>
            <w:r>
              <w:rPr>
                <w:rFonts w:hint="eastAsia" w:ascii="方正仿宋_GBK" w:hAnsi="方正仿宋_GBK" w:cs="方正仿宋_GBK"/>
                <w:sz w:val="24"/>
              </w:rPr>
              <w:t>（可附相关报告）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5" w:hRule="atLeast"/>
        </w:trPr>
        <w:tc>
          <w:tcPr>
            <w:tcW w:w="1247" w:type="dxa"/>
            <w:vMerge w:val="restart"/>
            <w:vAlign w:val="center"/>
          </w:tcPr>
          <w:p>
            <w:pPr>
              <w:spacing w:line="480" w:lineRule="exact"/>
              <w:jc w:val="center"/>
              <w:rPr>
                <w:rFonts w:ascii="方正仿宋_GBK" w:hAnsi="方正仿宋_GBK" w:cs="方正仿宋_GBK"/>
                <w:sz w:val="24"/>
              </w:rPr>
            </w:pPr>
            <w:r>
              <w:rPr>
                <w:rFonts w:hint="eastAsia" w:ascii="方正仿宋_GBK" w:hAnsi="方正仿宋_GBK" w:cs="方正仿宋_GBK"/>
                <w:sz w:val="24"/>
              </w:rPr>
              <w:t>适用</w:t>
            </w:r>
          </w:p>
          <w:p>
            <w:pPr>
              <w:spacing w:line="480" w:lineRule="exact"/>
              <w:jc w:val="center"/>
              <w:rPr>
                <w:rFonts w:ascii="方正仿宋_GBK" w:hAnsi="方正仿宋_GBK" w:cs="方正仿宋_GBK"/>
                <w:sz w:val="24"/>
              </w:rPr>
            </w:pPr>
            <w:r>
              <w:rPr>
                <w:rFonts w:hint="eastAsia" w:ascii="方正仿宋_GBK" w:hAnsi="方正仿宋_GBK" w:cs="方正仿宋_GBK"/>
                <w:sz w:val="24"/>
              </w:rPr>
              <w:t>例外</w:t>
            </w:r>
          </w:p>
          <w:p>
            <w:pPr>
              <w:spacing w:line="480" w:lineRule="exact"/>
              <w:jc w:val="center"/>
              <w:rPr>
                <w:rFonts w:ascii="方正仿宋_GBK" w:hAnsi="方正仿宋_GBK" w:cs="方正仿宋_GBK"/>
                <w:sz w:val="24"/>
              </w:rPr>
            </w:pPr>
            <w:r>
              <w:rPr>
                <w:rFonts w:hint="eastAsia" w:ascii="方正仿宋_GBK" w:hAnsi="方正仿宋_GBK" w:cs="方正仿宋_GBK"/>
                <w:sz w:val="24"/>
              </w:rPr>
              <w:t>规定</w:t>
            </w:r>
          </w:p>
        </w:tc>
        <w:tc>
          <w:tcPr>
            <w:tcW w:w="7537" w:type="dxa"/>
            <w:gridSpan w:val="2"/>
            <w:vAlign w:val="center"/>
          </w:tcPr>
          <w:p>
            <w:pPr>
              <w:spacing w:line="360" w:lineRule="auto"/>
              <w:rPr>
                <w:rFonts w:ascii="方正仿宋_GBK" w:hAnsi="方正仿宋_GBK" w:cs="方正仿宋_GBK"/>
                <w:sz w:val="24"/>
              </w:rPr>
            </w:pPr>
            <w:r>
              <w:rPr>
                <w:rFonts w:hint="eastAsia" w:ascii="方正仿宋_GBK" w:hAnsi="方正仿宋_GBK" w:cs="方正仿宋_GBK"/>
                <w:sz w:val="24"/>
              </w:rPr>
              <mc:AlternateContent>
                <mc:Choice Requires="wps">
                  <w:drawing>
                    <wp:anchor distT="0" distB="0" distL="114300" distR="114300" simplePos="0" relativeHeight="251662336" behindDoc="0" locked="0" layoutInCell="1" allowOverlap="1">
                      <wp:simplePos x="0" y="0"/>
                      <wp:positionH relativeFrom="column">
                        <wp:posOffset>273685</wp:posOffset>
                      </wp:positionH>
                      <wp:positionV relativeFrom="paragraph">
                        <wp:posOffset>72390</wp:posOffset>
                      </wp:positionV>
                      <wp:extent cx="180975" cy="171450"/>
                      <wp:effectExtent l="4445" t="4445" r="5080" b="14605"/>
                      <wp:wrapNone/>
                      <wp:docPr id="45" name="流程图: 过程 45"/>
                      <wp:cNvGraphicFramePr/>
                      <a:graphic xmlns:a="http://schemas.openxmlformats.org/drawingml/2006/main">
                        <a:graphicData uri="http://schemas.microsoft.com/office/word/2010/wordprocessingShape">
                          <wps:wsp>
                            <wps:cNvSpPr/>
                            <wps:spPr>
                              <a:xfrm>
                                <a:off x="0" y="0"/>
                                <a:ext cx="180975" cy="171450"/>
                              </a:xfrm>
                              <a:prstGeom prst="flowChartProcess">
                                <a:avLst/>
                              </a:prstGeom>
                              <a:solidFill>
                                <a:srgbClr val="FFFFFF"/>
                              </a:solidFill>
                              <a:ln w="9525" cap="flat" cmpd="sng">
                                <a:solidFill>
                                  <a:srgbClr val="000000"/>
                                </a:solidFill>
                                <a:prstDash val="solid"/>
                                <a:miter/>
                                <a:headEnd type="none" w="med" len="med"/>
                                <a:tailEnd type="none" w="med" len="med"/>
                              </a:ln>
                              <a:effectLst/>
                            </wps:spPr>
                            <wps:bodyPr upright="1"/>
                          </wps:wsp>
                        </a:graphicData>
                      </a:graphic>
                    </wp:anchor>
                  </w:drawing>
                </mc:Choice>
                <mc:Fallback>
                  <w:pict>
                    <v:shape id="_x0000_s1026" o:spid="_x0000_s1026" o:spt="109" type="#_x0000_t109" style="position:absolute;left:0pt;margin-left:21.55pt;margin-top:5.7pt;height:13.5pt;width:14.25pt;z-index:251662336;mso-width-relative:page;mso-height-relative:page;" fillcolor="#FFFFFF" filled="t" stroked="t" coordsize="21600,21600" o:gfxdata="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G4OrO3WAAAABwEAAA8A&#10;AAAAAAAAAQAgAAAAIgAAAGRycy9kb3ducmV2LnhtbFBLAQIUABQAAAAIAIdO4kCmQAD7GQIAAEQE&#10;AAAOAAAAAAAAAAEAIAAAACUBAABkcnMvZTJvRG9jLnhtbFBLBQYAAAAABgAGAFkBAACwBQAAAAA=&#10;">
                      <v:fill on="t" focussize="0,0"/>
                      <v:stroke color="#000000" joinstyle="miter"/>
                      <v:imagedata o:title=""/>
                      <o:lock v:ext="edit" aspectratio="f"/>
                    </v:shape>
                  </w:pict>
                </mc:Fallback>
              </mc:AlternateContent>
            </w:r>
            <w:r>
              <w:rPr>
                <w:rFonts w:hint="eastAsia" w:ascii="方正仿宋_GBK" w:hAnsi="方正仿宋_GBK" w:cs="方正仿宋_GBK"/>
                <w:sz w:val="24"/>
              </w:rPr>
              <mc:AlternateContent>
                <mc:Choice Requires="wps">
                  <w:drawing>
                    <wp:anchor distT="0" distB="0" distL="114300" distR="114300" simplePos="0" relativeHeight="251663360" behindDoc="1" locked="0" layoutInCell="1" allowOverlap="1">
                      <wp:simplePos x="0" y="0"/>
                      <wp:positionH relativeFrom="column">
                        <wp:posOffset>1364615</wp:posOffset>
                      </wp:positionH>
                      <wp:positionV relativeFrom="paragraph">
                        <wp:posOffset>65405</wp:posOffset>
                      </wp:positionV>
                      <wp:extent cx="180975" cy="171450"/>
                      <wp:effectExtent l="4445" t="4445" r="5080" b="14605"/>
                      <wp:wrapNone/>
                      <wp:docPr id="44" name="流程图: 过程 44"/>
                      <wp:cNvGraphicFramePr/>
                      <a:graphic xmlns:a="http://schemas.openxmlformats.org/drawingml/2006/main">
                        <a:graphicData uri="http://schemas.microsoft.com/office/word/2010/wordprocessingShape">
                          <wps:wsp>
                            <wps:cNvSpPr/>
                            <wps:spPr>
                              <a:xfrm>
                                <a:off x="0" y="0"/>
                                <a:ext cx="180975" cy="171450"/>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r>
                                    <w:rPr>
                                      <w:rFonts w:hint="eastAsia" w:ascii="东文宋体" w:hAnsi="东文宋体" w:eastAsia="东文宋体" w:cs="东文宋体"/>
                                      <w:sz w:val="24"/>
                                    </w:rPr>
                                    <w:t>√</w:t>
                                  </w:r>
                                </w:p>
                              </w:txbxContent>
                            </wps:txbx>
                            <wps:bodyPr upright="1"/>
                          </wps:wsp>
                        </a:graphicData>
                      </a:graphic>
                    </wp:anchor>
                  </w:drawing>
                </mc:Choice>
                <mc:Fallback>
                  <w:pict>
                    <v:shape id="_x0000_s1026" o:spid="_x0000_s1026" o:spt="109" type="#_x0000_t109" style="position:absolute;left:0pt;margin-left:107.45pt;margin-top:5.15pt;height:13.5pt;width:14.25pt;z-index:-251653120;mso-width-relative:page;mso-height-relative:page;" fillcolor="#FFFFFF" filled="t" stroked="t" coordsize="21600,21600" o:gfxdata="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MsAd2XY&#10;AAAACQEAAA8AAAAAAAAAAQAgAAAAIgAAAGRycy9kb3ducmV2LnhtbFBLAQIUABQAAAAIAIdO4kDX&#10;FmvFIAIAAE8EAAAOAAAAAAAAAAEAIAAAACcBAABkcnMvZTJvRG9jLnhtbFBLBQYAAAAABgAGAFkB&#10;AAC5BQAAAAA=&#10;">
                      <v:fill on="t" focussize="0,0"/>
                      <v:stroke color="#000000" joinstyle="miter"/>
                      <v:imagedata o:title=""/>
                      <o:lock v:ext="edit" aspectratio="f"/>
                      <v:textbox>
                        <w:txbxContent>
                          <w:p>
                            <w:r>
                              <w:rPr>
                                <w:rFonts w:hint="eastAsia" w:ascii="东文宋体" w:hAnsi="东文宋体" w:eastAsia="东文宋体" w:cs="东文宋体"/>
                                <w:sz w:val="24"/>
                              </w:rPr>
                              <w:t>√</w:t>
                            </w:r>
                          </w:p>
                        </w:txbxContent>
                      </v:textbox>
                    </v:shape>
                  </w:pict>
                </mc:Fallback>
              </mc:AlternateContent>
            </w:r>
            <w:r>
              <w:rPr>
                <w:rFonts w:hint="eastAsia" w:ascii="方正仿宋_GBK" w:hAnsi="方正仿宋_GBK" w:cs="方正仿宋_GBK"/>
                <w:sz w:val="24"/>
              </w:rPr>
              <w:t xml:space="preserve">是             否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91" w:hRule="atLeast"/>
        </w:trPr>
        <w:tc>
          <w:tcPr>
            <w:tcW w:w="1247" w:type="dxa"/>
            <w:vMerge w:val="continue"/>
            <w:vAlign w:val="center"/>
          </w:tcPr>
          <w:p>
            <w:pPr>
              <w:spacing w:line="480" w:lineRule="exact"/>
              <w:jc w:val="center"/>
              <w:rPr>
                <w:rFonts w:ascii="方正仿宋_GBK" w:hAnsi="方正仿宋_GBK" w:cs="方正仿宋_GBK"/>
                <w:sz w:val="24"/>
              </w:rPr>
            </w:pPr>
          </w:p>
        </w:tc>
        <w:tc>
          <w:tcPr>
            <w:tcW w:w="1725" w:type="dxa"/>
            <w:vAlign w:val="center"/>
          </w:tcPr>
          <w:p>
            <w:pPr>
              <w:spacing w:line="440" w:lineRule="exact"/>
              <w:jc w:val="center"/>
              <w:rPr>
                <w:rFonts w:ascii="方正仿宋_GBK" w:hAnsi="方正仿宋_GBK" w:cs="方正仿宋_GBK"/>
                <w:sz w:val="24"/>
              </w:rPr>
            </w:pPr>
            <w:r>
              <w:rPr>
                <w:rFonts w:hint="eastAsia" w:ascii="方正仿宋_GBK" w:hAnsi="方正仿宋_GBK" w:cs="方正仿宋_GBK"/>
                <w:sz w:val="24"/>
              </w:rPr>
              <w:t>选择“是”时详细说明理由</w:t>
            </w:r>
          </w:p>
        </w:tc>
        <w:tc>
          <w:tcPr>
            <w:tcW w:w="5812" w:type="dxa"/>
          </w:tcPr>
          <w:p>
            <w:pPr>
              <w:rPr>
                <w:rFonts w:ascii="方正仿宋_GBK" w:hAnsi="方正仿宋_GBK" w:cs="方正仿宋_GBK"/>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57" w:hRule="atLeast"/>
        </w:trPr>
        <w:tc>
          <w:tcPr>
            <w:tcW w:w="1247" w:type="dxa"/>
            <w:vAlign w:val="center"/>
          </w:tcPr>
          <w:p>
            <w:pPr>
              <w:spacing w:line="480" w:lineRule="exact"/>
              <w:jc w:val="center"/>
              <w:rPr>
                <w:rFonts w:ascii="方正仿宋_GBK" w:hAnsi="方正仿宋_GBK" w:cs="方正仿宋_GBK"/>
                <w:sz w:val="24"/>
              </w:rPr>
            </w:pPr>
            <w:r>
              <w:rPr>
                <w:rFonts w:hint="eastAsia" w:ascii="方正仿宋_GBK" w:hAnsi="方正仿宋_GBK" w:cs="方正仿宋_GBK"/>
                <w:sz w:val="24"/>
              </w:rPr>
              <w:t>其他需要说明的</w:t>
            </w:r>
          </w:p>
          <w:p>
            <w:pPr>
              <w:spacing w:line="480" w:lineRule="exact"/>
              <w:jc w:val="center"/>
              <w:rPr>
                <w:rFonts w:ascii="方正仿宋_GBK" w:hAnsi="方正仿宋_GBK" w:cs="方正仿宋_GBK"/>
                <w:sz w:val="24"/>
              </w:rPr>
            </w:pPr>
            <w:r>
              <w:rPr>
                <w:rFonts w:hint="eastAsia" w:ascii="方正仿宋_GBK" w:hAnsi="方正仿宋_GBK" w:cs="方正仿宋_GBK"/>
                <w:sz w:val="24"/>
              </w:rPr>
              <w:t>情况</w:t>
            </w:r>
          </w:p>
        </w:tc>
        <w:tc>
          <w:tcPr>
            <w:tcW w:w="7537" w:type="dxa"/>
            <w:gridSpan w:val="2"/>
            <w:vAlign w:val="center"/>
          </w:tcPr>
          <w:p>
            <w:pPr>
              <w:rPr>
                <w:rFonts w:ascii="方正仿宋_GBK" w:hAnsi="方正仿宋_GBK" w:cs="方正仿宋_GBK"/>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67" w:hRule="atLeast"/>
        </w:trPr>
        <w:tc>
          <w:tcPr>
            <w:tcW w:w="1247" w:type="dxa"/>
            <w:vMerge w:val="restart"/>
            <w:vAlign w:val="center"/>
          </w:tcPr>
          <w:p>
            <w:pPr>
              <w:spacing w:line="480" w:lineRule="exact"/>
              <w:jc w:val="center"/>
              <w:rPr>
                <w:rFonts w:ascii="方正仿宋_GBK" w:hAnsi="方正仿宋_GBK" w:cs="方正仿宋_GBK"/>
                <w:sz w:val="24"/>
              </w:rPr>
            </w:pPr>
            <w:r>
              <w:rPr>
                <w:rFonts w:hint="eastAsia" w:ascii="方正仿宋_GBK" w:hAnsi="方正仿宋_GBK" w:cs="方正仿宋_GBK"/>
                <w:sz w:val="24"/>
              </w:rPr>
              <w:t>起草</w:t>
            </w:r>
          </w:p>
          <w:p>
            <w:pPr>
              <w:spacing w:line="400" w:lineRule="exact"/>
              <w:jc w:val="center"/>
              <w:rPr>
                <w:rFonts w:ascii="方正仿宋_GBK" w:hAnsi="方正仿宋_GBK" w:cs="方正仿宋_GBK"/>
                <w:sz w:val="24"/>
              </w:rPr>
            </w:pPr>
            <w:r>
              <w:rPr>
                <w:rFonts w:hint="eastAsia" w:ascii="方正仿宋_GBK" w:hAnsi="方正仿宋_GBK" w:cs="方正仿宋_GBK"/>
                <w:sz w:val="24"/>
              </w:rPr>
              <w:t>科室</w:t>
            </w:r>
          </w:p>
          <w:p>
            <w:pPr>
              <w:spacing w:line="400" w:lineRule="exact"/>
              <w:jc w:val="center"/>
              <w:rPr>
                <w:rFonts w:ascii="方正仿宋_GBK" w:hAnsi="方正仿宋_GBK" w:cs="方正仿宋_GBK"/>
                <w:sz w:val="24"/>
              </w:rPr>
            </w:pPr>
            <w:r>
              <w:rPr>
                <w:rFonts w:hint="eastAsia" w:ascii="方正仿宋_GBK" w:hAnsi="方正仿宋_GBK" w:cs="方正仿宋_GBK"/>
                <w:sz w:val="24"/>
              </w:rPr>
              <w:t>初审</w:t>
            </w:r>
          </w:p>
          <w:p>
            <w:pPr>
              <w:spacing w:line="400" w:lineRule="exact"/>
              <w:jc w:val="center"/>
              <w:rPr>
                <w:rFonts w:ascii="方正仿宋_GBK" w:hAnsi="方正仿宋_GBK" w:cs="方正仿宋_GBK"/>
                <w:sz w:val="24"/>
              </w:rPr>
            </w:pPr>
            <w:r>
              <w:rPr>
                <w:rFonts w:hint="eastAsia" w:ascii="方正仿宋_GBK" w:hAnsi="方正仿宋_GBK" w:cs="方正仿宋_GBK"/>
                <w:sz w:val="24"/>
              </w:rPr>
              <w:t>意见</w:t>
            </w:r>
          </w:p>
        </w:tc>
        <w:tc>
          <w:tcPr>
            <w:tcW w:w="1725" w:type="dxa"/>
            <w:vAlign w:val="center"/>
          </w:tcPr>
          <w:p>
            <w:pPr>
              <w:spacing w:line="480" w:lineRule="exact"/>
              <w:jc w:val="center"/>
              <w:rPr>
                <w:rFonts w:ascii="方正仿宋_GBK" w:hAnsi="方正仿宋_GBK" w:cs="方正仿宋_GBK"/>
                <w:sz w:val="24"/>
              </w:rPr>
            </w:pPr>
            <w:r>
              <w:rPr>
                <w:rFonts w:hint="eastAsia" w:ascii="方正仿宋_GBK" w:hAnsi="方正仿宋_GBK" w:cs="方正仿宋_GBK"/>
                <w:sz w:val="24"/>
              </w:rPr>
              <w:t>科室初审意见</w:t>
            </w:r>
          </w:p>
        </w:tc>
        <w:tc>
          <w:tcPr>
            <w:tcW w:w="5812" w:type="dxa"/>
            <w:vAlign w:val="center"/>
          </w:tcPr>
          <w:p>
            <w:pPr>
              <w:spacing w:line="480" w:lineRule="exact"/>
              <w:jc w:val="center"/>
              <w:rPr>
                <w:rFonts w:ascii="方正仿宋_GBK" w:hAnsi="方正仿宋_GBK" w:cs="方正仿宋_GBK"/>
                <w:sz w:val="24"/>
              </w:rPr>
            </w:pPr>
          </w:p>
          <w:p>
            <w:pPr>
              <w:spacing w:line="480" w:lineRule="exact"/>
              <w:jc w:val="center"/>
              <w:rPr>
                <w:rFonts w:ascii="方正仿宋_GBK" w:hAnsi="方正仿宋_GBK" w:cs="方正仿宋_GBK"/>
                <w:sz w:val="24"/>
              </w:rPr>
            </w:pPr>
            <w:r>
              <w:rPr>
                <w:rFonts w:hint="eastAsia" w:ascii="方正仿宋_GBK" w:hAnsi="方正仿宋_GBK" w:cs="方正仿宋_GBK"/>
                <w:sz w:val="24"/>
              </w:rPr>
              <w:t xml:space="preserve">           </w:t>
            </w:r>
          </w:p>
          <w:p>
            <w:pPr>
              <w:spacing w:line="480" w:lineRule="exact"/>
              <w:ind w:firstLine="360" w:firstLineChars="150"/>
              <w:rPr>
                <w:rFonts w:ascii="方正仿宋_GBK" w:hAnsi="方正仿宋_GBK" w:cs="方正仿宋_GBK"/>
                <w:sz w:val="24"/>
              </w:rPr>
            </w:pPr>
            <w:r>
              <w:rPr>
                <w:rFonts w:hint="eastAsia" w:ascii="方正仿宋_GBK" w:hAnsi="方正仿宋_GBK" w:cs="方正仿宋_GBK"/>
                <w:sz w:val="24"/>
              </w:rPr>
              <w:t xml:space="preserve"> </w:t>
            </w:r>
          </w:p>
          <w:p>
            <w:pPr>
              <w:spacing w:line="480" w:lineRule="exact"/>
              <w:rPr>
                <w:rFonts w:ascii="方正仿宋_GBK" w:hAnsi="方正仿宋_GBK" w:cs="方正仿宋_GBK"/>
                <w:sz w:val="24"/>
              </w:rPr>
            </w:pPr>
            <w:r>
              <w:rPr>
                <w:rFonts w:hint="eastAsia" w:ascii="方正仿宋_GBK" w:hAnsi="方正仿宋_GBK" w:cs="方正仿宋_GBK"/>
                <w:sz w:val="24"/>
              </w:rPr>
              <w:t>联系人：            联系方式：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53" w:hRule="atLeast"/>
        </w:trPr>
        <w:tc>
          <w:tcPr>
            <w:tcW w:w="1247" w:type="dxa"/>
            <w:vMerge w:val="continue"/>
          </w:tcPr>
          <w:p>
            <w:pPr>
              <w:spacing w:line="480" w:lineRule="exact"/>
              <w:jc w:val="center"/>
              <w:rPr>
                <w:rFonts w:ascii="方正仿宋_GBK" w:hAnsi="方正仿宋_GBK" w:cs="方正仿宋_GBK"/>
                <w:sz w:val="24"/>
              </w:rPr>
            </w:pPr>
          </w:p>
        </w:tc>
        <w:tc>
          <w:tcPr>
            <w:tcW w:w="1725" w:type="dxa"/>
            <w:tcBorders>
              <w:right w:val="single" w:color="auto" w:sz="4" w:space="0"/>
            </w:tcBorders>
            <w:vAlign w:val="center"/>
          </w:tcPr>
          <w:p>
            <w:pPr>
              <w:spacing w:line="480" w:lineRule="exact"/>
              <w:jc w:val="center"/>
              <w:rPr>
                <w:rFonts w:ascii="方正仿宋_GBK" w:hAnsi="方正仿宋_GBK" w:cs="方正仿宋_GBK"/>
                <w:sz w:val="24"/>
              </w:rPr>
            </w:pPr>
            <w:r>
              <w:rPr>
                <w:rFonts w:hint="eastAsia" w:ascii="方正仿宋_GBK" w:hAnsi="方正仿宋_GBK" w:cs="方正仿宋_GBK"/>
                <w:sz w:val="24"/>
              </w:rPr>
              <w:t>科室负责人</w:t>
            </w:r>
          </w:p>
          <w:p>
            <w:pPr>
              <w:spacing w:line="480" w:lineRule="exact"/>
              <w:jc w:val="center"/>
              <w:rPr>
                <w:rFonts w:ascii="方正仿宋_GBK" w:hAnsi="方正仿宋_GBK" w:cs="方正仿宋_GBK"/>
                <w:sz w:val="24"/>
              </w:rPr>
            </w:pPr>
            <w:r>
              <w:rPr>
                <w:rFonts w:hint="eastAsia" w:ascii="方正仿宋_GBK" w:hAnsi="方正仿宋_GBK" w:cs="方正仿宋_GBK"/>
                <w:sz w:val="24"/>
              </w:rPr>
              <w:t>意见</w:t>
            </w:r>
          </w:p>
        </w:tc>
        <w:tc>
          <w:tcPr>
            <w:tcW w:w="5812" w:type="dxa"/>
            <w:tcBorders>
              <w:left w:val="single" w:color="auto" w:sz="4" w:space="0"/>
            </w:tcBorders>
            <w:vAlign w:val="center"/>
          </w:tcPr>
          <w:p>
            <w:pPr>
              <w:spacing w:line="480" w:lineRule="exact"/>
              <w:rPr>
                <w:rFonts w:ascii="方正仿宋_GBK" w:hAnsi="方正仿宋_GBK" w:cs="方正仿宋_GBK"/>
                <w:sz w:val="24"/>
              </w:rPr>
            </w:pPr>
          </w:p>
          <w:p>
            <w:pPr>
              <w:spacing w:line="480" w:lineRule="exact"/>
              <w:ind w:firstLine="1320" w:firstLineChars="550"/>
              <w:rPr>
                <w:rFonts w:ascii="方正仿宋_GBK" w:hAnsi="方正仿宋_GBK" w:cs="方正仿宋_GBK"/>
                <w:sz w:val="24"/>
              </w:rPr>
            </w:pPr>
          </w:p>
          <w:p>
            <w:pPr>
              <w:spacing w:line="480" w:lineRule="exact"/>
              <w:ind w:firstLine="1320" w:firstLineChars="550"/>
              <w:rPr>
                <w:rFonts w:ascii="方正仿宋_GBK" w:hAnsi="方正仿宋_GBK" w:cs="方正仿宋_GBK"/>
                <w:sz w:val="24"/>
              </w:rPr>
            </w:pPr>
          </w:p>
          <w:p>
            <w:pPr>
              <w:spacing w:line="480" w:lineRule="exact"/>
              <w:ind w:firstLine="1320" w:firstLineChars="550"/>
              <w:rPr>
                <w:rFonts w:ascii="方正仿宋_GBK" w:hAnsi="方正仿宋_GBK" w:cs="方正仿宋_GBK"/>
                <w:sz w:val="24"/>
              </w:rPr>
            </w:pPr>
            <w:r>
              <w:rPr>
                <w:rFonts w:hint="eastAsia" w:ascii="方正仿宋_GBK" w:hAnsi="方正仿宋_GBK" w:cs="方正仿宋_GBK"/>
                <w:sz w:val="24"/>
              </w:rPr>
              <w:t>签字：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34" w:hRule="atLeast"/>
        </w:trPr>
        <w:tc>
          <w:tcPr>
            <w:tcW w:w="1247" w:type="dxa"/>
            <w:vMerge w:val="restart"/>
            <w:vAlign w:val="center"/>
          </w:tcPr>
          <w:p>
            <w:pPr>
              <w:spacing w:line="480" w:lineRule="exact"/>
              <w:jc w:val="center"/>
              <w:rPr>
                <w:rFonts w:ascii="方正仿宋_GBK" w:hAnsi="方正仿宋_GBK" w:cs="方正仿宋_GBK"/>
                <w:sz w:val="24"/>
              </w:rPr>
            </w:pPr>
            <w:r>
              <w:rPr>
                <w:rFonts w:hint="eastAsia" w:ascii="方正仿宋_GBK" w:hAnsi="方正仿宋_GBK" w:cs="方正仿宋_GBK"/>
                <w:sz w:val="24"/>
              </w:rPr>
              <w:t>内部</w:t>
            </w:r>
          </w:p>
          <w:p>
            <w:pPr>
              <w:spacing w:line="480" w:lineRule="exact"/>
              <w:jc w:val="center"/>
              <w:rPr>
                <w:rFonts w:ascii="方正仿宋_GBK" w:hAnsi="方正仿宋_GBK" w:cs="方正仿宋_GBK"/>
                <w:sz w:val="24"/>
              </w:rPr>
            </w:pPr>
            <w:r>
              <w:rPr>
                <w:rFonts w:hint="eastAsia" w:ascii="方正仿宋_GBK" w:hAnsi="方正仿宋_GBK" w:cs="方正仿宋_GBK"/>
                <w:sz w:val="24"/>
              </w:rPr>
              <w:t>审查</w:t>
            </w:r>
          </w:p>
          <w:p>
            <w:pPr>
              <w:spacing w:line="480" w:lineRule="exact"/>
              <w:jc w:val="center"/>
              <w:rPr>
                <w:rFonts w:ascii="方正仿宋_GBK" w:hAnsi="方正仿宋_GBK" w:cs="方正仿宋_GBK"/>
                <w:sz w:val="24"/>
              </w:rPr>
            </w:pPr>
            <w:r>
              <w:rPr>
                <w:rFonts w:hint="eastAsia" w:ascii="方正仿宋_GBK" w:hAnsi="方正仿宋_GBK" w:cs="方正仿宋_GBK"/>
                <w:sz w:val="24"/>
              </w:rPr>
              <w:t>科室</w:t>
            </w:r>
          </w:p>
          <w:p>
            <w:pPr>
              <w:spacing w:line="480" w:lineRule="exact"/>
              <w:jc w:val="center"/>
              <w:rPr>
                <w:rFonts w:ascii="方正仿宋_GBK" w:hAnsi="方正仿宋_GBK" w:cs="方正仿宋_GBK"/>
                <w:sz w:val="24"/>
              </w:rPr>
            </w:pPr>
            <w:r>
              <w:rPr>
                <w:rFonts w:hint="eastAsia" w:ascii="方正仿宋_GBK" w:hAnsi="方正仿宋_GBK" w:cs="方正仿宋_GBK"/>
                <w:sz w:val="24"/>
              </w:rPr>
              <w:t>复核</w:t>
            </w:r>
          </w:p>
          <w:p>
            <w:pPr>
              <w:spacing w:line="480" w:lineRule="exact"/>
              <w:jc w:val="center"/>
              <w:rPr>
                <w:rFonts w:ascii="方正仿宋_GBK" w:hAnsi="方正仿宋_GBK" w:cs="方正仿宋_GBK"/>
                <w:sz w:val="24"/>
              </w:rPr>
            </w:pPr>
            <w:r>
              <w:rPr>
                <w:rFonts w:hint="eastAsia" w:ascii="方正仿宋_GBK" w:hAnsi="方正仿宋_GBK" w:cs="方正仿宋_GBK"/>
                <w:sz w:val="24"/>
              </w:rPr>
              <w:t>意见</w:t>
            </w:r>
          </w:p>
        </w:tc>
        <w:tc>
          <w:tcPr>
            <w:tcW w:w="1725" w:type="dxa"/>
            <w:tcBorders>
              <w:bottom w:val="single" w:color="auto" w:sz="4" w:space="0"/>
              <w:right w:val="single" w:color="auto" w:sz="4" w:space="0"/>
            </w:tcBorders>
          </w:tcPr>
          <w:p>
            <w:pPr>
              <w:spacing w:line="480" w:lineRule="exact"/>
              <w:jc w:val="center"/>
              <w:rPr>
                <w:rFonts w:ascii="方正仿宋_GBK" w:hAnsi="方正仿宋_GBK" w:cs="方正仿宋_GBK"/>
                <w:sz w:val="24"/>
              </w:rPr>
            </w:pPr>
          </w:p>
          <w:p>
            <w:pPr>
              <w:spacing w:line="480" w:lineRule="exact"/>
              <w:jc w:val="center"/>
              <w:rPr>
                <w:rFonts w:ascii="方正仿宋_GBK" w:hAnsi="方正仿宋_GBK" w:cs="方正仿宋_GBK"/>
                <w:sz w:val="24"/>
              </w:rPr>
            </w:pPr>
            <w:r>
              <w:rPr>
                <w:rFonts w:hint="eastAsia" w:ascii="方正仿宋_GBK" w:hAnsi="方正仿宋_GBK" w:cs="方正仿宋_GBK"/>
                <w:sz w:val="24"/>
              </w:rPr>
              <w:t>审查人员意见</w:t>
            </w:r>
          </w:p>
        </w:tc>
        <w:tc>
          <w:tcPr>
            <w:tcW w:w="5812" w:type="dxa"/>
            <w:tcBorders>
              <w:left w:val="single" w:color="auto" w:sz="4" w:space="0"/>
              <w:bottom w:val="single" w:color="auto" w:sz="4" w:space="0"/>
            </w:tcBorders>
          </w:tcPr>
          <w:p>
            <w:pPr>
              <w:widowControl/>
              <w:spacing w:line="480" w:lineRule="exact"/>
              <w:jc w:val="left"/>
              <w:rPr>
                <w:rFonts w:ascii="方正仿宋_GBK" w:hAnsi="方正仿宋_GBK" w:cs="方正仿宋_GBK"/>
                <w:sz w:val="24"/>
              </w:rPr>
            </w:pPr>
          </w:p>
          <w:p>
            <w:pPr>
              <w:spacing w:line="480" w:lineRule="exact"/>
              <w:ind w:right="560" w:firstLine="1320" w:firstLineChars="550"/>
              <w:rPr>
                <w:rFonts w:ascii="方正仿宋_GBK" w:hAnsi="方正仿宋_GBK" w:cs="方正仿宋_GBK"/>
                <w:sz w:val="24"/>
              </w:rPr>
            </w:pPr>
          </w:p>
          <w:p>
            <w:pPr>
              <w:spacing w:line="480" w:lineRule="exact"/>
              <w:ind w:right="560" w:firstLine="1320" w:firstLineChars="550"/>
              <w:rPr>
                <w:rFonts w:ascii="方正仿宋_GBK" w:hAnsi="方正仿宋_GBK" w:cs="方正仿宋_GBK"/>
                <w:sz w:val="24"/>
              </w:rPr>
            </w:pPr>
            <w:r>
              <w:rPr>
                <w:rFonts w:hint="eastAsia" w:ascii="方正仿宋_GBK" w:hAnsi="方正仿宋_GBK" w:cs="方正仿宋_GBK"/>
                <w:sz w:val="24"/>
              </w:rPr>
              <w:t>签字：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1" w:hRule="atLeast"/>
        </w:trPr>
        <w:tc>
          <w:tcPr>
            <w:tcW w:w="1247" w:type="dxa"/>
            <w:vMerge w:val="continue"/>
            <w:vAlign w:val="center"/>
          </w:tcPr>
          <w:p>
            <w:pPr>
              <w:spacing w:line="480" w:lineRule="exact"/>
              <w:jc w:val="center"/>
              <w:rPr>
                <w:rFonts w:ascii="方正仿宋_GBK" w:hAnsi="方正仿宋_GBK" w:cs="方正仿宋_GBK"/>
                <w:sz w:val="24"/>
              </w:rPr>
            </w:pPr>
          </w:p>
        </w:tc>
        <w:tc>
          <w:tcPr>
            <w:tcW w:w="1725" w:type="dxa"/>
            <w:tcBorders>
              <w:top w:val="single" w:color="auto" w:sz="4" w:space="0"/>
              <w:right w:val="single" w:color="auto" w:sz="4" w:space="0"/>
            </w:tcBorders>
          </w:tcPr>
          <w:p>
            <w:pPr>
              <w:spacing w:line="480" w:lineRule="exact"/>
              <w:jc w:val="center"/>
              <w:rPr>
                <w:rFonts w:ascii="方正仿宋_GBK" w:hAnsi="方正仿宋_GBK" w:cs="方正仿宋_GBK"/>
                <w:sz w:val="24"/>
              </w:rPr>
            </w:pPr>
          </w:p>
          <w:p>
            <w:pPr>
              <w:spacing w:line="480" w:lineRule="exact"/>
              <w:jc w:val="center"/>
              <w:rPr>
                <w:rFonts w:ascii="方正仿宋_GBK" w:hAnsi="方正仿宋_GBK" w:cs="方正仿宋_GBK"/>
                <w:sz w:val="24"/>
              </w:rPr>
            </w:pPr>
            <w:r>
              <w:rPr>
                <w:rFonts w:hint="eastAsia" w:ascii="方正仿宋_GBK" w:hAnsi="方正仿宋_GBK" w:cs="方正仿宋_GBK"/>
                <w:sz w:val="24"/>
              </w:rPr>
              <w:t>负责人意见</w:t>
            </w:r>
          </w:p>
          <w:p>
            <w:pPr>
              <w:spacing w:line="480" w:lineRule="exact"/>
              <w:ind w:firstLine="2040" w:firstLineChars="850"/>
              <w:jc w:val="center"/>
              <w:rPr>
                <w:rFonts w:ascii="方正仿宋_GBK" w:hAnsi="方正仿宋_GBK" w:cs="方正仿宋_GBK"/>
                <w:sz w:val="24"/>
              </w:rPr>
            </w:pPr>
            <w:r>
              <w:rPr>
                <w:rFonts w:hint="eastAsia" w:ascii="方正仿宋_GBK" w:hAnsi="方正仿宋_GBK" w:cs="方正仿宋_GBK"/>
                <w:sz w:val="24"/>
              </w:rPr>
              <w:t>签</w:t>
            </w:r>
          </w:p>
        </w:tc>
        <w:tc>
          <w:tcPr>
            <w:tcW w:w="5812" w:type="dxa"/>
            <w:tcBorders>
              <w:top w:val="single" w:color="auto" w:sz="4" w:space="0"/>
              <w:left w:val="single" w:color="auto" w:sz="4" w:space="0"/>
            </w:tcBorders>
          </w:tcPr>
          <w:p>
            <w:pPr>
              <w:widowControl/>
              <w:spacing w:line="480" w:lineRule="exact"/>
              <w:jc w:val="left"/>
              <w:rPr>
                <w:rFonts w:ascii="方正仿宋_GBK" w:hAnsi="方正仿宋_GBK" w:cs="方正仿宋_GBK"/>
                <w:sz w:val="24"/>
              </w:rPr>
            </w:pPr>
          </w:p>
          <w:p>
            <w:pPr>
              <w:spacing w:line="480" w:lineRule="exact"/>
              <w:ind w:right="560" w:firstLine="1320" w:firstLineChars="550"/>
              <w:rPr>
                <w:rFonts w:ascii="方正仿宋_GBK" w:hAnsi="方正仿宋_GBK" w:cs="方正仿宋_GBK"/>
                <w:sz w:val="24"/>
              </w:rPr>
            </w:pPr>
          </w:p>
          <w:p>
            <w:pPr>
              <w:spacing w:line="480" w:lineRule="exact"/>
              <w:ind w:right="560" w:firstLine="1320" w:firstLineChars="550"/>
              <w:rPr>
                <w:rFonts w:ascii="方正仿宋_GBK" w:hAnsi="方正仿宋_GBK" w:cs="方正仿宋_GBK"/>
                <w:sz w:val="24"/>
              </w:rPr>
            </w:pPr>
            <w:r>
              <w:rPr>
                <w:rFonts w:hint="eastAsia" w:ascii="方正仿宋_GBK" w:hAnsi="方正仿宋_GBK" w:cs="方正仿宋_GBK"/>
                <w:sz w:val="24"/>
              </w:rPr>
              <w:t>签字：</w:t>
            </w:r>
          </w:p>
        </w:tc>
      </w:tr>
    </w:tbl>
    <w:p>
      <w:pPr>
        <w:widowControl/>
        <w:adjustRightInd w:val="0"/>
        <w:spacing w:line="550" w:lineRule="exact"/>
        <w:ind w:firstLine="640"/>
        <w:textAlignment w:val="baseline"/>
        <w:rPr>
          <w:rFonts w:ascii="方正仿宋_GBK" w:hAnsi="方正仿宋_GBK" w:eastAsia="方正仿宋_GBK" w:cs="方正仿宋_GBK"/>
          <w:sz w:val="32"/>
          <w:szCs w:val="32"/>
        </w:rPr>
      </w:pPr>
    </w:p>
    <w:p>
      <w:pPr>
        <w:widowControl/>
        <w:adjustRightInd w:val="0"/>
        <w:spacing w:line="550" w:lineRule="exact"/>
        <w:textAlignment w:val="baseline"/>
        <w:rPr>
          <w:rFonts w:ascii="方正仿宋_GBK" w:hAnsi="方正仿宋_GBK" w:eastAsia="方正仿宋_GBK" w:cs="方正仿宋_GBK"/>
          <w:sz w:val="32"/>
          <w:szCs w:val="32"/>
        </w:rPr>
      </w:pPr>
    </w:p>
    <w:p>
      <w:pPr>
        <w:widowControl/>
        <w:adjustRightInd w:val="0"/>
        <w:spacing w:line="360" w:lineRule="exact"/>
        <w:ind w:firstLine="641"/>
        <w:textAlignment w:val="baseline"/>
        <w:rPr>
          <w:rFonts w:ascii="方正仿宋_GBK" w:hAnsi="方正仿宋_GBK" w:eastAsia="方正仿宋_GBK" w:cs="方正仿宋_GBK"/>
          <w:sz w:val="24"/>
        </w:rPr>
        <w:sectPr>
          <w:pgSz w:w="11906" w:h="16838"/>
          <w:pgMar w:top="1440" w:right="1800" w:bottom="1440" w:left="1800" w:header="851" w:footer="992" w:gutter="0"/>
          <w:cols w:space="425" w:num="1"/>
          <w:docGrid w:type="lines" w:linePitch="312" w:charSpace="0"/>
        </w:sectPr>
      </w:pPr>
    </w:p>
    <w:p>
      <w:pPr>
        <w:widowControl/>
        <w:spacing w:line="440" w:lineRule="exact"/>
        <w:rPr>
          <w:rFonts w:ascii="方正黑体_GBK" w:hAnsi="Times New Roman" w:eastAsia="方正黑体_GBK" w:cs="Times New Roman"/>
          <w:kern w:val="0"/>
          <w:sz w:val="32"/>
          <w:szCs w:val="32"/>
        </w:rPr>
      </w:pPr>
      <w:r>
        <w:rPr>
          <w:rFonts w:hint="eastAsia" w:ascii="方正黑体_GBK" w:hAnsi="Times New Roman" w:eastAsia="方正黑体_GBK" w:cs="Times New Roman"/>
          <w:kern w:val="0"/>
          <w:sz w:val="32"/>
          <w:szCs w:val="32"/>
        </w:rPr>
        <w:t>附件2</w:t>
      </w:r>
    </w:p>
    <w:p>
      <w:pPr>
        <w:widowControl/>
        <w:spacing w:line="574" w:lineRule="exact"/>
        <w:jc w:val="center"/>
        <w:rPr>
          <w:rFonts w:ascii="方正小标宋_GBK" w:hAnsi="宋体" w:eastAsia="方正小标宋_GBK" w:cs="宋体"/>
          <w:sz w:val="44"/>
          <w:szCs w:val="44"/>
        </w:rPr>
      </w:pPr>
      <w:r>
        <w:rPr>
          <w:rFonts w:hint="eastAsia" w:ascii="方正小标宋_GBK" w:hAnsi="宋体" w:eastAsia="方正小标宋_GBK" w:cs="宋体"/>
          <w:sz w:val="44"/>
          <w:szCs w:val="44"/>
        </w:rPr>
        <w:t>政策名录库</w:t>
      </w:r>
    </w:p>
    <w:p>
      <w:pPr>
        <w:widowControl/>
        <w:spacing w:line="440" w:lineRule="exact"/>
        <w:rPr>
          <w:rFonts w:ascii="方正黑体_GBK" w:hAnsi="Times New Roman" w:eastAsia="方正黑体_GBK" w:cs="Times New Roman"/>
          <w:kern w:val="0"/>
          <w:sz w:val="32"/>
          <w:szCs w:val="32"/>
        </w:rPr>
      </w:pPr>
      <w:r>
        <w:rPr>
          <w:rFonts w:hint="eastAsia" w:ascii="方正黑体_GBK" w:hAnsi="Times New Roman" w:eastAsia="方正黑体_GBK" w:cs="Times New Roman"/>
          <w:kern w:val="0"/>
          <w:sz w:val="32"/>
          <w:szCs w:val="32"/>
        </w:rPr>
        <w:t xml:space="preserve">单位：                                                           </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8"/>
        <w:gridCol w:w="2342"/>
        <w:gridCol w:w="1627"/>
        <w:gridCol w:w="1419"/>
        <w:gridCol w:w="1362"/>
        <w:gridCol w:w="1292"/>
        <w:gridCol w:w="1310"/>
        <w:gridCol w:w="1656"/>
        <w:gridCol w:w="1361"/>
        <w:gridCol w:w="12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8" w:type="dxa"/>
            <w:vAlign w:val="center"/>
          </w:tcPr>
          <w:p>
            <w:pPr>
              <w:widowControl/>
              <w:spacing w:line="340" w:lineRule="exact"/>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序号</w:t>
            </w:r>
          </w:p>
        </w:tc>
        <w:tc>
          <w:tcPr>
            <w:tcW w:w="2342" w:type="dxa"/>
            <w:vAlign w:val="center"/>
          </w:tcPr>
          <w:p>
            <w:pPr>
              <w:widowControl/>
              <w:spacing w:line="340" w:lineRule="exact"/>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政策措施名称</w:t>
            </w:r>
          </w:p>
        </w:tc>
        <w:tc>
          <w:tcPr>
            <w:tcW w:w="1627" w:type="dxa"/>
            <w:vAlign w:val="center"/>
          </w:tcPr>
          <w:p>
            <w:pPr>
              <w:widowControl/>
              <w:spacing w:line="340" w:lineRule="exact"/>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文号</w:t>
            </w:r>
          </w:p>
        </w:tc>
        <w:tc>
          <w:tcPr>
            <w:tcW w:w="1419" w:type="dxa"/>
            <w:vAlign w:val="center"/>
          </w:tcPr>
          <w:p>
            <w:pPr>
              <w:widowControl/>
              <w:spacing w:line="340" w:lineRule="exact"/>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起草科室</w:t>
            </w:r>
          </w:p>
        </w:tc>
        <w:tc>
          <w:tcPr>
            <w:tcW w:w="1362" w:type="dxa"/>
            <w:vAlign w:val="center"/>
          </w:tcPr>
          <w:p>
            <w:pPr>
              <w:widowControl/>
              <w:spacing w:line="340" w:lineRule="exact"/>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印发时间</w:t>
            </w:r>
          </w:p>
        </w:tc>
        <w:tc>
          <w:tcPr>
            <w:tcW w:w="1292" w:type="dxa"/>
            <w:vAlign w:val="center"/>
          </w:tcPr>
          <w:p>
            <w:pPr>
              <w:widowControl/>
              <w:spacing w:line="340" w:lineRule="exact"/>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有效期</w:t>
            </w:r>
          </w:p>
        </w:tc>
        <w:tc>
          <w:tcPr>
            <w:tcW w:w="1310" w:type="dxa"/>
            <w:vAlign w:val="center"/>
          </w:tcPr>
          <w:p>
            <w:pPr>
              <w:widowControl/>
              <w:spacing w:line="340" w:lineRule="exact"/>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涉及行业领域</w:t>
            </w:r>
          </w:p>
        </w:tc>
        <w:tc>
          <w:tcPr>
            <w:tcW w:w="1656" w:type="dxa"/>
            <w:vAlign w:val="center"/>
          </w:tcPr>
          <w:p>
            <w:pPr>
              <w:widowControl/>
              <w:spacing w:line="340" w:lineRule="exact"/>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是否经过公平竞争审查</w:t>
            </w:r>
          </w:p>
        </w:tc>
        <w:tc>
          <w:tcPr>
            <w:tcW w:w="1361" w:type="dxa"/>
            <w:vAlign w:val="center"/>
          </w:tcPr>
          <w:p>
            <w:pPr>
              <w:widowControl/>
              <w:spacing w:line="340" w:lineRule="exact"/>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是否适用例外规定</w:t>
            </w:r>
          </w:p>
        </w:tc>
        <w:tc>
          <w:tcPr>
            <w:tcW w:w="1237" w:type="dxa"/>
            <w:vAlign w:val="center"/>
          </w:tcPr>
          <w:p>
            <w:pPr>
              <w:widowControl/>
              <w:spacing w:line="340" w:lineRule="exact"/>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记录人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4" w:hRule="atLeast"/>
          <w:jc w:val="center"/>
        </w:trPr>
        <w:tc>
          <w:tcPr>
            <w:tcW w:w="568" w:type="dxa"/>
          </w:tcPr>
          <w:p>
            <w:pPr>
              <w:widowControl/>
              <w:spacing w:line="440" w:lineRule="exact"/>
              <w:rPr>
                <w:rFonts w:ascii="方正仿宋_GBK" w:hAnsi="方正仿宋_GBK" w:eastAsia="方正仿宋_GBK" w:cs="方正仿宋_GBK"/>
                <w:sz w:val="32"/>
                <w:szCs w:val="32"/>
              </w:rPr>
            </w:pPr>
          </w:p>
        </w:tc>
        <w:tc>
          <w:tcPr>
            <w:tcW w:w="2342" w:type="dxa"/>
          </w:tcPr>
          <w:p>
            <w:pPr>
              <w:widowControl/>
              <w:spacing w:line="440" w:lineRule="exact"/>
              <w:rPr>
                <w:rFonts w:ascii="方正仿宋_GBK" w:hAnsi="方正仿宋_GBK" w:eastAsia="方正仿宋_GBK" w:cs="方正仿宋_GBK"/>
                <w:sz w:val="32"/>
                <w:szCs w:val="32"/>
              </w:rPr>
            </w:pPr>
          </w:p>
        </w:tc>
        <w:tc>
          <w:tcPr>
            <w:tcW w:w="1627" w:type="dxa"/>
          </w:tcPr>
          <w:p>
            <w:pPr>
              <w:widowControl/>
              <w:spacing w:line="440" w:lineRule="exact"/>
              <w:rPr>
                <w:rFonts w:ascii="方正仿宋_GBK" w:hAnsi="方正仿宋_GBK" w:eastAsia="方正仿宋_GBK" w:cs="方正仿宋_GBK"/>
                <w:sz w:val="32"/>
                <w:szCs w:val="32"/>
              </w:rPr>
            </w:pPr>
          </w:p>
        </w:tc>
        <w:tc>
          <w:tcPr>
            <w:tcW w:w="1419" w:type="dxa"/>
          </w:tcPr>
          <w:p>
            <w:pPr>
              <w:widowControl/>
              <w:spacing w:line="440" w:lineRule="exact"/>
              <w:rPr>
                <w:rFonts w:ascii="方正仿宋_GBK" w:hAnsi="方正仿宋_GBK" w:eastAsia="方正仿宋_GBK" w:cs="方正仿宋_GBK"/>
                <w:sz w:val="32"/>
                <w:szCs w:val="32"/>
              </w:rPr>
            </w:pPr>
          </w:p>
        </w:tc>
        <w:tc>
          <w:tcPr>
            <w:tcW w:w="1362" w:type="dxa"/>
          </w:tcPr>
          <w:p>
            <w:pPr>
              <w:widowControl/>
              <w:spacing w:line="440" w:lineRule="exact"/>
              <w:rPr>
                <w:rFonts w:ascii="方正仿宋_GBK" w:hAnsi="方正仿宋_GBK" w:eastAsia="方正仿宋_GBK" w:cs="方正仿宋_GBK"/>
                <w:sz w:val="32"/>
                <w:szCs w:val="32"/>
              </w:rPr>
            </w:pPr>
          </w:p>
        </w:tc>
        <w:tc>
          <w:tcPr>
            <w:tcW w:w="1292" w:type="dxa"/>
          </w:tcPr>
          <w:p>
            <w:pPr>
              <w:widowControl/>
              <w:spacing w:line="440" w:lineRule="exact"/>
              <w:rPr>
                <w:rFonts w:ascii="方正仿宋_GBK" w:hAnsi="方正仿宋_GBK" w:eastAsia="方正仿宋_GBK" w:cs="方正仿宋_GBK"/>
                <w:sz w:val="32"/>
                <w:szCs w:val="32"/>
              </w:rPr>
            </w:pPr>
          </w:p>
        </w:tc>
        <w:tc>
          <w:tcPr>
            <w:tcW w:w="1310" w:type="dxa"/>
          </w:tcPr>
          <w:p>
            <w:pPr>
              <w:widowControl/>
              <w:spacing w:line="440" w:lineRule="exact"/>
              <w:rPr>
                <w:rFonts w:ascii="方正仿宋_GBK" w:hAnsi="方正仿宋_GBK" w:eastAsia="方正仿宋_GBK" w:cs="方正仿宋_GBK"/>
                <w:sz w:val="32"/>
                <w:szCs w:val="32"/>
              </w:rPr>
            </w:pPr>
          </w:p>
        </w:tc>
        <w:tc>
          <w:tcPr>
            <w:tcW w:w="1656" w:type="dxa"/>
          </w:tcPr>
          <w:p>
            <w:pPr>
              <w:widowControl/>
              <w:spacing w:line="440" w:lineRule="exact"/>
              <w:rPr>
                <w:rFonts w:ascii="方正仿宋_GBK" w:hAnsi="方正仿宋_GBK" w:eastAsia="方正仿宋_GBK" w:cs="方正仿宋_GBK"/>
                <w:sz w:val="32"/>
                <w:szCs w:val="32"/>
              </w:rPr>
            </w:pPr>
          </w:p>
        </w:tc>
        <w:tc>
          <w:tcPr>
            <w:tcW w:w="1361" w:type="dxa"/>
          </w:tcPr>
          <w:p>
            <w:pPr>
              <w:widowControl/>
              <w:spacing w:line="440" w:lineRule="exact"/>
              <w:rPr>
                <w:rFonts w:ascii="方正仿宋_GBK" w:hAnsi="方正仿宋_GBK" w:eastAsia="方正仿宋_GBK" w:cs="方正仿宋_GBK"/>
                <w:sz w:val="32"/>
                <w:szCs w:val="32"/>
              </w:rPr>
            </w:pPr>
          </w:p>
        </w:tc>
        <w:tc>
          <w:tcPr>
            <w:tcW w:w="1237" w:type="dxa"/>
          </w:tcPr>
          <w:p>
            <w:pPr>
              <w:widowControl/>
              <w:spacing w:line="440" w:lineRule="exact"/>
              <w:rPr>
                <w:rFonts w:ascii="方正仿宋_GBK" w:hAnsi="方正仿宋_GBK" w:eastAsia="方正仿宋_GBK" w:cs="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4" w:hRule="atLeast"/>
          <w:jc w:val="center"/>
        </w:trPr>
        <w:tc>
          <w:tcPr>
            <w:tcW w:w="568" w:type="dxa"/>
          </w:tcPr>
          <w:p>
            <w:pPr>
              <w:widowControl/>
              <w:spacing w:line="440" w:lineRule="exact"/>
              <w:rPr>
                <w:rFonts w:ascii="方正仿宋_GBK" w:hAnsi="方正仿宋_GBK" w:eastAsia="方正仿宋_GBK" w:cs="方正仿宋_GBK"/>
                <w:sz w:val="32"/>
                <w:szCs w:val="32"/>
              </w:rPr>
            </w:pPr>
          </w:p>
        </w:tc>
        <w:tc>
          <w:tcPr>
            <w:tcW w:w="2342" w:type="dxa"/>
          </w:tcPr>
          <w:p>
            <w:pPr>
              <w:widowControl/>
              <w:spacing w:line="440" w:lineRule="exact"/>
              <w:rPr>
                <w:rFonts w:ascii="方正仿宋_GBK" w:hAnsi="方正仿宋_GBK" w:eastAsia="方正仿宋_GBK" w:cs="方正仿宋_GBK"/>
                <w:sz w:val="32"/>
                <w:szCs w:val="32"/>
              </w:rPr>
            </w:pPr>
          </w:p>
        </w:tc>
        <w:tc>
          <w:tcPr>
            <w:tcW w:w="1627" w:type="dxa"/>
          </w:tcPr>
          <w:p>
            <w:pPr>
              <w:widowControl/>
              <w:spacing w:line="440" w:lineRule="exact"/>
              <w:rPr>
                <w:rFonts w:ascii="方正仿宋_GBK" w:hAnsi="方正仿宋_GBK" w:eastAsia="方正仿宋_GBK" w:cs="方正仿宋_GBK"/>
                <w:sz w:val="32"/>
                <w:szCs w:val="32"/>
              </w:rPr>
            </w:pPr>
          </w:p>
        </w:tc>
        <w:tc>
          <w:tcPr>
            <w:tcW w:w="1419" w:type="dxa"/>
          </w:tcPr>
          <w:p>
            <w:pPr>
              <w:widowControl/>
              <w:spacing w:line="440" w:lineRule="exact"/>
              <w:rPr>
                <w:rFonts w:ascii="方正仿宋_GBK" w:hAnsi="方正仿宋_GBK" w:eastAsia="方正仿宋_GBK" w:cs="方正仿宋_GBK"/>
                <w:sz w:val="32"/>
                <w:szCs w:val="32"/>
              </w:rPr>
            </w:pPr>
          </w:p>
        </w:tc>
        <w:tc>
          <w:tcPr>
            <w:tcW w:w="1362" w:type="dxa"/>
          </w:tcPr>
          <w:p>
            <w:pPr>
              <w:widowControl/>
              <w:spacing w:line="440" w:lineRule="exact"/>
              <w:rPr>
                <w:rFonts w:ascii="方正仿宋_GBK" w:hAnsi="方正仿宋_GBK" w:eastAsia="方正仿宋_GBK" w:cs="方正仿宋_GBK"/>
                <w:sz w:val="32"/>
                <w:szCs w:val="32"/>
              </w:rPr>
            </w:pPr>
          </w:p>
        </w:tc>
        <w:tc>
          <w:tcPr>
            <w:tcW w:w="1292" w:type="dxa"/>
          </w:tcPr>
          <w:p>
            <w:pPr>
              <w:widowControl/>
              <w:spacing w:line="440" w:lineRule="exact"/>
              <w:rPr>
                <w:rFonts w:ascii="方正仿宋_GBK" w:hAnsi="方正仿宋_GBK" w:eastAsia="方正仿宋_GBK" w:cs="方正仿宋_GBK"/>
                <w:sz w:val="32"/>
                <w:szCs w:val="32"/>
              </w:rPr>
            </w:pPr>
          </w:p>
        </w:tc>
        <w:tc>
          <w:tcPr>
            <w:tcW w:w="1310" w:type="dxa"/>
          </w:tcPr>
          <w:p>
            <w:pPr>
              <w:widowControl/>
              <w:spacing w:line="440" w:lineRule="exact"/>
              <w:rPr>
                <w:rFonts w:ascii="方正仿宋_GBK" w:hAnsi="方正仿宋_GBK" w:eastAsia="方正仿宋_GBK" w:cs="方正仿宋_GBK"/>
                <w:sz w:val="32"/>
                <w:szCs w:val="32"/>
              </w:rPr>
            </w:pPr>
          </w:p>
        </w:tc>
        <w:tc>
          <w:tcPr>
            <w:tcW w:w="1656" w:type="dxa"/>
          </w:tcPr>
          <w:p>
            <w:pPr>
              <w:widowControl/>
              <w:spacing w:line="440" w:lineRule="exact"/>
              <w:rPr>
                <w:rFonts w:ascii="方正仿宋_GBK" w:hAnsi="方正仿宋_GBK" w:eastAsia="方正仿宋_GBK" w:cs="方正仿宋_GBK"/>
                <w:sz w:val="32"/>
                <w:szCs w:val="32"/>
              </w:rPr>
            </w:pPr>
          </w:p>
        </w:tc>
        <w:tc>
          <w:tcPr>
            <w:tcW w:w="1361" w:type="dxa"/>
          </w:tcPr>
          <w:p>
            <w:pPr>
              <w:widowControl/>
              <w:spacing w:line="440" w:lineRule="exact"/>
              <w:rPr>
                <w:rFonts w:ascii="方正仿宋_GBK" w:hAnsi="方正仿宋_GBK" w:eastAsia="方正仿宋_GBK" w:cs="方正仿宋_GBK"/>
                <w:sz w:val="32"/>
                <w:szCs w:val="32"/>
              </w:rPr>
            </w:pPr>
          </w:p>
        </w:tc>
        <w:tc>
          <w:tcPr>
            <w:tcW w:w="1237" w:type="dxa"/>
          </w:tcPr>
          <w:p>
            <w:pPr>
              <w:widowControl/>
              <w:spacing w:line="440" w:lineRule="exact"/>
              <w:rPr>
                <w:rFonts w:ascii="方正仿宋_GBK" w:hAnsi="方正仿宋_GBK" w:eastAsia="方正仿宋_GBK" w:cs="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4" w:hRule="atLeast"/>
          <w:jc w:val="center"/>
        </w:trPr>
        <w:tc>
          <w:tcPr>
            <w:tcW w:w="568" w:type="dxa"/>
          </w:tcPr>
          <w:p>
            <w:pPr>
              <w:widowControl/>
              <w:spacing w:line="440" w:lineRule="exact"/>
              <w:rPr>
                <w:rFonts w:ascii="方正仿宋_GBK" w:hAnsi="方正仿宋_GBK" w:eastAsia="方正仿宋_GBK" w:cs="方正仿宋_GBK"/>
                <w:sz w:val="32"/>
                <w:szCs w:val="32"/>
              </w:rPr>
            </w:pPr>
          </w:p>
        </w:tc>
        <w:tc>
          <w:tcPr>
            <w:tcW w:w="2342" w:type="dxa"/>
          </w:tcPr>
          <w:p>
            <w:pPr>
              <w:widowControl/>
              <w:spacing w:line="440" w:lineRule="exact"/>
              <w:rPr>
                <w:rFonts w:ascii="方正仿宋_GBK" w:hAnsi="方正仿宋_GBK" w:eastAsia="方正仿宋_GBK" w:cs="方正仿宋_GBK"/>
                <w:sz w:val="32"/>
                <w:szCs w:val="32"/>
              </w:rPr>
            </w:pPr>
          </w:p>
        </w:tc>
        <w:tc>
          <w:tcPr>
            <w:tcW w:w="1627" w:type="dxa"/>
          </w:tcPr>
          <w:p>
            <w:pPr>
              <w:widowControl/>
              <w:spacing w:line="440" w:lineRule="exact"/>
              <w:rPr>
                <w:rFonts w:ascii="方正仿宋_GBK" w:hAnsi="方正仿宋_GBK" w:eastAsia="方正仿宋_GBK" w:cs="方正仿宋_GBK"/>
                <w:sz w:val="32"/>
                <w:szCs w:val="32"/>
              </w:rPr>
            </w:pPr>
          </w:p>
        </w:tc>
        <w:tc>
          <w:tcPr>
            <w:tcW w:w="1419" w:type="dxa"/>
          </w:tcPr>
          <w:p>
            <w:pPr>
              <w:widowControl/>
              <w:spacing w:line="440" w:lineRule="exact"/>
              <w:rPr>
                <w:rFonts w:ascii="方正仿宋_GBK" w:hAnsi="方正仿宋_GBK" w:eastAsia="方正仿宋_GBK" w:cs="方正仿宋_GBK"/>
                <w:sz w:val="32"/>
                <w:szCs w:val="32"/>
              </w:rPr>
            </w:pPr>
          </w:p>
        </w:tc>
        <w:tc>
          <w:tcPr>
            <w:tcW w:w="1362" w:type="dxa"/>
          </w:tcPr>
          <w:p>
            <w:pPr>
              <w:widowControl/>
              <w:spacing w:line="440" w:lineRule="exact"/>
              <w:rPr>
                <w:rFonts w:ascii="方正仿宋_GBK" w:hAnsi="方正仿宋_GBK" w:eastAsia="方正仿宋_GBK" w:cs="方正仿宋_GBK"/>
                <w:sz w:val="32"/>
                <w:szCs w:val="32"/>
              </w:rPr>
            </w:pPr>
          </w:p>
        </w:tc>
        <w:tc>
          <w:tcPr>
            <w:tcW w:w="1292" w:type="dxa"/>
          </w:tcPr>
          <w:p>
            <w:pPr>
              <w:widowControl/>
              <w:spacing w:line="440" w:lineRule="exact"/>
              <w:rPr>
                <w:rFonts w:ascii="方正仿宋_GBK" w:hAnsi="方正仿宋_GBK" w:eastAsia="方正仿宋_GBK" w:cs="方正仿宋_GBK"/>
                <w:sz w:val="32"/>
                <w:szCs w:val="32"/>
              </w:rPr>
            </w:pPr>
          </w:p>
        </w:tc>
        <w:tc>
          <w:tcPr>
            <w:tcW w:w="1310" w:type="dxa"/>
          </w:tcPr>
          <w:p>
            <w:pPr>
              <w:widowControl/>
              <w:spacing w:line="440" w:lineRule="exact"/>
              <w:rPr>
                <w:rFonts w:ascii="方正仿宋_GBK" w:hAnsi="方正仿宋_GBK" w:eastAsia="方正仿宋_GBK" w:cs="方正仿宋_GBK"/>
                <w:sz w:val="32"/>
                <w:szCs w:val="32"/>
              </w:rPr>
            </w:pPr>
          </w:p>
        </w:tc>
        <w:tc>
          <w:tcPr>
            <w:tcW w:w="1656" w:type="dxa"/>
          </w:tcPr>
          <w:p>
            <w:pPr>
              <w:widowControl/>
              <w:spacing w:line="440" w:lineRule="exact"/>
              <w:rPr>
                <w:rFonts w:ascii="方正仿宋_GBK" w:hAnsi="方正仿宋_GBK" w:eastAsia="方正仿宋_GBK" w:cs="方正仿宋_GBK"/>
                <w:sz w:val="32"/>
                <w:szCs w:val="32"/>
              </w:rPr>
            </w:pPr>
          </w:p>
        </w:tc>
        <w:tc>
          <w:tcPr>
            <w:tcW w:w="1361" w:type="dxa"/>
          </w:tcPr>
          <w:p>
            <w:pPr>
              <w:widowControl/>
              <w:spacing w:line="440" w:lineRule="exact"/>
              <w:rPr>
                <w:rFonts w:ascii="方正仿宋_GBK" w:hAnsi="方正仿宋_GBK" w:eastAsia="方正仿宋_GBK" w:cs="方正仿宋_GBK"/>
                <w:sz w:val="32"/>
                <w:szCs w:val="32"/>
              </w:rPr>
            </w:pPr>
          </w:p>
        </w:tc>
        <w:tc>
          <w:tcPr>
            <w:tcW w:w="1237" w:type="dxa"/>
          </w:tcPr>
          <w:p>
            <w:pPr>
              <w:widowControl/>
              <w:spacing w:line="440" w:lineRule="exact"/>
              <w:rPr>
                <w:rFonts w:ascii="方正仿宋_GBK" w:hAnsi="方正仿宋_GBK" w:eastAsia="方正仿宋_GBK" w:cs="方正仿宋_GBK"/>
                <w:sz w:val="32"/>
                <w:szCs w:val="32"/>
              </w:rPr>
            </w:pPr>
          </w:p>
        </w:tc>
      </w:tr>
    </w:tbl>
    <w:p>
      <w:pPr>
        <w:widowControl/>
        <w:spacing w:line="440" w:lineRule="exact"/>
        <w:rPr>
          <w:rFonts w:ascii="方正黑体_GBK" w:hAnsi="Times New Roman" w:eastAsia="方正黑体_GBK" w:cs="Times New Roman"/>
          <w:kern w:val="0"/>
          <w:sz w:val="32"/>
          <w:szCs w:val="32"/>
        </w:rPr>
      </w:pPr>
      <w:r>
        <w:rPr>
          <w:rFonts w:hint="eastAsia" w:ascii="方正黑体_GBK" w:hAnsi="Times New Roman" w:eastAsia="方正黑体_GBK" w:cs="Times New Roman"/>
          <w:kern w:val="0"/>
          <w:sz w:val="32"/>
          <w:szCs w:val="32"/>
        </w:rPr>
        <w:t>附件3</w:t>
      </w:r>
    </w:p>
    <w:p>
      <w:pPr>
        <w:widowControl/>
        <w:spacing w:line="574" w:lineRule="exact"/>
        <w:jc w:val="center"/>
        <w:rPr>
          <w:rFonts w:ascii="方正小标宋_GBK" w:hAnsi="宋体" w:eastAsia="方正小标宋_GBK" w:cs="宋体"/>
          <w:sz w:val="44"/>
          <w:szCs w:val="44"/>
        </w:rPr>
      </w:pPr>
      <w:r>
        <w:rPr>
          <w:rFonts w:hint="eastAsia" w:ascii="方正小标宋_GBK" w:hAnsi="宋体" w:eastAsia="方正小标宋_GBK" w:cs="宋体"/>
          <w:sz w:val="44"/>
          <w:szCs w:val="44"/>
        </w:rPr>
        <w:t>公平竞争审查文件清理目录</w:t>
      </w:r>
    </w:p>
    <w:p>
      <w:pPr>
        <w:widowControl/>
        <w:spacing w:line="574" w:lineRule="exact"/>
        <w:jc w:val="center"/>
        <w:rPr>
          <w:rFonts w:ascii="方正小标宋_GBK" w:hAnsi="宋体" w:eastAsia="方正小标宋_GBK" w:cs="宋体"/>
          <w:sz w:val="44"/>
          <w:szCs w:val="44"/>
        </w:rPr>
      </w:pPr>
    </w:p>
    <w:p>
      <w:pPr>
        <w:widowControl/>
        <w:ind w:firstLine="140" w:firstLineChars="50"/>
        <w:jc w:val="left"/>
        <w:rPr>
          <w:rFonts w:ascii="方正仿宋_GBK" w:hAnsi="黑体" w:cs="宋体"/>
          <w:sz w:val="28"/>
          <w:szCs w:val="28"/>
        </w:rPr>
      </w:pPr>
      <w:r>
        <w:rPr>
          <w:rFonts w:hint="eastAsia" w:ascii="方正仿宋_GBK" w:hAnsi="黑体" w:cs="宋体"/>
          <w:sz w:val="28"/>
          <w:szCs w:val="28"/>
        </w:rPr>
        <w:t>报送单位（盖章）：                    联系人：                    填表时间：   年  月  日</w:t>
      </w:r>
    </w:p>
    <w:tbl>
      <w:tblPr>
        <w:tblStyle w:val="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64"/>
        <w:gridCol w:w="1682"/>
        <w:gridCol w:w="640"/>
        <w:gridCol w:w="960"/>
        <w:gridCol w:w="960"/>
        <w:gridCol w:w="1026"/>
        <w:gridCol w:w="1843"/>
        <w:gridCol w:w="1246"/>
        <w:gridCol w:w="1862"/>
        <w:gridCol w:w="850"/>
        <w:gridCol w:w="851"/>
        <w:gridCol w:w="7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9" w:hRule="atLeast"/>
          <w:jc w:val="center"/>
        </w:trPr>
        <w:tc>
          <w:tcPr>
            <w:tcW w:w="664" w:type="dxa"/>
            <w:vAlign w:val="center"/>
          </w:tcPr>
          <w:p>
            <w:pPr>
              <w:spacing w:line="400" w:lineRule="exact"/>
              <w:jc w:val="center"/>
              <w:rPr>
                <w:rFonts w:ascii="方正黑体_GBK" w:hAnsi="黑体" w:eastAsia="方正黑体_GBK" w:cs="宋体"/>
                <w:szCs w:val="21"/>
              </w:rPr>
            </w:pPr>
            <w:r>
              <w:rPr>
                <w:rFonts w:hint="eastAsia" w:ascii="方正黑体_GBK" w:hAnsi="黑体" w:eastAsia="方正黑体_GBK" w:cs="宋体"/>
                <w:szCs w:val="21"/>
              </w:rPr>
              <w:t>序号</w:t>
            </w:r>
          </w:p>
        </w:tc>
        <w:tc>
          <w:tcPr>
            <w:tcW w:w="1682" w:type="dxa"/>
            <w:vAlign w:val="center"/>
          </w:tcPr>
          <w:p>
            <w:pPr>
              <w:spacing w:line="400" w:lineRule="exact"/>
              <w:jc w:val="center"/>
              <w:rPr>
                <w:rFonts w:ascii="方正黑体_GBK" w:hAnsi="黑体" w:eastAsia="方正黑体_GBK" w:cs="宋体"/>
                <w:szCs w:val="21"/>
              </w:rPr>
            </w:pPr>
            <w:r>
              <w:rPr>
                <w:rFonts w:hint="eastAsia" w:ascii="方正黑体_GBK" w:hAnsi="黑体" w:eastAsia="方正黑体_GBK" w:cs="宋体"/>
                <w:szCs w:val="21"/>
              </w:rPr>
              <w:t>文件名称</w:t>
            </w:r>
          </w:p>
        </w:tc>
        <w:tc>
          <w:tcPr>
            <w:tcW w:w="640" w:type="dxa"/>
            <w:vAlign w:val="center"/>
          </w:tcPr>
          <w:p>
            <w:pPr>
              <w:spacing w:line="400" w:lineRule="exact"/>
              <w:jc w:val="center"/>
              <w:rPr>
                <w:rFonts w:ascii="方正黑体_GBK" w:hAnsi="黑体" w:eastAsia="方正黑体_GBK" w:cs="宋体"/>
                <w:szCs w:val="21"/>
              </w:rPr>
            </w:pPr>
            <w:r>
              <w:rPr>
                <w:rFonts w:hint="eastAsia" w:ascii="方正黑体_GBK" w:hAnsi="黑体" w:eastAsia="方正黑体_GBK" w:cs="宋体"/>
                <w:szCs w:val="21"/>
              </w:rPr>
              <w:t>类别</w:t>
            </w:r>
          </w:p>
        </w:tc>
        <w:tc>
          <w:tcPr>
            <w:tcW w:w="960" w:type="dxa"/>
            <w:vAlign w:val="center"/>
          </w:tcPr>
          <w:p>
            <w:pPr>
              <w:spacing w:line="400" w:lineRule="exact"/>
              <w:jc w:val="center"/>
              <w:rPr>
                <w:rFonts w:ascii="方正黑体_GBK" w:hAnsi="黑体" w:eastAsia="方正黑体_GBK" w:cs="宋体"/>
                <w:szCs w:val="21"/>
              </w:rPr>
            </w:pPr>
            <w:r>
              <w:rPr>
                <w:rFonts w:hint="eastAsia" w:ascii="方正黑体_GBK" w:hAnsi="黑体" w:eastAsia="方正黑体_GBK" w:cs="宋体"/>
                <w:szCs w:val="21"/>
              </w:rPr>
              <w:t>发布</w:t>
            </w:r>
          </w:p>
          <w:p>
            <w:pPr>
              <w:spacing w:line="400" w:lineRule="exact"/>
              <w:jc w:val="center"/>
              <w:rPr>
                <w:rFonts w:ascii="方正黑体_GBK" w:hAnsi="黑体" w:eastAsia="方正黑体_GBK" w:cs="宋体"/>
                <w:szCs w:val="21"/>
              </w:rPr>
            </w:pPr>
            <w:r>
              <w:rPr>
                <w:rFonts w:hint="eastAsia" w:ascii="方正黑体_GBK" w:hAnsi="黑体" w:eastAsia="方正黑体_GBK" w:cs="宋体"/>
                <w:szCs w:val="21"/>
              </w:rPr>
              <w:t>机关</w:t>
            </w:r>
          </w:p>
        </w:tc>
        <w:tc>
          <w:tcPr>
            <w:tcW w:w="960" w:type="dxa"/>
            <w:vAlign w:val="center"/>
          </w:tcPr>
          <w:p>
            <w:pPr>
              <w:spacing w:line="400" w:lineRule="exact"/>
              <w:jc w:val="center"/>
              <w:rPr>
                <w:rFonts w:ascii="方正黑体_GBK" w:hAnsi="黑体" w:eastAsia="方正黑体_GBK" w:cs="宋体"/>
                <w:szCs w:val="21"/>
              </w:rPr>
            </w:pPr>
            <w:r>
              <w:rPr>
                <w:rFonts w:hint="eastAsia" w:ascii="方正黑体_GBK" w:hAnsi="黑体" w:eastAsia="方正黑体_GBK" w:cs="宋体"/>
                <w:szCs w:val="21"/>
              </w:rPr>
              <w:t>文号</w:t>
            </w:r>
          </w:p>
        </w:tc>
        <w:tc>
          <w:tcPr>
            <w:tcW w:w="1026" w:type="dxa"/>
            <w:vAlign w:val="center"/>
          </w:tcPr>
          <w:p>
            <w:pPr>
              <w:spacing w:line="400" w:lineRule="exact"/>
              <w:jc w:val="center"/>
              <w:rPr>
                <w:rFonts w:ascii="方正黑体_GBK" w:hAnsi="黑体" w:eastAsia="方正黑体_GBK" w:cs="宋体"/>
                <w:szCs w:val="21"/>
              </w:rPr>
            </w:pPr>
            <w:r>
              <w:rPr>
                <w:rFonts w:hint="eastAsia" w:ascii="方正黑体_GBK" w:hAnsi="黑体" w:eastAsia="方正黑体_GBK" w:cs="宋体"/>
                <w:szCs w:val="21"/>
              </w:rPr>
              <w:t>发布</w:t>
            </w:r>
          </w:p>
          <w:p>
            <w:pPr>
              <w:spacing w:line="400" w:lineRule="exact"/>
              <w:jc w:val="center"/>
              <w:rPr>
                <w:rFonts w:ascii="方正黑体_GBK" w:hAnsi="黑体" w:eastAsia="方正黑体_GBK" w:cs="宋体"/>
                <w:szCs w:val="21"/>
              </w:rPr>
            </w:pPr>
            <w:r>
              <w:rPr>
                <w:rFonts w:hint="eastAsia" w:ascii="方正黑体_GBK" w:hAnsi="黑体" w:eastAsia="方正黑体_GBK" w:cs="宋体"/>
                <w:szCs w:val="21"/>
              </w:rPr>
              <w:t>时间</w:t>
            </w:r>
          </w:p>
        </w:tc>
        <w:tc>
          <w:tcPr>
            <w:tcW w:w="1843" w:type="dxa"/>
            <w:tcBorders>
              <w:right w:val="single" w:color="auto" w:sz="4" w:space="0"/>
            </w:tcBorders>
            <w:vAlign w:val="center"/>
          </w:tcPr>
          <w:p>
            <w:pPr>
              <w:spacing w:line="400" w:lineRule="exact"/>
              <w:jc w:val="center"/>
              <w:rPr>
                <w:rFonts w:ascii="方正黑体_GBK" w:hAnsi="黑体" w:eastAsia="方正黑体_GBK" w:cs="宋体"/>
                <w:szCs w:val="21"/>
              </w:rPr>
            </w:pPr>
            <w:r>
              <w:rPr>
                <w:rFonts w:hint="eastAsia" w:ascii="方正黑体_GBK" w:hAnsi="黑体" w:eastAsia="方正黑体_GBK" w:cs="宋体"/>
                <w:szCs w:val="21"/>
              </w:rPr>
              <w:t>具体修改内容</w:t>
            </w:r>
          </w:p>
        </w:tc>
        <w:tc>
          <w:tcPr>
            <w:tcW w:w="1246" w:type="dxa"/>
            <w:tcBorders>
              <w:right w:val="single" w:color="auto" w:sz="4" w:space="0"/>
            </w:tcBorders>
            <w:vAlign w:val="center"/>
          </w:tcPr>
          <w:p>
            <w:pPr>
              <w:spacing w:line="400" w:lineRule="exact"/>
              <w:jc w:val="center"/>
              <w:rPr>
                <w:rFonts w:ascii="方正黑体_GBK" w:hAnsi="黑体" w:eastAsia="方正黑体_GBK" w:cs="宋体"/>
                <w:szCs w:val="21"/>
              </w:rPr>
            </w:pPr>
            <w:r>
              <w:rPr>
                <w:rFonts w:hint="eastAsia" w:ascii="方正黑体_GBK" w:hAnsi="黑体" w:eastAsia="方正黑体_GBK" w:cs="宋体"/>
                <w:szCs w:val="21"/>
              </w:rPr>
              <w:t>违反审查标准种类</w:t>
            </w:r>
          </w:p>
        </w:tc>
        <w:tc>
          <w:tcPr>
            <w:tcW w:w="1862" w:type="dxa"/>
            <w:tcBorders>
              <w:left w:val="single" w:color="auto" w:sz="4" w:space="0"/>
            </w:tcBorders>
            <w:vAlign w:val="center"/>
          </w:tcPr>
          <w:p>
            <w:pPr>
              <w:spacing w:line="400" w:lineRule="exact"/>
              <w:jc w:val="center"/>
              <w:rPr>
                <w:rFonts w:ascii="方正黑体_GBK" w:hAnsi="黑体" w:eastAsia="方正黑体_GBK" w:cs="宋体"/>
                <w:szCs w:val="21"/>
              </w:rPr>
            </w:pPr>
            <w:r>
              <w:rPr>
                <w:rFonts w:hint="eastAsia" w:ascii="方正黑体_GBK" w:eastAsia="方正黑体_GBK"/>
                <w:szCs w:val="21"/>
              </w:rPr>
              <w:t>适用例外规定的条款及理由</w:t>
            </w:r>
          </w:p>
        </w:tc>
        <w:tc>
          <w:tcPr>
            <w:tcW w:w="850" w:type="dxa"/>
            <w:tcBorders>
              <w:right w:val="single" w:color="auto" w:sz="4" w:space="0"/>
            </w:tcBorders>
            <w:vAlign w:val="center"/>
          </w:tcPr>
          <w:p>
            <w:pPr>
              <w:spacing w:line="400" w:lineRule="exact"/>
              <w:jc w:val="center"/>
              <w:rPr>
                <w:rFonts w:ascii="方正黑体_GBK" w:hAnsi="黑体" w:eastAsia="方正黑体_GBK" w:cs="宋体"/>
                <w:szCs w:val="21"/>
              </w:rPr>
            </w:pPr>
            <w:r>
              <w:rPr>
                <w:rFonts w:hint="eastAsia" w:ascii="方正黑体_GBK" w:hAnsi="黑体" w:eastAsia="方正黑体_GBK" w:cs="宋体"/>
                <w:szCs w:val="21"/>
              </w:rPr>
              <w:t>处理意见建议</w:t>
            </w:r>
          </w:p>
        </w:tc>
        <w:tc>
          <w:tcPr>
            <w:tcW w:w="851" w:type="dxa"/>
            <w:tcBorders>
              <w:right w:val="single" w:color="auto" w:sz="4" w:space="0"/>
            </w:tcBorders>
            <w:vAlign w:val="center"/>
          </w:tcPr>
          <w:p>
            <w:pPr>
              <w:spacing w:line="400" w:lineRule="exact"/>
              <w:jc w:val="center"/>
              <w:rPr>
                <w:rFonts w:ascii="方正黑体_GBK" w:hAnsi="黑体" w:eastAsia="方正黑体_GBK" w:cs="宋体"/>
                <w:szCs w:val="21"/>
              </w:rPr>
            </w:pPr>
            <w:r>
              <w:rPr>
                <w:rFonts w:hint="eastAsia" w:ascii="方正黑体_GBK" w:hAnsi="黑体" w:eastAsia="方正黑体_GBK" w:cs="宋体"/>
                <w:szCs w:val="21"/>
              </w:rPr>
              <w:t>完成</w:t>
            </w:r>
          </w:p>
          <w:p>
            <w:pPr>
              <w:spacing w:line="400" w:lineRule="exact"/>
              <w:jc w:val="center"/>
              <w:rPr>
                <w:rFonts w:ascii="方正黑体_GBK" w:hAnsi="黑体" w:eastAsia="方正黑体_GBK" w:cs="宋体"/>
                <w:szCs w:val="21"/>
              </w:rPr>
            </w:pPr>
            <w:r>
              <w:rPr>
                <w:rFonts w:hint="eastAsia" w:ascii="方正黑体_GBK" w:hAnsi="黑体" w:eastAsia="方正黑体_GBK" w:cs="宋体"/>
                <w:szCs w:val="21"/>
              </w:rPr>
              <w:t>时间</w:t>
            </w:r>
          </w:p>
        </w:tc>
        <w:tc>
          <w:tcPr>
            <w:tcW w:w="773" w:type="dxa"/>
            <w:tcBorders>
              <w:left w:val="single" w:color="auto" w:sz="4" w:space="0"/>
            </w:tcBorders>
            <w:vAlign w:val="center"/>
          </w:tcPr>
          <w:p>
            <w:pPr>
              <w:spacing w:line="400" w:lineRule="exact"/>
              <w:jc w:val="center"/>
              <w:rPr>
                <w:rFonts w:ascii="方正黑体_GBK" w:hAnsi="黑体" w:eastAsia="方正黑体_GBK" w:cs="宋体"/>
                <w:szCs w:val="21"/>
              </w:rPr>
            </w:pPr>
            <w:r>
              <w:rPr>
                <w:rFonts w:hint="eastAsia" w:ascii="方正黑体_GBK" w:hAnsi="黑体" w:eastAsia="方正黑体_GBK" w:cs="宋体"/>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7" w:hRule="atLeast"/>
          <w:jc w:val="center"/>
        </w:trPr>
        <w:tc>
          <w:tcPr>
            <w:tcW w:w="664" w:type="dxa"/>
          </w:tcPr>
          <w:p>
            <w:pPr>
              <w:widowControl/>
              <w:spacing w:line="400" w:lineRule="exact"/>
              <w:jc w:val="left"/>
              <w:rPr>
                <w:rFonts w:ascii="方正仿宋_GBK" w:hAnsi="黑体" w:cs="宋体"/>
                <w:szCs w:val="21"/>
              </w:rPr>
            </w:pPr>
          </w:p>
        </w:tc>
        <w:tc>
          <w:tcPr>
            <w:tcW w:w="1682" w:type="dxa"/>
          </w:tcPr>
          <w:p>
            <w:pPr>
              <w:widowControl/>
              <w:spacing w:line="400" w:lineRule="exact"/>
              <w:jc w:val="left"/>
              <w:rPr>
                <w:rFonts w:ascii="方正仿宋_GBK" w:hAnsi="黑体" w:cs="宋体"/>
                <w:szCs w:val="21"/>
              </w:rPr>
            </w:pPr>
          </w:p>
        </w:tc>
        <w:tc>
          <w:tcPr>
            <w:tcW w:w="640" w:type="dxa"/>
          </w:tcPr>
          <w:p>
            <w:pPr>
              <w:widowControl/>
              <w:spacing w:line="400" w:lineRule="exact"/>
              <w:jc w:val="left"/>
              <w:rPr>
                <w:rFonts w:ascii="方正仿宋_GBK" w:hAnsi="黑体" w:cs="宋体"/>
                <w:szCs w:val="21"/>
              </w:rPr>
            </w:pPr>
          </w:p>
        </w:tc>
        <w:tc>
          <w:tcPr>
            <w:tcW w:w="960" w:type="dxa"/>
          </w:tcPr>
          <w:p>
            <w:pPr>
              <w:widowControl/>
              <w:spacing w:line="400" w:lineRule="exact"/>
              <w:jc w:val="left"/>
              <w:rPr>
                <w:rFonts w:ascii="方正仿宋_GBK" w:hAnsi="黑体" w:cs="宋体"/>
                <w:szCs w:val="21"/>
              </w:rPr>
            </w:pPr>
          </w:p>
        </w:tc>
        <w:tc>
          <w:tcPr>
            <w:tcW w:w="960" w:type="dxa"/>
          </w:tcPr>
          <w:p>
            <w:pPr>
              <w:widowControl/>
              <w:spacing w:line="400" w:lineRule="exact"/>
              <w:jc w:val="left"/>
              <w:rPr>
                <w:rFonts w:ascii="方正仿宋_GBK" w:hAnsi="黑体" w:cs="宋体"/>
                <w:szCs w:val="21"/>
              </w:rPr>
            </w:pPr>
          </w:p>
        </w:tc>
        <w:tc>
          <w:tcPr>
            <w:tcW w:w="1026" w:type="dxa"/>
          </w:tcPr>
          <w:p>
            <w:pPr>
              <w:widowControl/>
              <w:spacing w:line="400" w:lineRule="exact"/>
              <w:jc w:val="left"/>
              <w:rPr>
                <w:rFonts w:ascii="方正仿宋_GBK" w:hAnsi="黑体" w:cs="宋体"/>
                <w:szCs w:val="21"/>
              </w:rPr>
            </w:pPr>
          </w:p>
        </w:tc>
        <w:tc>
          <w:tcPr>
            <w:tcW w:w="1843" w:type="dxa"/>
            <w:tcBorders>
              <w:right w:val="single" w:color="auto" w:sz="4" w:space="0"/>
            </w:tcBorders>
          </w:tcPr>
          <w:p>
            <w:pPr>
              <w:widowControl/>
              <w:spacing w:line="400" w:lineRule="exact"/>
              <w:jc w:val="left"/>
              <w:rPr>
                <w:rFonts w:ascii="方正仿宋_GBK" w:hAnsi="黑体" w:cs="宋体"/>
                <w:szCs w:val="21"/>
              </w:rPr>
            </w:pPr>
          </w:p>
        </w:tc>
        <w:tc>
          <w:tcPr>
            <w:tcW w:w="1246" w:type="dxa"/>
            <w:tcBorders>
              <w:right w:val="single" w:color="auto" w:sz="4" w:space="0"/>
            </w:tcBorders>
          </w:tcPr>
          <w:p>
            <w:pPr>
              <w:widowControl/>
              <w:spacing w:line="400" w:lineRule="exact"/>
              <w:jc w:val="left"/>
              <w:rPr>
                <w:rFonts w:ascii="方正仿宋_GBK" w:hAnsi="黑体" w:cs="宋体"/>
                <w:szCs w:val="21"/>
              </w:rPr>
            </w:pPr>
          </w:p>
        </w:tc>
        <w:tc>
          <w:tcPr>
            <w:tcW w:w="1862" w:type="dxa"/>
            <w:tcBorders>
              <w:left w:val="single" w:color="auto" w:sz="4" w:space="0"/>
            </w:tcBorders>
          </w:tcPr>
          <w:p>
            <w:pPr>
              <w:widowControl/>
              <w:spacing w:line="400" w:lineRule="exact"/>
              <w:jc w:val="left"/>
              <w:rPr>
                <w:rFonts w:ascii="方正仿宋_GBK" w:hAnsi="黑体" w:cs="宋体"/>
                <w:szCs w:val="21"/>
              </w:rPr>
            </w:pPr>
          </w:p>
        </w:tc>
        <w:tc>
          <w:tcPr>
            <w:tcW w:w="850" w:type="dxa"/>
            <w:tcBorders>
              <w:right w:val="single" w:color="auto" w:sz="4" w:space="0"/>
            </w:tcBorders>
          </w:tcPr>
          <w:p>
            <w:pPr>
              <w:widowControl/>
              <w:spacing w:line="400" w:lineRule="exact"/>
              <w:jc w:val="left"/>
              <w:rPr>
                <w:rFonts w:ascii="方正仿宋_GBK" w:hAnsi="黑体" w:cs="宋体"/>
                <w:szCs w:val="21"/>
              </w:rPr>
            </w:pPr>
          </w:p>
        </w:tc>
        <w:tc>
          <w:tcPr>
            <w:tcW w:w="851" w:type="dxa"/>
            <w:tcBorders>
              <w:right w:val="single" w:color="auto" w:sz="4" w:space="0"/>
            </w:tcBorders>
          </w:tcPr>
          <w:p>
            <w:pPr>
              <w:widowControl/>
              <w:spacing w:line="400" w:lineRule="exact"/>
              <w:jc w:val="left"/>
              <w:rPr>
                <w:rFonts w:ascii="方正仿宋_GBK" w:hAnsi="黑体" w:cs="宋体"/>
                <w:szCs w:val="21"/>
              </w:rPr>
            </w:pPr>
          </w:p>
        </w:tc>
        <w:tc>
          <w:tcPr>
            <w:tcW w:w="773" w:type="dxa"/>
            <w:tcBorders>
              <w:left w:val="single" w:color="auto" w:sz="4" w:space="0"/>
            </w:tcBorders>
          </w:tcPr>
          <w:p>
            <w:pPr>
              <w:widowControl/>
              <w:spacing w:line="400" w:lineRule="exact"/>
              <w:jc w:val="left"/>
              <w:rPr>
                <w:rFonts w:ascii="方正仿宋_GBK" w:hAnsi="黑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7" w:hRule="atLeast"/>
          <w:jc w:val="center"/>
        </w:trPr>
        <w:tc>
          <w:tcPr>
            <w:tcW w:w="664" w:type="dxa"/>
          </w:tcPr>
          <w:p>
            <w:pPr>
              <w:widowControl/>
              <w:spacing w:line="400" w:lineRule="exact"/>
              <w:jc w:val="left"/>
              <w:rPr>
                <w:rFonts w:ascii="方正仿宋_GBK" w:hAnsi="黑体" w:cs="宋体"/>
                <w:szCs w:val="21"/>
              </w:rPr>
            </w:pPr>
          </w:p>
        </w:tc>
        <w:tc>
          <w:tcPr>
            <w:tcW w:w="1682" w:type="dxa"/>
          </w:tcPr>
          <w:p>
            <w:pPr>
              <w:widowControl/>
              <w:spacing w:line="400" w:lineRule="exact"/>
              <w:jc w:val="left"/>
              <w:rPr>
                <w:rFonts w:ascii="方正仿宋_GBK" w:hAnsi="黑体" w:cs="宋体"/>
                <w:szCs w:val="21"/>
              </w:rPr>
            </w:pPr>
          </w:p>
        </w:tc>
        <w:tc>
          <w:tcPr>
            <w:tcW w:w="640" w:type="dxa"/>
          </w:tcPr>
          <w:p>
            <w:pPr>
              <w:widowControl/>
              <w:spacing w:line="400" w:lineRule="exact"/>
              <w:jc w:val="left"/>
              <w:rPr>
                <w:rFonts w:ascii="方正仿宋_GBK" w:hAnsi="黑体" w:cs="宋体"/>
                <w:szCs w:val="21"/>
              </w:rPr>
            </w:pPr>
          </w:p>
        </w:tc>
        <w:tc>
          <w:tcPr>
            <w:tcW w:w="960" w:type="dxa"/>
          </w:tcPr>
          <w:p>
            <w:pPr>
              <w:widowControl/>
              <w:spacing w:line="400" w:lineRule="exact"/>
              <w:jc w:val="left"/>
              <w:rPr>
                <w:rFonts w:ascii="方正仿宋_GBK" w:hAnsi="黑体" w:cs="宋体"/>
                <w:szCs w:val="21"/>
              </w:rPr>
            </w:pPr>
          </w:p>
        </w:tc>
        <w:tc>
          <w:tcPr>
            <w:tcW w:w="960" w:type="dxa"/>
          </w:tcPr>
          <w:p>
            <w:pPr>
              <w:widowControl/>
              <w:spacing w:line="400" w:lineRule="exact"/>
              <w:jc w:val="left"/>
              <w:rPr>
                <w:rFonts w:ascii="方正仿宋_GBK" w:hAnsi="黑体" w:cs="宋体"/>
                <w:szCs w:val="21"/>
              </w:rPr>
            </w:pPr>
          </w:p>
        </w:tc>
        <w:tc>
          <w:tcPr>
            <w:tcW w:w="1026" w:type="dxa"/>
          </w:tcPr>
          <w:p>
            <w:pPr>
              <w:widowControl/>
              <w:spacing w:line="400" w:lineRule="exact"/>
              <w:jc w:val="left"/>
              <w:rPr>
                <w:rFonts w:ascii="方正仿宋_GBK" w:hAnsi="黑体" w:cs="宋体"/>
                <w:szCs w:val="21"/>
              </w:rPr>
            </w:pPr>
          </w:p>
        </w:tc>
        <w:tc>
          <w:tcPr>
            <w:tcW w:w="1843" w:type="dxa"/>
            <w:tcBorders>
              <w:right w:val="single" w:color="auto" w:sz="4" w:space="0"/>
            </w:tcBorders>
          </w:tcPr>
          <w:p>
            <w:pPr>
              <w:widowControl/>
              <w:spacing w:line="400" w:lineRule="exact"/>
              <w:jc w:val="left"/>
              <w:rPr>
                <w:rFonts w:ascii="方正仿宋_GBK" w:hAnsi="黑体" w:cs="宋体"/>
                <w:szCs w:val="21"/>
              </w:rPr>
            </w:pPr>
          </w:p>
        </w:tc>
        <w:tc>
          <w:tcPr>
            <w:tcW w:w="1246" w:type="dxa"/>
            <w:tcBorders>
              <w:right w:val="single" w:color="auto" w:sz="4" w:space="0"/>
            </w:tcBorders>
          </w:tcPr>
          <w:p>
            <w:pPr>
              <w:widowControl/>
              <w:spacing w:line="400" w:lineRule="exact"/>
              <w:jc w:val="left"/>
              <w:rPr>
                <w:rFonts w:ascii="方正仿宋_GBK" w:hAnsi="黑体" w:cs="宋体"/>
                <w:szCs w:val="21"/>
              </w:rPr>
            </w:pPr>
          </w:p>
        </w:tc>
        <w:tc>
          <w:tcPr>
            <w:tcW w:w="1862" w:type="dxa"/>
            <w:tcBorders>
              <w:left w:val="single" w:color="auto" w:sz="4" w:space="0"/>
            </w:tcBorders>
          </w:tcPr>
          <w:p>
            <w:pPr>
              <w:widowControl/>
              <w:spacing w:line="400" w:lineRule="exact"/>
              <w:jc w:val="left"/>
              <w:rPr>
                <w:rFonts w:ascii="方正仿宋_GBK" w:hAnsi="黑体" w:cs="宋体"/>
                <w:szCs w:val="21"/>
              </w:rPr>
            </w:pPr>
          </w:p>
        </w:tc>
        <w:tc>
          <w:tcPr>
            <w:tcW w:w="850" w:type="dxa"/>
            <w:tcBorders>
              <w:right w:val="single" w:color="auto" w:sz="4" w:space="0"/>
            </w:tcBorders>
          </w:tcPr>
          <w:p>
            <w:pPr>
              <w:widowControl/>
              <w:spacing w:line="400" w:lineRule="exact"/>
              <w:jc w:val="left"/>
              <w:rPr>
                <w:rFonts w:ascii="方正仿宋_GBK" w:hAnsi="黑体" w:cs="宋体"/>
                <w:szCs w:val="21"/>
              </w:rPr>
            </w:pPr>
          </w:p>
        </w:tc>
        <w:tc>
          <w:tcPr>
            <w:tcW w:w="851" w:type="dxa"/>
            <w:tcBorders>
              <w:right w:val="single" w:color="auto" w:sz="4" w:space="0"/>
            </w:tcBorders>
          </w:tcPr>
          <w:p>
            <w:pPr>
              <w:widowControl/>
              <w:spacing w:line="400" w:lineRule="exact"/>
              <w:jc w:val="left"/>
              <w:rPr>
                <w:rFonts w:ascii="方正仿宋_GBK" w:hAnsi="黑体" w:cs="宋体"/>
                <w:szCs w:val="21"/>
              </w:rPr>
            </w:pPr>
          </w:p>
        </w:tc>
        <w:tc>
          <w:tcPr>
            <w:tcW w:w="773" w:type="dxa"/>
            <w:tcBorders>
              <w:left w:val="single" w:color="auto" w:sz="4" w:space="0"/>
            </w:tcBorders>
          </w:tcPr>
          <w:p>
            <w:pPr>
              <w:widowControl/>
              <w:spacing w:line="400" w:lineRule="exact"/>
              <w:jc w:val="left"/>
              <w:rPr>
                <w:rFonts w:ascii="方正仿宋_GBK" w:hAnsi="黑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7" w:hRule="atLeast"/>
          <w:jc w:val="center"/>
        </w:trPr>
        <w:tc>
          <w:tcPr>
            <w:tcW w:w="664" w:type="dxa"/>
          </w:tcPr>
          <w:p>
            <w:pPr>
              <w:widowControl/>
              <w:spacing w:line="400" w:lineRule="exact"/>
              <w:jc w:val="left"/>
              <w:rPr>
                <w:rFonts w:ascii="方正仿宋_GBK" w:hAnsi="黑体" w:cs="宋体"/>
                <w:szCs w:val="21"/>
              </w:rPr>
            </w:pPr>
          </w:p>
        </w:tc>
        <w:tc>
          <w:tcPr>
            <w:tcW w:w="1682" w:type="dxa"/>
          </w:tcPr>
          <w:p>
            <w:pPr>
              <w:widowControl/>
              <w:spacing w:line="400" w:lineRule="exact"/>
              <w:jc w:val="left"/>
              <w:rPr>
                <w:rFonts w:ascii="方正仿宋_GBK" w:hAnsi="黑体" w:cs="宋体"/>
                <w:szCs w:val="21"/>
              </w:rPr>
            </w:pPr>
          </w:p>
        </w:tc>
        <w:tc>
          <w:tcPr>
            <w:tcW w:w="640" w:type="dxa"/>
          </w:tcPr>
          <w:p>
            <w:pPr>
              <w:widowControl/>
              <w:spacing w:line="400" w:lineRule="exact"/>
              <w:jc w:val="left"/>
              <w:rPr>
                <w:rFonts w:ascii="方正仿宋_GBK" w:hAnsi="黑体" w:cs="宋体"/>
                <w:szCs w:val="21"/>
              </w:rPr>
            </w:pPr>
          </w:p>
        </w:tc>
        <w:tc>
          <w:tcPr>
            <w:tcW w:w="960" w:type="dxa"/>
          </w:tcPr>
          <w:p>
            <w:pPr>
              <w:widowControl/>
              <w:spacing w:line="400" w:lineRule="exact"/>
              <w:jc w:val="left"/>
              <w:rPr>
                <w:rFonts w:ascii="方正仿宋_GBK" w:hAnsi="黑体" w:cs="宋体"/>
                <w:szCs w:val="21"/>
              </w:rPr>
            </w:pPr>
          </w:p>
        </w:tc>
        <w:tc>
          <w:tcPr>
            <w:tcW w:w="960" w:type="dxa"/>
          </w:tcPr>
          <w:p>
            <w:pPr>
              <w:widowControl/>
              <w:spacing w:line="400" w:lineRule="exact"/>
              <w:jc w:val="left"/>
              <w:rPr>
                <w:rFonts w:ascii="方正仿宋_GBK" w:hAnsi="黑体" w:cs="宋体"/>
                <w:szCs w:val="21"/>
              </w:rPr>
            </w:pPr>
          </w:p>
        </w:tc>
        <w:tc>
          <w:tcPr>
            <w:tcW w:w="1026" w:type="dxa"/>
          </w:tcPr>
          <w:p>
            <w:pPr>
              <w:widowControl/>
              <w:spacing w:line="400" w:lineRule="exact"/>
              <w:jc w:val="left"/>
              <w:rPr>
                <w:rFonts w:ascii="方正仿宋_GBK" w:hAnsi="黑体" w:cs="宋体"/>
                <w:szCs w:val="21"/>
              </w:rPr>
            </w:pPr>
          </w:p>
        </w:tc>
        <w:tc>
          <w:tcPr>
            <w:tcW w:w="1843" w:type="dxa"/>
            <w:tcBorders>
              <w:right w:val="single" w:color="auto" w:sz="4" w:space="0"/>
            </w:tcBorders>
          </w:tcPr>
          <w:p>
            <w:pPr>
              <w:widowControl/>
              <w:spacing w:line="400" w:lineRule="exact"/>
              <w:jc w:val="left"/>
              <w:rPr>
                <w:rFonts w:ascii="方正仿宋_GBK" w:hAnsi="黑体" w:cs="宋体"/>
                <w:szCs w:val="21"/>
              </w:rPr>
            </w:pPr>
          </w:p>
        </w:tc>
        <w:tc>
          <w:tcPr>
            <w:tcW w:w="1246" w:type="dxa"/>
            <w:tcBorders>
              <w:right w:val="single" w:color="auto" w:sz="4" w:space="0"/>
            </w:tcBorders>
          </w:tcPr>
          <w:p>
            <w:pPr>
              <w:widowControl/>
              <w:spacing w:line="400" w:lineRule="exact"/>
              <w:jc w:val="left"/>
              <w:rPr>
                <w:rFonts w:ascii="方正仿宋_GBK" w:hAnsi="黑体" w:cs="宋体"/>
                <w:szCs w:val="21"/>
              </w:rPr>
            </w:pPr>
          </w:p>
        </w:tc>
        <w:tc>
          <w:tcPr>
            <w:tcW w:w="1862" w:type="dxa"/>
            <w:tcBorders>
              <w:left w:val="single" w:color="auto" w:sz="4" w:space="0"/>
            </w:tcBorders>
          </w:tcPr>
          <w:p>
            <w:pPr>
              <w:widowControl/>
              <w:spacing w:line="400" w:lineRule="exact"/>
              <w:jc w:val="left"/>
              <w:rPr>
                <w:rFonts w:ascii="方正仿宋_GBK" w:hAnsi="黑体" w:cs="宋体"/>
                <w:szCs w:val="21"/>
              </w:rPr>
            </w:pPr>
          </w:p>
        </w:tc>
        <w:tc>
          <w:tcPr>
            <w:tcW w:w="850" w:type="dxa"/>
            <w:tcBorders>
              <w:right w:val="single" w:color="auto" w:sz="4" w:space="0"/>
            </w:tcBorders>
          </w:tcPr>
          <w:p>
            <w:pPr>
              <w:widowControl/>
              <w:spacing w:line="400" w:lineRule="exact"/>
              <w:jc w:val="left"/>
              <w:rPr>
                <w:rFonts w:ascii="方正仿宋_GBK" w:hAnsi="黑体" w:cs="宋体"/>
                <w:szCs w:val="21"/>
              </w:rPr>
            </w:pPr>
          </w:p>
        </w:tc>
        <w:tc>
          <w:tcPr>
            <w:tcW w:w="851" w:type="dxa"/>
            <w:tcBorders>
              <w:right w:val="single" w:color="auto" w:sz="4" w:space="0"/>
            </w:tcBorders>
          </w:tcPr>
          <w:p>
            <w:pPr>
              <w:widowControl/>
              <w:spacing w:line="400" w:lineRule="exact"/>
              <w:jc w:val="left"/>
              <w:rPr>
                <w:rFonts w:ascii="方正仿宋_GBK" w:hAnsi="黑体" w:cs="宋体"/>
                <w:szCs w:val="21"/>
              </w:rPr>
            </w:pPr>
          </w:p>
        </w:tc>
        <w:tc>
          <w:tcPr>
            <w:tcW w:w="773" w:type="dxa"/>
            <w:tcBorders>
              <w:left w:val="single" w:color="auto" w:sz="4" w:space="0"/>
            </w:tcBorders>
          </w:tcPr>
          <w:p>
            <w:pPr>
              <w:widowControl/>
              <w:spacing w:line="400" w:lineRule="exact"/>
              <w:jc w:val="left"/>
              <w:rPr>
                <w:rFonts w:ascii="方正仿宋_GBK" w:hAnsi="黑体" w:cs="宋体"/>
                <w:szCs w:val="21"/>
              </w:rPr>
            </w:pPr>
          </w:p>
        </w:tc>
      </w:tr>
    </w:tbl>
    <w:p>
      <w:pPr>
        <w:spacing w:line="400" w:lineRule="exact"/>
        <w:jc w:val="left"/>
        <w:rPr>
          <w:rFonts w:ascii="方正仿宋_GBK" w:hAnsi="方正仿宋_GBK" w:eastAsia="方正仿宋_GBK" w:cs="方正仿宋_GBK"/>
          <w:sz w:val="32"/>
          <w:szCs w:val="32"/>
        </w:rPr>
      </w:pPr>
      <w:r>
        <w:rPr>
          <w:rFonts w:hint="eastAsia" w:ascii="方正仿宋_GBK" w:hAnsi="宋体" w:cs="宋体"/>
          <w:sz w:val="24"/>
        </w:rPr>
        <w:t>注：1.类别指</w:t>
      </w:r>
      <w:r>
        <w:rPr>
          <w:rFonts w:hint="eastAsia" w:ascii="方正仿宋_GBK"/>
          <w:sz w:val="24"/>
        </w:rPr>
        <w:t>规范性文件、其他政策性文件以及“一事一议”形式的具体政策措施</w:t>
      </w:r>
      <w:r>
        <w:rPr>
          <w:rFonts w:hint="eastAsia" w:ascii="方正仿宋_GBK" w:hAnsi="宋体" w:cs="宋体"/>
          <w:sz w:val="24"/>
        </w:rPr>
        <w:t>。2.具体修改内容是指不符合公平竞争审查标准的有关内容。3.违反审查标准种类是指违反审查标准四类中的哪一类第几项。4.以管委会或以管委会办公室名义出台的政策，处理意见建议一栏填写“建议修改”或“建议废止”，完成时间一栏不填写。5.以镇政府、街道办事处、各部门和有关单位名义出台的政策，处理意见建议一栏填写已修改或已废止，并填写完成时间。6.区级部门填写时将管委会或以管委会办公室名义出台的政策排在部门名义出台政策之前。</w:t>
      </w:r>
    </w:p>
    <w:p>
      <w:pPr>
        <w:widowControl/>
        <w:adjustRightInd w:val="0"/>
        <w:spacing w:line="550" w:lineRule="exact"/>
        <w:textAlignment w:val="baseline"/>
        <w:rPr>
          <w:rFonts w:ascii="方正仿宋_GBK" w:hAnsi="方正仿宋_GBK" w:eastAsia="方正仿宋_GBK" w:cs="方正仿宋_GBK"/>
          <w:sz w:val="32"/>
          <w:szCs w:val="32"/>
        </w:rPr>
      </w:pPr>
    </w:p>
    <w:sectPr>
      <w:footerReference r:id="rId3"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altName w:val="方圆隼風体"/>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Segoe UI 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Verdana">
    <w:altName w:val="Tahoma"/>
    <w:panose1 w:val="020B0604030504040204"/>
    <w:charset w:val="00"/>
    <w:family w:val="swiss"/>
    <w:pitch w:val="default"/>
    <w:sig w:usb0="00000000" w:usb1="00000000" w:usb2="00000010" w:usb3="00000000" w:csb0="0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东文宋体">
    <w:altName w:val="Times New Roman"/>
    <w:panose1 w:val="00000000000000000000"/>
    <w:charset w:val="00"/>
    <w:family w:val="auto"/>
    <w:pitch w:val="default"/>
    <w:sig w:usb0="00000000" w:usb1="00000000" w:usb2="00000000" w:usb3="00000000" w:csb0="00000000" w:csb1="00000000"/>
  </w:font>
  <w:font w:name="Segoe UI">
    <w:panose1 w:val="020B0502040204020203"/>
    <w:charset w:val="00"/>
    <w:family w:val="auto"/>
    <w:pitch w:val="default"/>
    <w:sig w:usb0="E10022FF" w:usb1="C000E47F" w:usb2="00000029" w:usb3="00000000" w:csb0="200001DF" w:csb1="2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wordWrap w:val="0"/>
      <w:jc w:val="right"/>
      <w:rPr>
        <w:rStyle w:val="8"/>
        <w:rFonts w:ascii="宋体" w:eastAsia="宋体"/>
        <w:sz w:val="28"/>
        <w:szCs w:val="28"/>
      </w:rPr>
    </w:pPr>
    <w:r>
      <w:rPr>
        <w:rStyle w:val="8"/>
        <w:rFonts w:hint="eastAsia" w:ascii="宋体" w:eastAsia="宋体"/>
        <w:sz w:val="28"/>
        <w:szCs w:val="28"/>
        <w:lang w:eastAsia="zh-CN"/>
      </w:rPr>
      <w:t xml:space="preserve">  </w:t>
    </w:r>
    <w:r>
      <w:rPr>
        <w:rStyle w:val="8"/>
        <w:rFonts w:hint="eastAsia" w:ascii="宋体" w:eastAsia="宋体"/>
        <w:sz w:val="28"/>
        <w:szCs w:val="28"/>
      </w:rPr>
      <w:t xml:space="preserve">— </w:t>
    </w:r>
    <w:r>
      <w:rPr>
        <w:rFonts w:hint="eastAsia" w:ascii="宋体" w:eastAsia="宋体"/>
        <w:sz w:val="28"/>
        <w:szCs w:val="28"/>
      </w:rPr>
      <w:fldChar w:fldCharType="begin"/>
    </w:r>
    <w:r>
      <w:rPr>
        <w:rStyle w:val="8"/>
        <w:rFonts w:hint="eastAsia" w:ascii="宋体" w:eastAsia="宋体"/>
        <w:sz w:val="28"/>
        <w:szCs w:val="28"/>
      </w:rPr>
      <w:instrText xml:space="preserve">PAGE  </w:instrText>
    </w:r>
    <w:r>
      <w:rPr>
        <w:rFonts w:hint="eastAsia" w:ascii="宋体" w:eastAsia="宋体"/>
        <w:sz w:val="28"/>
        <w:szCs w:val="28"/>
      </w:rPr>
      <w:fldChar w:fldCharType="separate"/>
    </w:r>
    <w:r>
      <w:rPr>
        <w:rStyle w:val="8"/>
        <w:rFonts w:ascii="宋体" w:eastAsia="宋体"/>
        <w:sz w:val="28"/>
        <w:szCs w:val="28"/>
      </w:rPr>
      <w:t>13</w:t>
    </w:r>
    <w:r>
      <w:rPr>
        <w:rFonts w:hint="eastAsia" w:ascii="宋体" w:eastAsia="宋体"/>
        <w:sz w:val="28"/>
        <w:szCs w:val="28"/>
      </w:rPr>
      <w:fldChar w:fldCharType="end"/>
    </w:r>
    <w:r>
      <w:rPr>
        <w:rStyle w:val="8"/>
        <w:rFonts w:hint="eastAsia" w:ascii="宋体" w:eastAsia="宋体"/>
        <w:sz w:val="28"/>
        <w:szCs w:val="28"/>
      </w:rPr>
      <w:t xml:space="preserve"> —  </w:t>
    </w:r>
  </w:p>
  <w:p>
    <w:pPr>
      <w:pStyle w:val="3"/>
      <w:jc w:val="right"/>
      <w:rPr>
        <w:rFonts w:ascii="方正仿宋_GBK"/>
        <w:sz w:val="32"/>
        <w:szCs w:val="32"/>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Q0ZTlmYjZjOGM5MDFmNTIwOWQ1ZTYwOGY0NmU3ZTQifQ=="/>
  </w:docVars>
  <w:rsids>
    <w:rsidRoot w:val="00C55E57"/>
    <w:rsid w:val="00A155C4"/>
    <w:rsid w:val="00C55E57"/>
    <w:rsid w:val="01671AD5"/>
    <w:rsid w:val="026E2AF7"/>
    <w:rsid w:val="03433C70"/>
    <w:rsid w:val="04990A60"/>
    <w:rsid w:val="05E06440"/>
    <w:rsid w:val="07951324"/>
    <w:rsid w:val="09932A84"/>
    <w:rsid w:val="0F3B2B74"/>
    <w:rsid w:val="11A80819"/>
    <w:rsid w:val="16D451C7"/>
    <w:rsid w:val="1A277D03"/>
    <w:rsid w:val="1B267D05"/>
    <w:rsid w:val="2AB90504"/>
    <w:rsid w:val="2AC158A7"/>
    <w:rsid w:val="2CB032AB"/>
    <w:rsid w:val="30CE4E8C"/>
    <w:rsid w:val="30D53BE2"/>
    <w:rsid w:val="3EB7252A"/>
    <w:rsid w:val="41F71DD8"/>
    <w:rsid w:val="43B34712"/>
    <w:rsid w:val="46772328"/>
    <w:rsid w:val="4B6134EE"/>
    <w:rsid w:val="4C9922E0"/>
    <w:rsid w:val="4CA76EE5"/>
    <w:rsid w:val="533C1077"/>
    <w:rsid w:val="544B7B6F"/>
    <w:rsid w:val="56FC5991"/>
    <w:rsid w:val="5A0A4460"/>
    <w:rsid w:val="5AE7392C"/>
    <w:rsid w:val="5FE074E1"/>
    <w:rsid w:val="60820F0F"/>
    <w:rsid w:val="616F5801"/>
    <w:rsid w:val="63072E16"/>
    <w:rsid w:val="633231A4"/>
    <w:rsid w:val="67330424"/>
    <w:rsid w:val="67844010"/>
    <w:rsid w:val="67E178F6"/>
    <w:rsid w:val="6B3D1532"/>
    <w:rsid w:val="703B1DB9"/>
    <w:rsid w:val="70EA3271"/>
    <w:rsid w:val="757D09AA"/>
    <w:rsid w:val="780E0444"/>
    <w:rsid w:val="78281DF2"/>
    <w:rsid w:val="78A3200D"/>
    <w:rsid w:val="79A32F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Normal Indent"/>
    <w:next w:val="1"/>
    <w:autoRedefine/>
    <w:unhideWhenUsed/>
    <w:qFormat/>
    <w:uiPriority w:val="99"/>
    <w:pPr>
      <w:widowControl w:val="0"/>
      <w:jc w:val="both"/>
    </w:pPr>
    <w:rPr>
      <w:rFonts w:ascii="Times New Roman" w:hAnsi="Times New Roman" w:eastAsia="仿宋_GB2312" w:cs="Times New Roman"/>
      <w:kern w:val="2"/>
      <w:sz w:val="32"/>
      <w:szCs w:val="32"/>
      <w:lang w:val="en-US" w:eastAsia="zh-CN" w:bidi="ar-SA"/>
    </w:rPr>
  </w:style>
  <w:style w:type="paragraph" w:styleId="3">
    <w:name w:val="footer"/>
    <w:basedOn w:val="1"/>
    <w:autoRedefine/>
    <w:unhideWhenUsed/>
    <w:qFormat/>
    <w:uiPriority w:val="0"/>
    <w:pPr>
      <w:tabs>
        <w:tab w:val="center" w:pos="4153"/>
        <w:tab w:val="right" w:pos="8306"/>
      </w:tabs>
      <w:snapToGrid w:val="0"/>
      <w:spacing w:line="240" w:lineRule="atLeast"/>
      <w:jc w:val="left"/>
    </w:pPr>
    <w:rPr>
      <w:sz w:val="18"/>
      <w:szCs w:val="18"/>
    </w:rPr>
  </w:style>
  <w:style w:type="paragraph" w:styleId="4">
    <w:name w:val="Normal (Web)"/>
    <w:basedOn w:val="1"/>
    <w:autoRedefine/>
    <w:unhideWhenUsed/>
    <w:qFormat/>
    <w:uiPriority w:val="0"/>
    <w:pPr>
      <w:spacing w:before="100" w:beforeAutospacing="1" w:after="100" w:afterAutospacing="1"/>
      <w:jc w:val="left"/>
    </w:pPr>
    <w:rPr>
      <w:rFonts w:ascii="Calibri" w:hAnsi="Calibri" w:eastAsia="宋体"/>
      <w:sz w:val="24"/>
    </w:rPr>
  </w:style>
  <w:style w:type="table" w:styleId="6">
    <w:name w:val="Table Grid"/>
    <w:basedOn w:val="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page number"/>
    <w:basedOn w:val="7"/>
    <w:autoRedefine/>
    <w:unhideWhenUsed/>
    <w:qFormat/>
    <w:uiPriority w:val="0"/>
    <w:rPr>
      <w:rFonts w:ascii="Verdana" w:hAnsi="Verdana" w:eastAsia="仿宋_GB2312"/>
      <w:sz w:val="30"/>
      <w:szCs w:val="30"/>
      <w:lang w:eastAsia="en-US"/>
    </w:rPr>
  </w:style>
  <w:style w:type="paragraph" w:customStyle="1" w:styleId="9">
    <w:name w:val="列出段落1"/>
    <w:basedOn w:val="1"/>
    <w:autoRedefine/>
    <w:qFormat/>
    <w:uiPriority w:val="34"/>
    <w:pPr>
      <w:ind w:firstLine="420" w:firstLineChars="200"/>
    </w:pPr>
  </w:style>
  <w:style w:type="paragraph" w:customStyle="1" w:styleId="10">
    <w:name w:val="无间隔1"/>
    <w:autoRedefine/>
    <w:qFormat/>
    <w:uiPriority w:val="1"/>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14</Pages>
  <Words>4800</Words>
  <Characters>570</Characters>
  <Lines>4</Lines>
  <Paragraphs>10</Paragraphs>
  <TotalTime>178</TotalTime>
  <ScaleCrop>false</ScaleCrop>
  <LinksUpToDate>false</LinksUpToDate>
  <CharactersWithSpaces>5360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2024-04-17T08:10:00Z</dcterms:created>
  <dc:creator>ASUS</dc:creator>
  <cp:lastModifiedBy>Lydia</cp:lastModifiedBy>
  <dcterms:modified xsi:type="dcterms:W3CDTF">2024-05-07T07:20:18Z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CF7569F4D8324C07848E38F1A43E3DB9_12</vt:lpwstr>
  </property>
</Properties>
</file>