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012</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中国石油化工股份有限公司天然气分公司重庆天然气销售中心：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新页1平台油气产能评价配套项目（万盛新页1</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平台至Y81</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平台集输干线）</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根据《中华人民共和国环境影响评价法》等法律法规的有关规定，我局原则同意北京中环博宏环境资源科技有限公司编制的该项目环境影响报告书结论及其提出的环保措施。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项目在重庆市綦江区万东镇、丛林镇、南桐镇、金桥镇</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。建设规模：拟建项目总占地面积约为21.6907×10</w:t>
      </w:r>
      <w:r>
        <w:rPr>
          <w:rFonts w:hint="default" w:ascii="Times New Roman" w:hAnsi="Times New Roman" w:eastAsia="仿宋_GB2312" w:cs="Times New Roman"/>
          <w:color w:val="auto"/>
          <w:sz w:val="32"/>
          <w:szCs w:val="32"/>
          <w:vertAlign w:val="superscript"/>
          <w:lang w:eastAsia="zh-CN"/>
        </w:rPr>
        <w:t>4</w:t>
      </w:r>
      <w:r>
        <w:rPr>
          <w:rFonts w:hint="default" w:ascii="Times New Roman" w:hAnsi="Times New Roman" w:eastAsia="仿宋_GB2312" w:cs="Times New Roman"/>
          <w:color w:val="auto"/>
          <w:sz w:val="32"/>
          <w:szCs w:val="32"/>
          <w:lang w:eastAsia="zh-CN"/>
        </w:rPr>
        <w:t>m</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eastAsia="zh-CN"/>
        </w:rPr>
        <w:t>，其中永久约为0.3307×10</w:t>
      </w:r>
      <w:r>
        <w:rPr>
          <w:rFonts w:hint="default" w:ascii="Times New Roman" w:hAnsi="Times New Roman" w:eastAsia="仿宋_GB2312" w:cs="Times New Roman"/>
          <w:color w:val="auto"/>
          <w:sz w:val="32"/>
          <w:szCs w:val="32"/>
          <w:vertAlign w:val="superscript"/>
          <w:lang w:eastAsia="zh-CN"/>
        </w:rPr>
        <w:t>4</w:t>
      </w:r>
      <w:r>
        <w:rPr>
          <w:rFonts w:hint="default" w:ascii="Times New Roman" w:hAnsi="Times New Roman" w:eastAsia="仿宋_GB2312" w:cs="Times New Roman"/>
          <w:color w:val="auto"/>
          <w:sz w:val="32"/>
          <w:szCs w:val="32"/>
          <w:lang w:eastAsia="zh-CN"/>
        </w:rPr>
        <w:t>m</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eastAsia="zh-CN"/>
        </w:rPr>
        <w:t>，临时约为21.36×10</w:t>
      </w:r>
      <w:r>
        <w:rPr>
          <w:rFonts w:hint="default" w:ascii="Times New Roman" w:hAnsi="Times New Roman" w:eastAsia="仿宋_GB2312" w:cs="Times New Roman"/>
          <w:color w:val="auto"/>
          <w:sz w:val="32"/>
          <w:szCs w:val="32"/>
          <w:vertAlign w:val="superscript"/>
          <w:lang w:eastAsia="zh-CN"/>
        </w:rPr>
        <w:t>4</w:t>
      </w:r>
      <w:r>
        <w:rPr>
          <w:rFonts w:hint="default" w:ascii="Times New Roman" w:hAnsi="Times New Roman" w:eastAsia="仿宋_GB2312" w:cs="Times New Roman"/>
          <w:color w:val="auto"/>
          <w:sz w:val="32"/>
          <w:szCs w:val="32"/>
          <w:lang w:eastAsia="zh-CN"/>
        </w:rPr>
        <w:t>m</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val="en-US" w:eastAsia="zh-CN"/>
        </w:rPr>
        <w:t>，建设南桐首站1座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丛林末站1座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阀井1座，集输管线</w:t>
      </w:r>
      <w:r>
        <w:rPr>
          <w:rFonts w:hint="eastAsia" w:ascii="Times New Roman" w:hAnsi="Times New Roman" w:eastAsia="仿宋_GB2312" w:cs="Times New Roman"/>
          <w:color w:val="auto"/>
          <w:sz w:val="32"/>
          <w:szCs w:val="32"/>
          <w:lang w:val="en-US" w:eastAsia="zh-CN"/>
        </w:rPr>
        <w:t>长</w:t>
      </w:r>
      <w:r>
        <w:rPr>
          <w:rFonts w:hint="default" w:ascii="Times New Roman" w:hAnsi="Times New Roman" w:eastAsia="仿宋_GB2312" w:cs="Times New Roman"/>
          <w:color w:val="auto"/>
          <w:sz w:val="32"/>
          <w:szCs w:val="32"/>
          <w:lang w:val="en-US" w:eastAsia="zh-CN"/>
        </w:rPr>
        <w:t>16km，管径323.9mm，设计压力 6.3MPa，设计规模 3.0×10</w:t>
      </w:r>
      <w:r>
        <w:rPr>
          <w:rFonts w:hint="default" w:ascii="Times New Roman" w:hAnsi="Times New Roman" w:eastAsia="仿宋_GB2312" w:cs="Times New Roman"/>
          <w:color w:val="auto"/>
          <w:sz w:val="32"/>
          <w:szCs w:val="32"/>
          <w:vertAlign w:val="superscript"/>
          <w:lang w:val="en-US" w:eastAsia="zh-CN"/>
        </w:rPr>
        <w:t>8</w:t>
      </w:r>
      <w:r>
        <w:rPr>
          <w:rFonts w:hint="default" w:ascii="Times New Roman" w:hAnsi="Times New Roman" w:eastAsia="仿宋_GB2312" w:cs="Times New Roman"/>
          <w:color w:val="auto"/>
          <w:sz w:val="32"/>
          <w:szCs w:val="32"/>
          <w:lang w:val="en-US" w:eastAsia="zh-CN"/>
        </w:rPr>
        <w:t>Nm</w:t>
      </w:r>
      <w:r>
        <w:rPr>
          <w:rFonts w:hint="default" w:ascii="Times New Roman" w:hAnsi="Times New Roman" w:eastAsia="仿宋_GB2312" w:cs="Times New Roman"/>
          <w:color w:val="auto"/>
          <w:sz w:val="32"/>
          <w:szCs w:val="32"/>
          <w:vertAlign w:val="superscript"/>
          <w:lang w:val="en-US" w:eastAsia="zh-CN"/>
        </w:rPr>
        <w:t>3</w:t>
      </w:r>
      <w:r>
        <w:rPr>
          <w:rFonts w:hint="default" w:ascii="Times New Roman" w:hAnsi="Times New Roman" w:eastAsia="仿宋_GB2312" w:cs="Times New Roman"/>
          <w:color w:val="auto"/>
          <w:sz w:val="32"/>
          <w:szCs w:val="32"/>
          <w:lang w:val="en-US" w:eastAsia="zh-CN"/>
        </w:rPr>
        <w:t>/a。建设内容：项目主体工程包括线路工程、站场工程和阀井工程，其中线路工程长16km、管径323.9mm、设计压力 6.3MPa，穿越铁路3处共计220m，穿越公路29处共计648m，穿越小型河流、鱼塘、沟渠等20处共计170m；站场工程包括南桐首站和丛林末站，其中南桐首站建设发球筒1套、各类阀门 15 套、管件等，负责接收上游新页1平台输气管道来气。丛林末站建设收球筒1套、过滤分离器2套（1 用 1 备）、放空立管1套、排污池1座、各类阀门40套、管件等；阀井设置一座，位于C16N路西侧。项目配套建设附属设施、自动控制、防腐等辅助工程；配套设置施工便道、施工作业带、堆管场等临时工程，不设置施工营地；配套建设供电、消防等公用工程；同步建设噪声防治、固废贮存、生态保护等环保工程</w:t>
      </w:r>
      <w:r>
        <w:rPr>
          <w:rFonts w:hint="default" w:ascii="Times New Roman" w:hAnsi="Times New Roman" w:eastAsia="仿宋_GB2312" w:cs="Times New Roman"/>
          <w:color w:val="auto"/>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项目总投资</w:t>
      </w:r>
      <w:r>
        <w:rPr>
          <w:rFonts w:hint="default" w:ascii="Times New Roman" w:hAnsi="Times New Roman" w:eastAsia="仿宋_GB2312" w:cs="Times New Roman"/>
          <w:color w:val="auto"/>
          <w:sz w:val="32"/>
          <w:szCs w:val="32"/>
          <w:lang w:val="en-US" w:eastAsia="zh-CN"/>
        </w:rPr>
        <w:t>9277.36万元，其中环保投资380万元，建设期18个月。</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书提出的污染防治和生态保护措施，防止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加强生态保护治理。严格控制施工作业带宽度，减少土壤扰动，减少裸地和土方暴露面积；施工中严格管理，</w:t>
      </w:r>
      <w:r>
        <w:rPr>
          <w:rFonts w:hint="eastAsia" w:ascii="Times New Roman" w:hAnsi="Times New Roman" w:eastAsia="仿宋_GB2312" w:cs="Times New Roman"/>
          <w:sz w:val="32"/>
          <w:szCs w:val="32"/>
          <w:lang w:eastAsia="zh-CN"/>
        </w:rPr>
        <w:t>限制</w:t>
      </w:r>
      <w:r>
        <w:rPr>
          <w:rFonts w:hint="default" w:ascii="Times New Roman" w:hAnsi="Times New Roman" w:eastAsia="仿宋_GB2312" w:cs="Times New Roman"/>
          <w:sz w:val="32"/>
          <w:szCs w:val="32"/>
        </w:rPr>
        <w:t>人员、车辆活动区域，减少占地和植被的破坏；合理安排施工时间，尽量避开当地雨季和汛期施工；土壤要分层开挖、分层堆放、按层回填</w:t>
      </w:r>
      <w:r>
        <w:rPr>
          <w:rFonts w:hint="default" w:ascii="Times New Roman" w:hAnsi="Times New Roman" w:eastAsia="仿宋_GB2312" w:cs="Times New Roman"/>
          <w:sz w:val="32"/>
          <w:szCs w:val="32"/>
          <w:lang w:val="en-US" w:eastAsia="zh-CN"/>
        </w:rPr>
        <w:t>，剥离的表土要分层存放，用于后期覆土绿化；</w:t>
      </w:r>
      <w:r>
        <w:rPr>
          <w:rFonts w:hint="default" w:ascii="Times New Roman" w:hAnsi="Times New Roman" w:eastAsia="仿宋_GB2312" w:cs="Times New Roman"/>
          <w:sz w:val="32"/>
          <w:szCs w:val="32"/>
        </w:rPr>
        <w:t>施工结束后，对废防腐材料等施工废料进行清理，防止影响土壤环境</w:t>
      </w:r>
      <w:r>
        <w:rPr>
          <w:rFonts w:hint="default" w:ascii="Times New Roman" w:hAnsi="Times New Roman" w:eastAsia="仿宋_GB2312" w:cs="Times New Roman"/>
          <w:sz w:val="32"/>
          <w:szCs w:val="32"/>
          <w:lang w:eastAsia="zh-CN"/>
        </w:rPr>
        <w:t>。营运期：</w:t>
      </w:r>
      <w:r>
        <w:rPr>
          <w:rFonts w:hint="default" w:ascii="Times New Roman" w:hAnsi="Times New Roman" w:eastAsia="仿宋_GB2312" w:cs="Times New Roman"/>
          <w:sz w:val="32"/>
          <w:szCs w:val="32"/>
        </w:rPr>
        <w:t>做好临时占地恢复</w:t>
      </w:r>
      <w:r>
        <w:rPr>
          <w:rFonts w:hint="default" w:ascii="Times New Roman" w:hAnsi="Times New Roman" w:eastAsia="仿宋_GB2312" w:cs="Times New Roman"/>
          <w:sz w:val="32"/>
          <w:szCs w:val="32"/>
          <w:lang w:eastAsia="zh-CN"/>
        </w:rPr>
        <w:t>，回复临时占地原有功能。</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r>
        <w:rPr>
          <w:rFonts w:hint="default" w:ascii="Times New Roman" w:hAnsi="Times New Roman" w:eastAsia="仿宋_GB2312" w:cs="Times New Roman"/>
          <w:sz w:val="32"/>
          <w:szCs w:val="32"/>
          <w:lang w:eastAsia="zh-CN"/>
        </w:rPr>
        <w:t>施工期：</w:t>
      </w:r>
      <w:r>
        <w:rPr>
          <w:rFonts w:hint="default" w:ascii="Times New Roman" w:hAnsi="Times New Roman" w:eastAsia="仿宋_GB2312" w:cs="Times New Roman"/>
          <w:sz w:val="32"/>
          <w:szCs w:val="32"/>
        </w:rPr>
        <w:t>施工场地设置隔油沉淀池，施工机械冲洗废水经隔油沉淀处理后循环使用或回用于施工场地、道路的洒水抑尘等，不外排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清管、试压废水</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沉淀过滤</w:t>
      </w:r>
      <w:r>
        <w:rPr>
          <w:rFonts w:hint="eastAsia" w:ascii="Times New Roman" w:hAnsi="Times New Roman" w:eastAsia="仿宋_GB2312" w:cs="Times New Roman"/>
          <w:sz w:val="32"/>
          <w:szCs w:val="32"/>
          <w:lang w:eastAsia="zh-CN"/>
        </w:rPr>
        <w:t>后大部分重复使用，少部分排放。其中，涉及含油废水需交由有资质的单位处理。</w:t>
      </w:r>
      <w:r>
        <w:rPr>
          <w:rFonts w:hint="default" w:ascii="Times New Roman" w:hAnsi="Times New Roman" w:eastAsia="仿宋_GB2312" w:cs="Times New Roman"/>
          <w:sz w:val="32"/>
          <w:szCs w:val="32"/>
        </w:rPr>
        <w:t>加强施工车辆、机械维护，加强施工现场管理，防止油料跑、冒、漏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施工人员生活污水依托周边现有设施处理</w:t>
      </w:r>
      <w:r>
        <w:rPr>
          <w:rFonts w:hint="eastAsia" w:ascii="Times New Roman" w:hAnsi="Times New Roman" w:eastAsia="仿宋_GB2312" w:cs="Times New Roman"/>
          <w:sz w:val="32"/>
          <w:szCs w:val="32"/>
          <w:lang w:eastAsia="zh-CN"/>
        </w:rPr>
        <w:t>。施工用料堆放点要远离水体，防止被暴雨径流带入水体。废弃的土石方应堆放在远离水体的指定地点，严禁弃入河道或河滩，於塞河道。施工机具所产生的废油及其他废物，严禁倾倒或抛入水体。不得在水体附近清洗施工器具、机械。</w:t>
      </w:r>
      <w:r>
        <w:rPr>
          <w:rFonts w:hint="default" w:ascii="Times New Roman" w:hAnsi="Times New Roman" w:eastAsia="仿宋_GB2312" w:cs="Times New Roman"/>
          <w:sz w:val="32"/>
          <w:szCs w:val="32"/>
          <w:lang w:eastAsia="zh-CN"/>
        </w:rPr>
        <w:t>项目营运期无废水排放。</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强化废气处理措施。施工期：</w:t>
      </w:r>
      <w:r>
        <w:rPr>
          <w:rFonts w:hint="default" w:ascii="Times New Roman" w:hAnsi="Times New Roman" w:eastAsia="仿宋_GB2312" w:cs="Times New Roman"/>
          <w:sz w:val="32"/>
          <w:szCs w:val="32"/>
          <w:lang w:eastAsia="zh-CN"/>
        </w:rPr>
        <w:t>施工采用湿式作业；</w:t>
      </w:r>
      <w:r>
        <w:rPr>
          <w:rFonts w:hint="default" w:ascii="Times New Roman" w:hAnsi="Times New Roman" w:eastAsia="仿宋_GB2312" w:cs="Times New Roman"/>
          <w:sz w:val="32"/>
          <w:szCs w:val="32"/>
        </w:rPr>
        <w:t>加强施工机械、车辆维护保养，减少废气排放；施工前设置硬质密闭围挡</w:t>
      </w:r>
      <w:r>
        <w:rPr>
          <w:rFonts w:hint="default" w:ascii="Times New Roman" w:hAnsi="Times New Roman" w:eastAsia="仿宋_GB2312" w:cs="Times New Roman"/>
          <w:sz w:val="32"/>
          <w:szCs w:val="32"/>
          <w:lang w:eastAsia="zh-CN"/>
        </w:rPr>
        <w:t>；露天堆放</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易扬撒物料或不能</w:t>
      </w:r>
      <w:r>
        <w:rPr>
          <w:rFonts w:hint="eastAsia"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lang w:eastAsia="zh-CN"/>
        </w:rPr>
        <w:t>清运的建筑垃圾，应当设置不低于堆放物高度的密闭围栏并予以覆盖；</w:t>
      </w:r>
      <w:r>
        <w:rPr>
          <w:rFonts w:hint="default" w:ascii="Times New Roman" w:hAnsi="Times New Roman" w:eastAsia="仿宋_GB2312" w:cs="Times New Roman"/>
          <w:sz w:val="32"/>
          <w:szCs w:val="32"/>
        </w:rPr>
        <w:t>高温、大风天气时加强施工区和车辆行驶的路面洒水抑尘</w:t>
      </w:r>
      <w:r>
        <w:rPr>
          <w:rFonts w:hint="eastAsia" w:ascii="Times New Roman" w:hAnsi="Times New Roman" w:eastAsia="仿宋_GB2312" w:cs="Times New Roman"/>
          <w:sz w:val="32"/>
          <w:szCs w:val="32"/>
          <w:lang w:eastAsia="zh-CN"/>
        </w:rPr>
        <w:t>；施工车辆出场冲洗；使用商品混凝土、预拌砂浆，禁止现场搅拌。</w:t>
      </w:r>
      <w:r>
        <w:rPr>
          <w:rFonts w:hint="default" w:ascii="Times New Roman" w:hAnsi="Times New Roman" w:eastAsia="仿宋_GB2312" w:cs="Times New Roman"/>
          <w:sz w:val="32"/>
          <w:szCs w:val="32"/>
          <w:lang w:eastAsia="zh-CN"/>
        </w:rPr>
        <w:t>营运期：</w:t>
      </w:r>
      <w:r>
        <w:rPr>
          <w:rFonts w:hint="default" w:ascii="Times New Roman" w:hAnsi="Times New Roman" w:eastAsia="仿宋_GB2312" w:cs="Times New Roman"/>
          <w:sz w:val="32"/>
          <w:szCs w:val="32"/>
        </w:rPr>
        <w:t>加强管理，降低事故发生及管道检修频次，减少因事故及管道检修作业产生的废气排放；</w:t>
      </w:r>
      <w:r>
        <w:rPr>
          <w:rFonts w:hint="eastAsia" w:ascii="Times New Roman" w:hAnsi="Times New Roman" w:eastAsia="仿宋_GB2312" w:cs="Times New Roman"/>
          <w:sz w:val="32"/>
          <w:szCs w:val="32"/>
          <w:lang w:eastAsia="zh-CN"/>
        </w:rPr>
        <w:t>选取符合</w:t>
      </w:r>
      <w:r>
        <w:rPr>
          <w:rFonts w:hint="default" w:ascii="Times New Roman" w:hAnsi="Times New Roman" w:eastAsia="仿宋_GB2312" w:cs="Times New Roman"/>
          <w:sz w:val="32"/>
          <w:szCs w:val="32"/>
        </w:rPr>
        <w:t>国家现行设计标准</w:t>
      </w:r>
      <w:r>
        <w:rPr>
          <w:rFonts w:hint="eastAsia" w:ascii="Times New Roman" w:hAnsi="Times New Roman" w:eastAsia="仿宋_GB2312" w:cs="Times New Roman"/>
          <w:sz w:val="32"/>
          <w:szCs w:val="32"/>
          <w:lang w:eastAsia="zh-CN"/>
        </w:rPr>
        <w:t>的材料</w:t>
      </w:r>
      <w:r>
        <w:rPr>
          <w:rFonts w:hint="default" w:ascii="Times New Roman" w:hAnsi="Times New Roman" w:eastAsia="仿宋_GB2312" w:cs="Times New Roman"/>
          <w:sz w:val="32"/>
          <w:szCs w:val="32"/>
        </w:rPr>
        <w:t>，管道系统采用密闭输送流程，选用密封性能好的设备、仪表，</w:t>
      </w:r>
      <w:r>
        <w:rPr>
          <w:rFonts w:hint="eastAsia" w:ascii="Times New Roman" w:hAnsi="Times New Roman" w:eastAsia="仿宋_GB2312" w:cs="Times New Roman"/>
          <w:sz w:val="32"/>
          <w:szCs w:val="32"/>
          <w:lang w:eastAsia="zh-CN"/>
        </w:rPr>
        <w:t>保障正常生产无泄漏；站场外设一根高15m的放空立管，采用密封良好的双阀控制。</w:t>
      </w:r>
      <w:r>
        <w:rPr>
          <w:rFonts w:hint="default" w:ascii="Times New Roman" w:hAnsi="Times New Roman" w:eastAsia="仿宋_GB2312" w:cs="Times New Roman"/>
          <w:sz w:val="32"/>
          <w:szCs w:val="32"/>
          <w:lang w:eastAsia="zh-CN"/>
        </w:rPr>
        <w:t>营运期各站场无组织逸散非甲烷总烃</w:t>
      </w:r>
      <w:r>
        <w:rPr>
          <w:rFonts w:hint="eastAsia" w:ascii="Times New Roman" w:hAnsi="Times New Roman" w:eastAsia="仿宋_GB2312" w:cs="Times New Roman"/>
          <w:sz w:val="32"/>
          <w:szCs w:val="32"/>
          <w:lang w:eastAsia="zh-CN"/>
        </w:rPr>
        <w:t>排放标准执行《大气污染物综合排放标准》（DB50/418-2016）无组织排放限值。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强化噪声污染防治。施工期：选用低噪声、低振动、能耗小的先进施工设备；加强施工设备保养维护；高噪声设备加装临时隔声罩。施工场界噪声排放标准执行《建筑施工场界环境噪声排放标准》（GB12523-2011）。</w:t>
      </w:r>
      <w:r>
        <w:rPr>
          <w:rFonts w:hint="default" w:ascii="Times New Roman" w:hAnsi="Times New Roman" w:eastAsia="仿宋_GB2312" w:cs="Times New Roman"/>
          <w:sz w:val="32"/>
          <w:szCs w:val="32"/>
          <w:lang w:eastAsia="zh-CN"/>
        </w:rPr>
        <w:t>营运期</w:t>
      </w:r>
      <w:r>
        <w:rPr>
          <w:rFonts w:hint="eastAsia" w:ascii="Times New Roman" w:hAnsi="Times New Roman" w:eastAsia="仿宋_GB2312" w:cs="Times New Roman"/>
          <w:sz w:val="32"/>
          <w:szCs w:val="32"/>
          <w:lang w:eastAsia="zh-CN"/>
        </w:rPr>
        <w:t>：站场选用低噪声设备，以降低声源声级；分离器汇管采取放大管径，降低流速的措施来减小噪声</w:t>
      </w:r>
      <w:r>
        <w:rPr>
          <w:rFonts w:hint="default" w:ascii="Times New Roman" w:hAnsi="Times New Roman" w:eastAsia="仿宋_GB2312" w:cs="Times New Roman"/>
          <w:sz w:val="32"/>
          <w:szCs w:val="32"/>
          <w:lang w:eastAsia="zh-CN"/>
        </w:rPr>
        <w:t>。营运期各站场厂界</w:t>
      </w:r>
      <w:r>
        <w:rPr>
          <w:rFonts w:hint="eastAsia" w:ascii="Times New Roman" w:hAnsi="Times New Roman" w:eastAsia="仿宋_GB2312" w:cs="Times New Roman"/>
          <w:sz w:val="32"/>
          <w:szCs w:val="32"/>
          <w:lang w:eastAsia="zh-CN"/>
        </w:rPr>
        <w:t>环境</w:t>
      </w:r>
      <w:r>
        <w:rPr>
          <w:rFonts w:hint="default" w:ascii="Times New Roman" w:hAnsi="Times New Roman" w:eastAsia="仿宋_GB2312" w:cs="Times New Roman"/>
          <w:sz w:val="32"/>
          <w:szCs w:val="32"/>
          <w:lang w:eastAsia="zh-CN"/>
        </w:rPr>
        <w:t>噪声</w:t>
      </w:r>
      <w:r>
        <w:rPr>
          <w:rFonts w:hint="eastAsia" w:ascii="Times New Roman" w:hAnsi="Times New Roman" w:eastAsia="仿宋_GB2312" w:cs="Times New Roman"/>
          <w:sz w:val="32"/>
          <w:szCs w:val="32"/>
          <w:lang w:eastAsia="zh-CN"/>
        </w:rPr>
        <w:t>排放标准执行</w:t>
      </w:r>
      <w:r>
        <w:rPr>
          <w:rFonts w:hint="default" w:ascii="Times New Roman" w:hAnsi="Times New Roman" w:eastAsia="仿宋_GB2312" w:cs="Times New Roman"/>
          <w:sz w:val="32"/>
          <w:szCs w:val="32"/>
          <w:lang w:eastAsia="zh-CN"/>
        </w:rPr>
        <w:t>《工业企业厂界噪声标准》2类</w:t>
      </w:r>
      <w:r>
        <w:rPr>
          <w:rFonts w:hint="eastAsia" w:ascii="Times New Roman" w:hAnsi="Times New Roman" w:eastAsia="仿宋_GB2312" w:cs="Times New Roman"/>
          <w:sz w:val="32"/>
          <w:szCs w:val="32"/>
          <w:lang w:eastAsia="zh-CN"/>
        </w:rPr>
        <w:t>限值。</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r>
        <w:rPr>
          <w:rFonts w:hint="eastAsia" w:ascii="Times New Roman" w:hAnsi="Times New Roman" w:eastAsia="仿宋_GB2312" w:cs="Times New Roman"/>
          <w:sz w:val="32"/>
          <w:szCs w:val="32"/>
          <w:lang w:eastAsia="zh-CN"/>
        </w:rPr>
        <w:t>施工期：</w:t>
      </w:r>
      <w:r>
        <w:rPr>
          <w:rFonts w:hint="default" w:ascii="Times New Roman" w:hAnsi="Times New Roman" w:eastAsia="仿宋_GB2312" w:cs="Times New Roman"/>
          <w:sz w:val="32"/>
          <w:szCs w:val="32"/>
        </w:rPr>
        <w:t>施工人员生活垃圾管理，生活垃圾集中收集后，交环卫部门处理；</w:t>
      </w:r>
      <w:r>
        <w:rPr>
          <w:rFonts w:hint="eastAsia" w:ascii="Times New Roman" w:hAnsi="Times New Roman" w:eastAsia="仿宋_GB2312" w:cs="Times New Roman"/>
          <w:sz w:val="32"/>
          <w:szCs w:val="32"/>
          <w:lang w:eastAsia="zh-CN"/>
        </w:rPr>
        <w:t>弃土弃渣做好挖填平衡，多余的弃土弃渣及时送建筑垃圾消纳场处置，涉及污染弃土弃渣，交由有资质的单位处置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施工废料及时清理，可利用</w:t>
      </w:r>
      <w:r>
        <w:rPr>
          <w:rFonts w:hint="default" w:ascii="Times New Roman" w:hAnsi="Times New Roman" w:eastAsia="仿宋_GB2312" w:cs="Times New Roman"/>
          <w:sz w:val="32"/>
          <w:szCs w:val="32"/>
        </w:rPr>
        <w:t>部分回收利用，不能</w:t>
      </w:r>
      <w:r>
        <w:rPr>
          <w:rFonts w:hint="default" w:ascii="Times New Roman" w:hAnsi="Times New Roman" w:eastAsia="仿宋_GB2312" w:cs="Times New Roman"/>
          <w:sz w:val="32"/>
          <w:szCs w:val="32"/>
          <w:lang w:eastAsia="zh-CN"/>
        </w:rPr>
        <w:t>利用部分</w:t>
      </w:r>
      <w:r>
        <w:rPr>
          <w:rFonts w:hint="default" w:ascii="Times New Roman" w:hAnsi="Times New Roman" w:eastAsia="仿宋_GB2312" w:cs="Times New Roman"/>
          <w:sz w:val="32"/>
          <w:szCs w:val="32"/>
        </w:rPr>
        <w:t>集中收集后</w:t>
      </w:r>
      <w:r>
        <w:rPr>
          <w:rFonts w:hint="eastAsia" w:ascii="Times New Roman" w:hAnsi="Times New Roman" w:eastAsia="仿宋_GB2312" w:cs="Times New Roman"/>
          <w:sz w:val="32"/>
          <w:szCs w:val="32"/>
          <w:lang w:eastAsia="zh-CN"/>
        </w:rPr>
        <w:t>交由有相应处置资质的单位处理；干化处理围堰开挖淤泥、定向钻泥浆，干化后的围堰开挖淤泥回用于管槽顶面覆土，干化后的定向钻泥浆交由有相应处置资质的单位处理。营运期：站场设置危险废物贮存柜，废润滑油、废油漆桶等危险废物暂存于站场设置的危险废物贮存柜内，分离器产生的粉末暂存于排污池，定期交由有相应处置资质的单位处理。</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地下水污染防治。控制地下水污染源头，减少污染物的产生量和排放量；对工艺、管道、设备及处理构筑物采取相应措施，防止污染物跑、冒、滴、漏。分区防控地下水污染，各功能区应有明确的界线和标识，项目</w:t>
      </w:r>
      <w:r>
        <w:rPr>
          <w:rFonts w:hint="eastAsia"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防渗区包括（等效黏土防渗层Mb≥</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m，K≤1×10</w:t>
      </w:r>
      <w:r>
        <w:rPr>
          <w:rFonts w:hint="default" w:ascii="Times New Roman" w:hAnsi="Times New Roman" w:eastAsia="仿宋_GB2312" w:cs="Times New Roman"/>
          <w:sz w:val="32"/>
          <w:szCs w:val="32"/>
          <w:vertAlign w:val="superscript"/>
        </w:rPr>
        <w:t>-7</w:t>
      </w:r>
      <w:r>
        <w:rPr>
          <w:rFonts w:hint="default" w:ascii="Times New Roman" w:hAnsi="Times New Roman" w:eastAsia="仿宋_GB2312" w:cs="Times New Roman"/>
          <w:sz w:val="32"/>
          <w:szCs w:val="32"/>
        </w:rPr>
        <w:t>cm/s）包括</w:t>
      </w:r>
      <w:r>
        <w:rPr>
          <w:rFonts w:hint="eastAsia" w:ascii="Times New Roman" w:hAnsi="Times New Roman" w:eastAsia="仿宋_GB2312" w:cs="Times New Roman"/>
          <w:sz w:val="32"/>
          <w:szCs w:val="32"/>
          <w:lang w:eastAsia="zh-CN"/>
        </w:rPr>
        <w:t>站场</w:t>
      </w:r>
      <w:r>
        <w:rPr>
          <w:rFonts w:hint="default" w:ascii="Times New Roman" w:hAnsi="Times New Roman" w:eastAsia="仿宋_GB2312" w:cs="Times New Roman"/>
          <w:sz w:val="32"/>
          <w:szCs w:val="32"/>
        </w:rPr>
        <w:t>排污池、危废贮存柜均等；简单防渗区（一般地面硬化）包括</w:t>
      </w:r>
      <w:r>
        <w:rPr>
          <w:rFonts w:hint="eastAsia" w:ascii="Times New Roman" w:hAnsi="Times New Roman" w:eastAsia="仿宋_GB2312" w:cs="Times New Roman"/>
          <w:sz w:val="32"/>
          <w:szCs w:val="32"/>
          <w:lang w:eastAsia="zh-CN"/>
        </w:rPr>
        <w:t>站场</w:t>
      </w:r>
      <w:r>
        <w:rPr>
          <w:rFonts w:hint="default" w:ascii="Times New Roman" w:hAnsi="Times New Roman" w:eastAsia="仿宋_GB2312" w:cs="Times New Roman"/>
          <w:sz w:val="32"/>
          <w:szCs w:val="32"/>
        </w:rPr>
        <w:t>其他区域等。</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做好环境风险防范。穿越河流、公路段</w:t>
      </w:r>
      <w:r>
        <w:rPr>
          <w:rFonts w:hint="eastAsia" w:ascii="Times New Roman" w:hAnsi="Times New Roman" w:eastAsia="仿宋_GB2312" w:cs="Times New Roman"/>
          <w:sz w:val="32"/>
          <w:szCs w:val="32"/>
          <w:lang w:eastAsia="zh-CN"/>
        </w:rPr>
        <w:t>管道，要提高设计系数，增加管道壁厚，加强防腐设计；站场严格按防火规范布置平面，所有设备、管线均应做防雷、防静电接地，设置火灾设备检测仪表、消防自控设施、灭火器等防火设施，进、出站管道上设置紧急切断阀（ESD），站场内设置安全泄放系统；</w:t>
      </w:r>
      <w:r>
        <w:rPr>
          <w:rFonts w:hint="default" w:ascii="Times New Roman" w:hAnsi="Times New Roman" w:eastAsia="仿宋_GB2312" w:cs="Times New Roman"/>
          <w:sz w:val="32"/>
          <w:szCs w:val="32"/>
        </w:rPr>
        <w:t>设置管线走向标志，沿管线设置标志桩、警示牌等标志，避免人为破坏管线；制定巡检制度，安排专人定期巡检管线</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2025年8月1</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pPr>
        <w:rPr>
          <w:rFonts w:hint="default" w:ascii="Times New Roman" w:hAnsi="Times New Roman" w:cs="Times New Roman"/>
        </w:rPr>
      </w:pPr>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1432"/>
    <w:rsid w:val="00A83AD0"/>
    <w:rsid w:val="02BE582C"/>
    <w:rsid w:val="0321400D"/>
    <w:rsid w:val="038B1487"/>
    <w:rsid w:val="03DD3983"/>
    <w:rsid w:val="04640655"/>
    <w:rsid w:val="048E56D2"/>
    <w:rsid w:val="05340028"/>
    <w:rsid w:val="0534627A"/>
    <w:rsid w:val="05E355AA"/>
    <w:rsid w:val="063F6C84"/>
    <w:rsid w:val="073836D3"/>
    <w:rsid w:val="07F817E1"/>
    <w:rsid w:val="08D35DAA"/>
    <w:rsid w:val="09F00295"/>
    <w:rsid w:val="0AB55FCE"/>
    <w:rsid w:val="0AF52197"/>
    <w:rsid w:val="0B49285F"/>
    <w:rsid w:val="0BBF7AED"/>
    <w:rsid w:val="0BC66F5B"/>
    <w:rsid w:val="0BC814CA"/>
    <w:rsid w:val="0BEF6A57"/>
    <w:rsid w:val="0C2B1A59"/>
    <w:rsid w:val="0D246BD4"/>
    <w:rsid w:val="0DFA16E3"/>
    <w:rsid w:val="0E2D28B4"/>
    <w:rsid w:val="0F2E3D3A"/>
    <w:rsid w:val="0F6239E3"/>
    <w:rsid w:val="0F8B4CE8"/>
    <w:rsid w:val="0FF02D9D"/>
    <w:rsid w:val="107A6B0B"/>
    <w:rsid w:val="11335637"/>
    <w:rsid w:val="129F1D95"/>
    <w:rsid w:val="14875E2B"/>
    <w:rsid w:val="1573694A"/>
    <w:rsid w:val="157955E3"/>
    <w:rsid w:val="15853F88"/>
    <w:rsid w:val="15F555B1"/>
    <w:rsid w:val="16C531D6"/>
    <w:rsid w:val="16CF7BB0"/>
    <w:rsid w:val="17614581"/>
    <w:rsid w:val="17AC1CA0"/>
    <w:rsid w:val="17E4768B"/>
    <w:rsid w:val="19185113"/>
    <w:rsid w:val="193208CA"/>
    <w:rsid w:val="196071E6"/>
    <w:rsid w:val="19B72B7E"/>
    <w:rsid w:val="19B808EA"/>
    <w:rsid w:val="19C90E7B"/>
    <w:rsid w:val="1A5D3725"/>
    <w:rsid w:val="1AC63078"/>
    <w:rsid w:val="1B5508A0"/>
    <w:rsid w:val="1BA17641"/>
    <w:rsid w:val="1C085913"/>
    <w:rsid w:val="1C47468D"/>
    <w:rsid w:val="1DDE2DCF"/>
    <w:rsid w:val="20256AE2"/>
    <w:rsid w:val="213A031C"/>
    <w:rsid w:val="2181419D"/>
    <w:rsid w:val="229B4DEB"/>
    <w:rsid w:val="22F21432"/>
    <w:rsid w:val="23B73EA6"/>
    <w:rsid w:val="23E245EF"/>
    <w:rsid w:val="25545725"/>
    <w:rsid w:val="25902C01"/>
    <w:rsid w:val="25FF7D4F"/>
    <w:rsid w:val="294E0E09"/>
    <w:rsid w:val="29535F75"/>
    <w:rsid w:val="297168A5"/>
    <w:rsid w:val="29812C39"/>
    <w:rsid w:val="29FF0355"/>
    <w:rsid w:val="2A6C09CB"/>
    <w:rsid w:val="2B8A6344"/>
    <w:rsid w:val="2C1D4AC2"/>
    <w:rsid w:val="2E8E096D"/>
    <w:rsid w:val="2F1523C9"/>
    <w:rsid w:val="2F8135BA"/>
    <w:rsid w:val="2FA07EE4"/>
    <w:rsid w:val="3025488D"/>
    <w:rsid w:val="30A752A2"/>
    <w:rsid w:val="31B5579D"/>
    <w:rsid w:val="33C25757"/>
    <w:rsid w:val="33D53B72"/>
    <w:rsid w:val="35496928"/>
    <w:rsid w:val="35E60BD2"/>
    <w:rsid w:val="39335925"/>
    <w:rsid w:val="394713D0"/>
    <w:rsid w:val="39CB136F"/>
    <w:rsid w:val="3A4B6C9E"/>
    <w:rsid w:val="3A8F1281"/>
    <w:rsid w:val="3AB72586"/>
    <w:rsid w:val="3B64626A"/>
    <w:rsid w:val="3C1063F2"/>
    <w:rsid w:val="3DE713D4"/>
    <w:rsid w:val="3E295B90"/>
    <w:rsid w:val="3F3E6269"/>
    <w:rsid w:val="3FD76E91"/>
    <w:rsid w:val="3FDB1C3B"/>
    <w:rsid w:val="41362456"/>
    <w:rsid w:val="417411D1"/>
    <w:rsid w:val="418A4550"/>
    <w:rsid w:val="43472D70"/>
    <w:rsid w:val="435412BA"/>
    <w:rsid w:val="44C61D43"/>
    <w:rsid w:val="44DD0E3B"/>
    <w:rsid w:val="44DF4BB3"/>
    <w:rsid w:val="46472A10"/>
    <w:rsid w:val="46C1737B"/>
    <w:rsid w:val="46DF680C"/>
    <w:rsid w:val="48B9571B"/>
    <w:rsid w:val="492928A1"/>
    <w:rsid w:val="49C56A6D"/>
    <w:rsid w:val="49DC419A"/>
    <w:rsid w:val="4B95246F"/>
    <w:rsid w:val="4BC468B1"/>
    <w:rsid w:val="4C196BFC"/>
    <w:rsid w:val="4D987FF5"/>
    <w:rsid w:val="4DC808DA"/>
    <w:rsid w:val="4DF416CF"/>
    <w:rsid w:val="4E9D1D67"/>
    <w:rsid w:val="4ECD3CCE"/>
    <w:rsid w:val="4ECF5C98"/>
    <w:rsid w:val="4F0E67C1"/>
    <w:rsid w:val="4F9071D6"/>
    <w:rsid w:val="50F32112"/>
    <w:rsid w:val="5139389D"/>
    <w:rsid w:val="52972F71"/>
    <w:rsid w:val="52CD22E8"/>
    <w:rsid w:val="5358625C"/>
    <w:rsid w:val="53B21662"/>
    <w:rsid w:val="53FA7DB9"/>
    <w:rsid w:val="54297BF9"/>
    <w:rsid w:val="55A3518E"/>
    <w:rsid w:val="56101070"/>
    <w:rsid w:val="562B5EAA"/>
    <w:rsid w:val="564B654C"/>
    <w:rsid w:val="56EE0C86"/>
    <w:rsid w:val="584C2108"/>
    <w:rsid w:val="585C03AB"/>
    <w:rsid w:val="588637EF"/>
    <w:rsid w:val="599D70BF"/>
    <w:rsid w:val="59CE54CA"/>
    <w:rsid w:val="5BE07737"/>
    <w:rsid w:val="5C5872CD"/>
    <w:rsid w:val="5C5D2B35"/>
    <w:rsid w:val="5D0B07E3"/>
    <w:rsid w:val="5D170F36"/>
    <w:rsid w:val="5D9C58DF"/>
    <w:rsid w:val="5EC450EE"/>
    <w:rsid w:val="5F6441DB"/>
    <w:rsid w:val="5F7856A1"/>
    <w:rsid w:val="5FDFB222"/>
    <w:rsid w:val="603911C4"/>
    <w:rsid w:val="624F2F20"/>
    <w:rsid w:val="64CB74C5"/>
    <w:rsid w:val="64E33DF4"/>
    <w:rsid w:val="65E946C0"/>
    <w:rsid w:val="65F31E15"/>
    <w:rsid w:val="67C27CF0"/>
    <w:rsid w:val="68AD09A1"/>
    <w:rsid w:val="6974326C"/>
    <w:rsid w:val="6A7259FE"/>
    <w:rsid w:val="6AA54025"/>
    <w:rsid w:val="6B4B2076"/>
    <w:rsid w:val="6D2B6338"/>
    <w:rsid w:val="6D667370"/>
    <w:rsid w:val="6ED946C2"/>
    <w:rsid w:val="6F2D283B"/>
    <w:rsid w:val="6F5778B8"/>
    <w:rsid w:val="707A560C"/>
    <w:rsid w:val="70F96E79"/>
    <w:rsid w:val="71557E27"/>
    <w:rsid w:val="7232446A"/>
    <w:rsid w:val="724203AC"/>
    <w:rsid w:val="72877EB7"/>
    <w:rsid w:val="72952BD1"/>
    <w:rsid w:val="74381A66"/>
    <w:rsid w:val="74806F69"/>
    <w:rsid w:val="756845CD"/>
    <w:rsid w:val="757E794D"/>
    <w:rsid w:val="76430CA0"/>
    <w:rsid w:val="773A5AF5"/>
    <w:rsid w:val="77562203"/>
    <w:rsid w:val="78E35D19"/>
    <w:rsid w:val="7ACD0A28"/>
    <w:rsid w:val="7B2E3BC3"/>
    <w:rsid w:val="7BFEECA4"/>
    <w:rsid w:val="7CAD0B17"/>
    <w:rsid w:val="7E4E00D8"/>
    <w:rsid w:val="7E584AB3"/>
    <w:rsid w:val="7E891110"/>
    <w:rsid w:val="7EB443DF"/>
    <w:rsid w:val="7F364DF4"/>
    <w:rsid w:val="7FA7458D"/>
    <w:rsid w:val="7FAA57E2"/>
    <w:rsid w:val="AAF79C2B"/>
    <w:rsid w:val="DEBFDD07"/>
    <w:rsid w:val="F7E75A14"/>
    <w:rsid w:val="F9B319A4"/>
    <w:rsid w:val="FCF5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3179</Words>
  <Characters>3345</Characters>
  <Lines>0</Lines>
  <Paragraphs>0</Paragraphs>
  <TotalTime>4</TotalTime>
  <ScaleCrop>false</ScaleCrop>
  <LinksUpToDate>false</LinksUpToDate>
  <CharactersWithSpaces>3521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2025-08-04T21:51:00Z</dcterms:created>
  <dc:creator>释放自己</dc:creator>
  <cp:lastModifiedBy>HBJ</cp:lastModifiedBy>
  <cp:lastPrinted>2025-08-18T13:43:00Z</cp:lastPrinted>
  <dcterms:modified xsi:type="dcterms:W3CDTF">2025-08-19T14:32:42Z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D703189485D345E699E27F397BA31B68_11</vt:lpwstr>
  </property>
  <property fmtid="{D5CDD505-2E9C-101B-9397-08002B2CF9AE}" pid="4" name="KSOTemplateDocerSaveRecord">
    <vt:lpwstr>eyJoZGlkIjoiM2U0YzA1NDIwZmYxMmU5MTdhODNjNzdmZGY0ZWQwMGIiLCJ1c2VySWQiOiI1MDgzNzIwMjUifQ==</vt:lpwstr>
  </property>
</Properties>
</file>