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ascii="方正小标宋_GBK" w:hAnsi="宋体" w:eastAsia="方正小标宋_GBK"/>
          <w:sz w:val="44"/>
          <w:szCs w:val="44"/>
        </w:rPr>
      </w:pPr>
      <w:r>
        <w:rPr>
          <w:rFonts w:hint="eastAsia" w:ascii="方正小标宋_GBK" w:hAnsi="宋体" w:eastAsia="方正小标宋_GBK"/>
          <w:sz w:val="44"/>
          <w:szCs w:val="44"/>
        </w:rPr>
        <w:t>万盛经开区公交定价成本监审报告</w:t>
      </w:r>
    </w:p>
    <w:p>
      <w:pPr>
        <w:spacing w:line="600" w:lineRule="exact"/>
        <w:ind w:firstLine="880" w:firstLineChars="200"/>
        <w:jc w:val="center"/>
        <w:rPr>
          <w:rFonts w:ascii="方正小标宋_GBK" w:hAnsi="宋体" w:eastAsia="方正小标宋_GBK"/>
          <w:sz w:val="44"/>
          <w:szCs w:val="44"/>
        </w:rPr>
      </w:pPr>
    </w:p>
    <w:p>
      <w:pPr>
        <w:spacing w:line="600" w:lineRule="exact"/>
        <w:ind w:firstLine="640" w:firstLineChars="200"/>
      </w:pPr>
      <w:r>
        <w:rPr>
          <w:color w:val="000000"/>
        </w:rPr>
        <w:t>根据《中华人民共和国价格法》</w:t>
      </w:r>
      <w:r>
        <w:t>《政府制定价格成本监审办法》（国家发展和改革委员会令2017年第8号）《</w:t>
      </w:r>
      <w:r>
        <w:rPr>
          <w:bCs/>
        </w:rPr>
        <w:t>重庆市政府制定价格成本监审办法</w:t>
      </w:r>
      <w:r>
        <w:t>》</w:t>
      </w:r>
      <w:r>
        <w:rPr>
          <w:color w:val="000000"/>
        </w:rPr>
        <w:t>（渝府令第286号）</w:t>
      </w:r>
      <w:r>
        <w:t>等法律法规规定</w:t>
      </w:r>
      <w:r>
        <w:rPr>
          <w:color w:val="000000"/>
        </w:rPr>
        <w:t>，</w:t>
      </w:r>
      <w:r>
        <w:t>委托大信会计师事务所（特殊普通合伙）重庆分所对重庆市汽车运输（集团）有限责任公司</w:t>
      </w:r>
      <w:r>
        <w:rPr>
          <w:rFonts w:hint="eastAsia"/>
        </w:rPr>
        <w:t>九</w:t>
      </w:r>
      <w:r>
        <w:t>分公司（以下简称</w:t>
      </w:r>
      <w:r>
        <w:rPr>
          <w:rFonts w:hint="eastAsia"/>
        </w:rPr>
        <w:t>“九分</w:t>
      </w:r>
      <w:r>
        <w:t>公司</w:t>
      </w:r>
      <w:r>
        <w:rPr>
          <w:rFonts w:hint="eastAsia"/>
        </w:rPr>
        <w:t>”</w:t>
      </w:r>
      <w:r>
        <w:t>）201</w:t>
      </w:r>
      <w:r>
        <w:rPr>
          <w:rFonts w:hint="eastAsia"/>
        </w:rPr>
        <w:t>8－</w:t>
      </w:r>
      <w:r>
        <w:t>20</w:t>
      </w:r>
      <w:r>
        <w:rPr>
          <w:rFonts w:hint="eastAsia"/>
        </w:rPr>
        <w:t>20</w:t>
      </w:r>
      <w:r>
        <w:t>年公交</w:t>
      </w:r>
      <w:r>
        <w:rPr>
          <w:rFonts w:hint="eastAsia"/>
          <w:lang w:eastAsia="zh-CN"/>
        </w:rPr>
        <w:t>车</w:t>
      </w:r>
      <w:r>
        <w:t>经营成本实施了监审，现将有关情况报告如下：</w:t>
      </w:r>
    </w:p>
    <w:p>
      <w:pPr>
        <w:spacing w:line="600" w:lineRule="exact"/>
        <w:ind w:firstLine="640" w:firstLineChars="200"/>
        <w:rPr>
          <w:rFonts w:ascii="黑体" w:hAnsi="黑体" w:eastAsia="黑体"/>
        </w:rPr>
      </w:pPr>
      <w:r>
        <w:rPr>
          <w:rFonts w:hint="eastAsia" w:ascii="黑体" w:hAnsi="黑体" w:eastAsia="黑体"/>
        </w:rPr>
        <w:t>一、成本监审项目</w:t>
      </w:r>
    </w:p>
    <w:p>
      <w:pPr>
        <w:spacing w:line="600" w:lineRule="exact"/>
        <w:ind w:firstLine="640" w:firstLineChars="200"/>
        <w:rPr>
          <w:rFonts w:ascii="方正仿宋_GBK" w:hAnsi="宋体"/>
        </w:rPr>
      </w:pPr>
      <w:r>
        <w:rPr>
          <w:rFonts w:hint="eastAsia" w:ascii="方正仿宋_GBK" w:hAnsi="宋体"/>
        </w:rPr>
        <w:t>万盛经开区公交</w:t>
      </w:r>
      <w:r>
        <w:rPr>
          <w:rFonts w:hint="eastAsia" w:ascii="方正仿宋_GBK" w:hAnsi="宋体"/>
          <w:lang w:eastAsia="zh-CN"/>
        </w:rPr>
        <w:t>车</w:t>
      </w:r>
      <w:r>
        <w:rPr>
          <w:rFonts w:hint="eastAsia" w:ascii="方正仿宋_GBK" w:hAnsi="宋体"/>
        </w:rPr>
        <w:t>票价定价成本监审。</w:t>
      </w:r>
    </w:p>
    <w:p>
      <w:pPr>
        <w:spacing w:line="600" w:lineRule="exact"/>
        <w:ind w:firstLine="640" w:firstLineChars="200"/>
        <w:rPr>
          <w:rFonts w:ascii="黑体" w:hAnsi="黑体" w:eastAsia="黑体"/>
        </w:rPr>
      </w:pPr>
      <w:r>
        <w:rPr>
          <w:rFonts w:hint="eastAsia" w:ascii="黑体" w:hAnsi="黑体" w:eastAsia="黑体"/>
        </w:rPr>
        <w:t>二、成本监审范围</w:t>
      </w:r>
    </w:p>
    <w:p>
      <w:pPr>
        <w:spacing w:line="600" w:lineRule="exact"/>
        <w:ind w:firstLine="640" w:firstLineChars="200"/>
      </w:pPr>
      <w:r>
        <w:rPr>
          <w:rFonts w:hint="eastAsia"/>
        </w:rPr>
        <w:t>万盛经开区公交运营单位包括</w:t>
      </w:r>
      <w:r>
        <w:t>重庆市汽车运输（集团）有限责任公司九分公司、</w:t>
      </w:r>
      <w:r>
        <w:rPr>
          <w:rFonts w:hint="eastAsia"/>
        </w:rPr>
        <w:t>重庆市汽车运输集团万盛客运有限公司和重庆市富吉公路运输（集团）有限公司富鑫分公司，</w:t>
      </w:r>
      <w:r>
        <w:t>重庆市汽车运输（集团）有限责任公司九分公司的公交车数量占整个万盛经开区公交车数量的</w:t>
      </w:r>
      <w:r>
        <w:rPr>
          <w:rFonts w:hint="eastAsia"/>
        </w:rPr>
        <w:t>50%以上。同时根据三家单位提供的账面资料反映，重庆市汽车运输集团万盛客运有限公司年平均公交运营单价2.64</w:t>
      </w:r>
      <w:r>
        <w:t>元/人.次，</w:t>
      </w:r>
      <w:r>
        <w:rPr>
          <w:rFonts w:hint="eastAsia"/>
        </w:rPr>
        <w:t>重庆市富吉公路运输（集团）有限公司富鑫分公司年平均公交运营单价2.31</w:t>
      </w:r>
      <w:r>
        <w:t>元/人.次，</w:t>
      </w:r>
      <w:r>
        <w:rPr>
          <w:rFonts w:hint="eastAsia"/>
        </w:rPr>
        <w:t>重庆市汽车运输（集团）有限责任公司九分公司年平均公交运营单价2.25</w:t>
      </w:r>
      <w:r>
        <w:t>元/人.次</w:t>
      </w:r>
      <w:r>
        <w:rPr>
          <w:rFonts w:hint="eastAsia"/>
        </w:rPr>
        <w:t>。</w:t>
      </w:r>
      <w:r>
        <w:t>综合考虑，本次审计重庆市汽车运输（集团）有限责任公司九分公司的公交车运营成本作为</w:t>
      </w:r>
      <w:r>
        <w:rPr>
          <w:rFonts w:hint="eastAsia"/>
        </w:rPr>
        <w:t>万盛经开区公交定价基础标准。</w:t>
      </w:r>
    </w:p>
    <w:p>
      <w:pPr>
        <w:pStyle w:val="2"/>
        <w:adjustRightInd w:val="0"/>
        <w:snapToGrid w:val="0"/>
        <w:spacing w:line="600" w:lineRule="exact"/>
        <w:ind w:firstLine="640"/>
        <w:rPr>
          <w:rFonts w:ascii="黑体" w:hAnsi="黑体" w:eastAsia="黑体"/>
          <w:bCs/>
          <w:sz w:val="32"/>
          <w:szCs w:val="32"/>
        </w:rPr>
      </w:pPr>
      <w:r>
        <w:rPr>
          <w:rFonts w:hint="eastAsia" w:ascii="黑体" w:hAnsi="黑体" w:eastAsia="黑体"/>
          <w:bCs/>
          <w:sz w:val="32"/>
          <w:szCs w:val="32"/>
        </w:rPr>
        <w:t>三、成本监审依据</w:t>
      </w:r>
    </w:p>
    <w:p>
      <w:pPr>
        <w:pStyle w:val="2"/>
        <w:adjustRightInd w:val="0"/>
        <w:snapToGrid w:val="0"/>
        <w:spacing w:line="600" w:lineRule="exact"/>
        <w:ind w:firstLine="640"/>
        <w:rPr>
          <w:rFonts w:eastAsia="方正仿宋_GBK"/>
          <w:bCs/>
          <w:sz w:val="32"/>
          <w:szCs w:val="32"/>
        </w:rPr>
      </w:pPr>
      <w:r>
        <w:rPr>
          <w:rFonts w:eastAsia="方正仿宋_GBK"/>
          <w:bCs/>
          <w:sz w:val="32"/>
          <w:szCs w:val="32"/>
        </w:rPr>
        <w:t>（一）《中华人民共和国价格法》；</w:t>
      </w:r>
    </w:p>
    <w:p>
      <w:pPr>
        <w:pStyle w:val="2"/>
        <w:adjustRightInd w:val="0"/>
        <w:snapToGrid w:val="0"/>
        <w:spacing w:line="600" w:lineRule="exact"/>
        <w:ind w:firstLine="640"/>
        <w:rPr>
          <w:rFonts w:eastAsia="方正仿宋_GBK"/>
          <w:bCs/>
          <w:sz w:val="32"/>
          <w:szCs w:val="32"/>
        </w:rPr>
      </w:pPr>
      <w:r>
        <w:rPr>
          <w:rFonts w:eastAsia="方正仿宋_GBK"/>
          <w:bCs/>
          <w:sz w:val="32"/>
          <w:szCs w:val="32"/>
        </w:rPr>
        <w:t>（二）《政府制定价格成本监审办法》（国家发展和改革委员会令2017年第8号）；</w:t>
      </w:r>
    </w:p>
    <w:p>
      <w:pPr>
        <w:spacing w:line="600" w:lineRule="exact"/>
        <w:ind w:firstLine="640" w:firstLineChars="200"/>
        <w:rPr>
          <w:bCs/>
        </w:rPr>
      </w:pPr>
      <w:r>
        <w:rPr>
          <w:bCs/>
        </w:rPr>
        <w:t>（三）《重庆市政府制定价格成本监审办法》（渝府令第286号）</w:t>
      </w:r>
      <w:r>
        <w:rPr>
          <w:rFonts w:hint="eastAsia"/>
          <w:bCs/>
        </w:rPr>
        <w:t>；</w:t>
      </w:r>
    </w:p>
    <w:p>
      <w:pPr>
        <w:spacing w:line="600" w:lineRule="exact"/>
        <w:ind w:firstLine="640" w:firstLineChars="200"/>
      </w:pPr>
      <w:r>
        <w:rPr>
          <w:bCs/>
        </w:rPr>
        <w:t>（四）</w:t>
      </w:r>
      <w:r>
        <w:t>《城市公共汽车客运定价成本监审办法（试行）》</w:t>
      </w:r>
      <w:r>
        <w:rPr>
          <w:rFonts w:hint="eastAsia"/>
        </w:rPr>
        <w:t>；</w:t>
      </w:r>
    </w:p>
    <w:p>
      <w:pPr>
        <w:spacing w:line="600" w:lineRule="exact"/>
        <w:ind w:firstLine="640" w:firstLineChars="200"/>
      </w:pPr>
      <w:r>
        <w:rPr>
          <w:bCs/>
        </w:rPr>
        <w:t>（五）</w:t>
      </w:r>
      <w:r>
        <w:t>《中华人民共和国会计法》（主席令12届第81号）；</w:t>
      </w:r>
    </w:p>
    <w:p>
      <w:pPr>
        <w:spacing w:line="600" w:lineRule="exact"/>
        <w:ind w:firstLine="640" w:firstLineChars="200"/>
      </w:pPr>
      <w:r>
        <w:rPr>
          <w:bCs/>
        </w:rPr>
        <w:t>（六）</w:t>
      </w:r>
      <w:r>
        <w:t>《企业会计准则》及其有关财务规定。</w:t>
      </w:r>
    </w:p>
    <w:p>
      <w:pPr>
        <w:spacing w:line="600" w:lineRule="exact"/>
        <w:ind w:firstLine="640" w:firstLineChars="200"/>
        <w:rPr>
          <w:rFonts w:ascii="黑体" w:hAnsi="黑体" w:eastAsia="黑体"/>
        </w:rPr>
      </w:pPr>
      <w:r>
        <w:rPr>
          <w:rFonts w:hint="eastAsia" w:ascii="黑体" w:hAnsi="黑体" w:eastAsia="黑体"/>
        </w:rPr>
        <w:t>四、成本监审的程序</w:t>
      </w:r>
    </w:p>
    <w:p>
      <w:pPr>
        <w:spacing w:line="600" w:lineRule="exact"/>
        <w:ind w:firstLine="640" w:firstLineChars="200"/>
        <w:rPr>
          <w:rFonts w:ascii="方正仿宋_GBK" w:hAnsi="宋体"/>
        </w:rPr>
      </w:pPr>
      <w:r>
        <w:rPr>
          <w:rFonts w:hint="eastAsia" w:ascii="方正楷体_GBK" w:hAnsi="宋体" w:eastAsia="方正楷体_GBK"/>
        </w:rPr>
        <w:t>（一）初审。</w:t>
      </w:r>
      <w:r>
        <w:rPr>
          <w:rFonts w:hint="eastAsia" w:ascii="方正仿宋_GBK" w:hAnsi="宋体"/>
        </w:rPr>
        <w:t>对被审单位提供的成本资料进行初审，成本资料内容不完整的，要求被审单位补充提供有关资料。</w:t>
      </w:r>
    </w:p>
    <w:p>
      <w:pPr>
        <w:spacing w:line="600" w:lineRule="exact"/>
        <w:ind w:firstLine="640" w:firstLineChars="200"/>
        <w:rPr>
          <w:rFonts w:ascii="方正仿宋_GBK" w:hAnsi="宋体"/>
          <w:b/>
        </w:rPr>
      </w:pPr>
      <w:r>
        <w:rPr>
          <w:rFonts w:hint="eastAsia" w:ascii="方正楷体_GBK" w:hAnsi="宋体" w:eastAsia="方正楷体_GBK"/>
        </w:rPr>
        <w:t>（二）对被审单位的成本进行审核。</w:t>
      </w:r>
      <w:r>
        <w:rPr>
          <w:rFonts w:hint="eastAsia" w:ascii="方正仿宋_GBK" w:hAnsi="宋体"/>
          <w:bCs/>
        </w:rPr>
        <w:t>按照《政府制定价格成本监审办法》（国家发展改革委第</w:t>
      </w:r>
      <w:r>
        <w:rPr>
          <w:bCs/>
        </w:rPr>
        <w:t>8</w:t>
      </w:r>
      <w:r>
        <w:rPr>
          <w:rFonts w:hint="eastAsia" w:ascii="方正仿宋_GBK" w:hAnsi="宋体"/>
          <w:bCs/>
        </w:rPr>
        <w:t>号令）等相关文件的规定，对</w:t>
      </w:r>
      <w:r>
        <w:rPr>
          <w:rFonts w:hint="eastAsia" w:ascii="方正仿宋_GBK" w:hAnsi="宋体" w:cs="宋体"/>
          <w:color w:val="000000"/>
        </w:rPr>
        <w:t>企业</w:t>
      </w:r>
      <w:r>
        <w:rPr>
          <w:rFonts w:hint="eastAsia" w:ascii="方正仿宋_GBK" w:hAnsi="宋体"/>
          <w:bCs/>
        </w:rPr>
        <w:t>公交经营成本、费用支出进行审核。</w:t>
      </w:r>
    </w:p>
    <w:p>
      <w:pPr>
        <w:spacing w:line="600" w:lineRule="exact"/>
        <w:ind w:firstLine="640" w:firstLineChars="200"/>
        <w:rPr>
          <w:rFonts w:ascii="方正仿宋_GBK" w:hAnsi="宋体"/>
        </w:rPr>
      </w:pPr>
      <w:r>
        <w:rPr>
          <w:rFonts w:hint="eastAsia" w:ascii="方正楷体_GBK" w:hAnsi="宋体" w:eastAsia="方正楷体_GBK"/>
        </w:rPr>
        <w:t>（三）反馈与复审。</w:t>
      </w:r>
      <w:r>
        <w:rPr>
          <w:rFonts w:hint="eastAsia" w:ascii="方正仿宋_GBK" w:hAnsi="宋体"/>
        </w:rPr>
        <w:t>将被审单位成本核增核减的意见及理由及时告知被审单位。被审单位对成本核增核减意见有异议的，对被审单位的意见及理由进行复审。</w:t>
      </w:r>
    </w:p>
    <w:p>
      <w:pPr>
        <w:spacing w:line="600" w:lineRule="exact"/>
        <w:ind w:firstLine="640" w:firstLineChars="200"/>
        <w:rPr>
          <w:rFonts w:ascii="方正仿宋_GBK" w:hAnsi="宋体"/>
        </w:rPr>
      </w:pPr>
      <w:r>
        <w:rPr>
          <w:rFonts w:hint="eastAsia" w:ascii="方正楷体_GBK" w:hAnsi="宋体" w:eastAsia="方正楷体_GBK"/>
        </w:rPr>
        <w:t>（四）出具公交车运营成本专项审计报告。</w:t>
      </w:r>
      <w:r>
        <w:rPr>
          <w:rFonts w:hint="eastAsia" w:ascii="方正仿宋_GBK" w:hAnsi="宋体"/>
        </w:rPr>
        <w:t>按最终核定的运营成本编制成本监审报告。</w:t>
      </w:r>
    </w:p>
    <w:p>
      <w:pPr>
        <w:spacing w:line="600" w:lineRule="exact"/>
        <w:ind w:firstLine="640" w:firstLineChars="200"/>
        <w:rPr>
          <w:rFonts w:ascii="黑体" w:hAnsi="黑体" w:eastAsia="黑体"/>
        </w:rPr>
      </w:pPr>
      <w:r>
        <w:rPr>
          <w:rFonts w:hint="eastAsia" w:ascii="黑体" w:hAnsi="黑体" w:eastAsia="黑体"/>
        </w:rPr>
        <w:t>五、被监审单位的基本情况</w:t>
      </w:r>
    </w:p>
    <w:p>
      <w:pPr>
        <w:spacing w:line="600" w:lineRule="exact"/>
        <w:ind w:firstLine="640" w:firstLineChars="200"/>
      </w:pPr>
      <w:r>
        <w:rPr>
          <w:rFonts w:hint="eastAsia"/>
        </w:rPr>
        <w:t>重庆市汽车运输（集团）有限责任公司九分公司隶属于重庆市汽车运输（集团）有限责任公司，公司成立于1998年11月，企业类型：国有企业，企业负责人：徐峰，公司地址：重庆市万盛区两河口97号，公司主要从事县内班车客运，县际班车客运，省际班车客运，普通货运，出租客运，客运站经营，县内包车客运，县际包车客运，省内包车客运，公共汽车客运（万盛区），汽车修理、汽车租赁，房屋租赁，汽车零配件销售，润滑油销售，机动车充电销售等多个服务领域，现有在岗职工353人，其中驾驶人员178人，拥有营运车辆206辆，其中公交车108辆，共开通公交线路24条，均为票价1元/人.次，</w:t>
      </w:r>
      <w:r>
        <w:t>201</w:t>
      </w:r>
      <w:r>
        <w:rPr>
          <w:rFonts w:hint="eastAsia"/>
        </w:rPr>
        <w:t>8－</w:t>
      </w:r>
      <w:r>
        <w:t>20</w:t>
      </w:r>
      <w:r>
        <w:rPr>
          <w:rFonts w:hint="eastAsia"/>
        </w:rPr>
        <w:t>20年公交客运总量5,663.2</w:t>
      </w:r>
      <w:r>
        <w:rPr>
          <w:rFonts w:hint="eastAsia"/>
          <w:lang w:val="en-US" w:eastAsia="zh-CN"/>
        </w:rPr>
        <w:t>7</w:t>
      </w:r>
      <w:r>
        <w:rPr>
          <w:rFonts w:hint="eastAsia"/>
        </w:rPr>
        <w:t>万人次，日平均客运总量5.17万人次。</w:t>
      </w:r>
    </w:p>
    <w:p>
      <w:pPr>
        <w:spacing w:line="600" w:lineRule="exact"/>
        <w:ind w:firstLine="640" w:firstLineChars="200"/>
        <w:rPr>
          <w:rFonts w:ascii="黑体" w:hAnsi="黑体" w:eastAsia="黑体"/>
        </w:rPr>
      </w:pPr>
      <w:r>
        <w:rPr>
          <w:rFonts w:hint="eastAsia" w:ascii="黑体" w:hAnsi="黑体" w:eastAsia="黑体"/>
        </w:rPr>
        <w:t>六、成本监审的原则和方法</w:t>
      </w:r>
    </w:p>
    <w:p>
      <w:pPr>
        <w:spacing w:line="600" w:lineRule="exact"/>
        <w:ind w:firstLine="640" w:firstLineChars="200"/>
        <w:rPr>
          <w:rFonts w:ascii="方正仿宋_GBK" w:hAnsi="宋体"/>
        </w:rPr>
      </w:pPr>
      <w:r>
        <w:rPr>
          <w:rFonts w:hint="eastAsia" w:ascii="方正楷体_GBK" w:hAnsi="宋体" w:eastAsia="方正楷体_GBK"/>
        </w:rPr>
        <w:t>（一）成本监审遵循下列主要</w:t>
      </w:r>
      <w:bookmarkStart w:id="0" w:name="baidusnap3"/>
      <w:bookmarkEnd w:id="0"/>
      <w:r>
        <w:rPr>
          <w:rFonts w:hint="eastAsia" w:ascii="方正楷体_GBK" w:hAnsi="宋体" w:eastAsia="方正楷体_GBK"/>
        </w:rPr>
        <w:t>原则：</w:t>
      </w:r>
      <w:r>
        <w:rPr>
          <w:rFonts w:hint="eastAsia" w:ascii="方正仿宋_GBK" w:hAnsi="宋体"/>
        </w:rPr>
        <w:t>合法性原则、合理性原则和相关性原则。</w:t>
      </w:r>
    </w:p>
    <w:p>
      <w:pPr>
        <w:spacing w:line="600" w:lineRule="exact"/>
        <w:ind w:firstLine="640" w:firstLineChars="200"/>
        <w:rPr>
          <w:rFonts w:ascii="方正楷体_GBK" w:hAnsi="宋体" w:eastAsia="方正楷体_GBK"/>
        </w:rPr>
      </w:pPr>
      <w:r>
        <w:rPr>
          <w:rFonts w:hint="eastAsia" w:ascii="方正楷体_GBK" w:hAnsi="宋体" w:eastAsia="方正楷体_GBK"/>
        </w:rPr>
        <w:t>（二）成本监审的核定方法</w:t>
      </w:r>
    </w:p>
    <w:p>
      <w:pPr>
        <w:spacing w:line="600" w:lineRule="exact"/>
        <w:ind w:firstLine="640" w:firstLineChars="200"/>
        <w:rPr>
          <w:rFonts w:ascii="方正仿宋_GBK" w:hAnsi="宋体"/>
        </w:rPr>
      </w:pPr>
      <w:r>
        <w:t xml:space="preserve">1. </w:t>
      </w:r>
      <w:r>
        <w:rPr>
          <w:rFonts w:hint="eastAsia" w:ascii="方正仿宋_GBK" w:hAnsi="宋体"/>
        </w:rPr>
        <w:t>对公交</w:t>
      </w:r>
      <w:r>
        <w:rPr>
          <w:rFonts w:hint="eastAsia" w:ascii="方正仿宋_GBK" w:hAnsi="宋体"/>
          <w:lang w:eastAsia="zh-CN"/>
        </w:rPr>
        <w:t>车</w:t>
      </w:r>
      <w:r>
        <w:rPr>
          <w:rFonts w:hint="eastAsia" w:ascii="方正仿宋_GBK" w:hAnsi="宋体"/>
        </w:rPr>
        <w:t>业务的确认</w:t>
      </w:r>
    </w:p>
    <w:p>
      <w:pPr>
        <w:spacing w:line="600" w:lineRule="exact"/>
        <w:ind w:firstLine="640" w:firstLineChars="200"/>
        <w:rPr>
          <w:rFonts w:ascii="方正仿宋_GBK" w:hAnsi="宋体"/>
          <w:b/>
        </w:rPr>
      </w:pPr>
      <w:r>
        <w:rPr>
          <w:rFonts w:hint="eastAsia" w:ascii="方正仿宋_GBK" w:hAnsi="宋体"/>
        </w:rPr>
        <w:t>按照管理部门关于公交业务范围的界定，</w:t>
      </w:r>
      <w:r>
        <w:rPr>
          <w:rFonts w:hint="eastAsia" w:ascii="方正仿宋_GBK" w:hAnsi="宋体" w:cs="新宋体"/>
        </w:rPr>
        <w:t>本次只对</w:t>
      </w:r>
      <w:r>
        <w:rPr>
          <w:rFonts w:hint="eastAsia"/>
        </w:rPr>
        <w:t>九分</w:t>
      </w:r>
      <w:r>
        <w:rPr>
          <w:rFonts w:hint="eastAsia" w:ascii="方正仿宋_GBK" w:hAnsi="宋体" w:cs="新宋体"/>
        </w:rPr>
        <w:t>公司经营公交</w:t>
      </w:r>
      <w:r>
        <w:rPr>
          <w:rFonts w:hint="eastAsia" w:ascii="方正仿宋_GBK" w:hAnsi="宋体" w:cs="新宋体"/>
          <w:lang w:eastAsia="zh-CN"/>
        </w:rPr>
        <w:t>车</w:t>
      </w:r>
      <w:r>
        <w:rPr>
          <w:rFonts w:hint="eastAsia" w:ascii="方正仿宋_GBK" w:hAnsi="宋体" w:cs="新宋体"/>
        </w:rPr>
        <w:t>成本实施监审，并按该界定确定相关公交</w:t>
      </w:r>
      <w:r>
        <w:rPr>
          <w:rFonts w:hint="eastAsia" w:ascii="方正仿宋_GBK" w:hAnsi="宋体" w:cs="新宋体"/>
          <w:lang w:eastAsia="zh-CN"/>
        </w:rPr>
        <w:t>车</w:t>
      </w:r>
      <w:r>
        <w:rPr>
          <w:rFonts w:hint="eastAsia" w:ascii="方正仿宋_GBK" w:hAnsi="宋体" w:cs="新宋体"/>
        </w:rPr>
        <w:t>成本数据。</w:t>
      </w:r>
    </w:p>
    <w:p>
      <w:pPr>
        <w:spacing w:line="600" w:lineRule="exact"/>
        <w:ind w:firstLine="640" w:firstLineChars="200"/>
        <w:rPr>
          <w:rFonts w:ascii="方正仿宋_GBK" w:hAnsi="宋体"/>
          <w:b/>
        </w:rPr>
      </w:pPr>
      <w:r>
        <w:t>2. 技术指标的核定</w:t>
      </w:r>
    </w:p>
    <w:p>
      <w:pPr>
        <w:spacing w:line="600" w:lineRule="exact"/>
        <w:ind w:firstLine="640" w:firstLineChars="200"/>
        <w:rPr>
          <w:rFonts w:ascii="方正仿宋_GBK" w:hAnsi="宋体"/>
          <w:b/>
        </w:rPr>
      </w:pPr>
      <w:r>
        <w:rPr>
          <w:rFonts w:hint="eastAsia" w:ascii="方正仿宋_GBK" w:hAnsi="宋体"/>
        </w:rPr>
        <w:t>职工人数、营运车辆数、营运线路数、运行班次、营运里程、营运客运量等与营运有关的技术指标按实际营运状况并对比财务账目数据核定。</w:t>
      </w:r>
    </w:p>
    <w:p>
      <w:pPr>
        <w:spacing w:line="600" w:lineRule="exact"/>
        <w:ind w:firstLine="640" w:firstLineChars="200"/>
      </w:pPr>
      <w:r>
        <w:t>3. 成本费用类科目的核定</w:t>
      </w:r>
    </w:p>
    <w:p>
      <w:pPr>
        <w:spacing w:line="600" w:lineRule="exact"/>
        <w:ind w:firstLine="640" w:firstLineChars="200"/>
        <w:rPr>
          <w:rFonts w:ascii="方正仿宋_GBK" w:hAnsi="宋体"/>
          <w:b/>
        </w:rPr>
      </w:pPr>
      <w:r>
        <w:rPr>
          <w:rFonts w:hint="eastAsia"/>
        </w:rPr>
        <w:t>成本费用包括直接运营成本、期间费用和税金及附加</w:t>
      </w:r>
    </w:p>
    <w:p>
      <w:pPr>
        <w:spacing w:line="600" w:lineRule="exact"/>
        <w:ind w:firstLine="640" w:firstLineChars="200"/>
        <w:rPr>
          <w:rFonts w:ascii="方正仿宋_GBK" w:hAnsi="宋体"/>
        </w:rPr>
      </w:pPr>
      <w:r>
        <w:rPr>
          <w:rFonts w:hint="eastAsia" w:ascii="方正仿宋_GBK" w:hAnsi="宋体"/>
        </w:rPr>
        <w:t>（1）直接运营成本</w:t>
      </w:r>
    </w:p>
    <w:p>
      <w:pPr>
        <w:spacing w:line="600" w:lineRule="exact"/>
        <w:ind w:firstLine="640" w:firstLineChars="200"/>
        <w:rPr>
          <w:rFonts w:ascii="方正仿宋_GBK" w:hAnsi="宋体"/>
        </w:rPr>
      </w:pPr>
      <w:r>
        <w:rPr>
          <w:rFonts w:hint="eastAsia" w:ascii="方正仿宋_GBK" w:hAnsi="宋体"/>
        </w:rPr>
        <w:t>直接营运成本主要包括职工薪酬、燃润料、折旧费、保险费、修理费、水电费等</w:t>
      </w:r>
    </w:p>
    <w:p>
      <w:pPr>
        <w:spacing w:line="600" w:lineRule="exact"/>
        <w:ind w:firstLine="640" w:firstLineChars="200"/>
        <w:rPr>
          <w:rFonts w:ascii="方正仿宋_GBK" w:hAnsi="宋体"/>
        </w:rPr>
      </w:pPr>
      <w:r>
        <w:rPr>
          <w:rFonts w:hint="eastAsia" w:ascii="方正仿宋_GBK" w:hAnsi="宋体"/>
        </w:rPr>
        <w:t>①职工薪酬</w:t>
      </w:r>
    </w:p>
    <w:p>
      <w:pPr>
        <w:spacing w:line="600" w:lineRule="exact"/>
        <w:ind w:firstLine="640" w:firstLineChars="200"/>
        <w:rPr>
          <w:rFonts w:ascii="方正仿宋_GBK" w:hAnsi="宋体"/>
        </w:rPr>
      </w:pPr>
      <w:r>
        <w:rPr>
          <w:rFonts w:hint="eastAsia" w:ascii="方正仿宋_GBK" w:hAnsi="宋体"/>
        </w:rPr>
        <w:t>计入成本的职工工资包括以货币形式向职工发放的工资、奖金、津贴、补贴等各种报酬。工会经费、职工教育经费、职工福利费、社会保险费、住房公积金，审核计算基数原则上按照经营者实缴基数核定，但不得超过核定的工资总额和当地政府规定的基数，计算比例按照不超过国家或者当地政府统一规定的比例确定。</w:t>
      </w:r>
    </w:p>
    <w:p>
      <w:pPr>
        <w:spacing w:line="600" w:lineRule="exact"/>
        <w:ind w:firstLine="640" w:firstLineChars="200"/>
        <w:rPr>
          <w:rFonts w:ascii="方正仿宋_GBK" w:hAnsi="宋体"/>
        </w:rPr>
      </w:pPr>
      <w:r>
        <w:rPr>
          <w:rFonts w:hint="eastAsia" w:ascii="方正仿宋_GBK" w:hAnsi="宋体"/>
        </w:rPr>
        <w:t>②折旧费</w:t>
      </w:r>
    </w:p>
    <w:p>
      <w:pPr>
        <w:spacing w:line="600" w:lineRule="exact"/>
        <w:ind w:firstLine="640" w:firstLineChars="200"/>
        <w:rPr>
          <w:rFonts w:ascii="方正仿宋_GBK" w:hAnsi="宋体"/>
        </w:rPr>
      </w:pPr>
      <w:r>
        <w:rPr>
          <w:rFonts w:hint="eastAsia" w:ascii="方正仿宋_GBK" w:hAnsi="宋体"/>
        </w:rPr>
        <w:t>固定资产、无形资产等各类资产的原值，参照合理规模，遵循历史成本原则核定。折旧年限应当根据固定资产的性质、设计使用年限和行业规范合理核定。</w:t>
      </w:r>
    </w:p>
    <w:p>
      <w:pPr>
        <w:spacing w:line="600" w:lineRule="exact"/>
        <w:ind w:firstLine="640" w:firstLineChars="200"/>
        <w:rPr>
          <w:rFonts w:ascii="方正仿宋_GBK" w:hAnsi="宋体"/>
        </w:rPr>
      </w:pPr>
      <w:r>
        <w:rPr>
          <w:rFonts w:hint="eastAsia" w:ascii="方正仿宋_GBK" w:hAnsi="宋体"/>
        </w:rPr>
        <w:t>③燃润料、保险费、修理费、水电费、其他直接营运费用按实际发生的金额计入成本。</w:t>
      </w:r>
    </w:p>
    <w:p>
      <w:pPr>
        <w:spacing w:line="600" w:lineRule="exact"/>
        <w:ind w:firstLine="640" w:firstLineChars="200"/>
        <w:rPr>
          <w:rFonts w:ascii="方正仿宋_GBK" w:hAnsi="宋体"/>
        </w:rPr>
      </w:pPr>
      <w:r>
        <w:rPr>
          <w:rFonts w:hint="eastAsia" w:ascii="方正仿宋_GBK" w:hAnsi="宋体"/>
        </w:rPr>
        <w:t>（2）期间费用</w:t>
      </w:r>
    </w:p>
    <w:p>
      <w:pPr>
        <w:spacing w:line="600" w:lineRule="exact"/>
        <w:ind w:firstLine="640" w:firstLineChars="200"/>
        <w:rPr>
          <w:rFonts w:ascii="方正仿宋_GBK" w:hAnsi="宋体"/>
        </w:rPr>
      </w:pPr>
      <w:r>
        <w:rPr>
          <w:rFonts w:hint="eastAsia" w:ascii="方正仿宋_GBK" w:hAnsi="宋体"/>
        </w:rPr>
        <w:t>①管理费用。管理费用分摊，根据成本监审遵循相关性原则和重要性原则，分析各项影响管理费用指标的相关程度，依据企业的实际情况，选取合理分摊指标按比例进行分摊。</w:t>
      </w:r>
    </w:p>
    <w:p>
      <w:pPr>
        <w:spacing w:line="600" w:lineRule="exact"/>
        <w:ind w:firstLine="640" w:firstLineChars="200"/>
        <w:rPr>
          <w:rFonts w:ascii="方正仿宋_GBK" w:hAnsi="宋体"/>
        </w:rPr>
      </w:pPr>
      <w:r>
        <w:rPr>
          <w:rFonts w:hint="eastAsia" w:ascii="方正仿宋_GBK" w:hAnsi="宋体"/>
        </w:rPr>
        <w:t>②财务费用。指企业为筹集营运所需资金而发生的各项费用，包括企业营运期间发生的利息支出（减利息收入）、金融机构手续费。</w:t>
      </w:r>
    </w:p>
    <w:p>
      <w:pPr>
        <w:spacing w:line="600" w:lineRule="exact"/>
        <w:ind w:firstLine="640" w:firstLineChars="200"/>
        <w:rPr>
          <w:rFonts w:ascii="方正仿宋_GBK" w:hAnsi="宋体"/>
        </w:rPr>
      </w:pPr>
      <w:r>
        <w:rPr>
          <w:rFonts w:hint="eastAsia" w:ascii="方正仿宋_GBK" w:hAnsi="宋体"/>
        </w:rPr>
        <w:t>（3）税金及附加</w:t>
      </w:r>
    </w:p>
    <w:p>
      <w:pPr>
        <w:spacing w:line="600" w:lineRule="exact"/>
        <w:ind w:firstLine="640" w:firstLineChars="200"/>
        <w:rPr>
          <w:rFonts w:ascii="方正仿宋_GBK" w:hAnsi="宋体"/>
        </w:rPr>
      </w:pPr>
      <w:r>
        <w:rPr>
          <w:rFonts w:hint="eastAsia" w:ascii="方正仿宋_GBK" w:hAnsi="宋体"/>
        </w:rPr>
        <w:t>税金及附加包括城建税、教育费附加、车船税。</w:t>
      </w:r>
    </w:p>
    <w:p>
      <w:pPr>
        <w:spacing w:line="600" w:lineRule="exact"/>
        <w:ind w:firstLine="640" w:firstLineChars="200"/>
        <w:rPr>
          <w:b/>
        </w:rPr>
      </w:pPr>
      <w:r>
        <w:rPr>
          <w:rFonts w:hint="eastAsia" w:ascii="黑体" w:hAnsi="黑体" w:eastAsia="黑体"/>
        </w:rPr>
        <w:t>七、成本核增核减情况</w:t>
      </w:r>
    </w:p>
    <w:p>
      <w:pPr>
        <w:spacing w:line="600" w:lineRule="exact"/>
        <w:ind w:firstLine="640" w:firstLineChars="200"/>
        <w:rPr>
          <w:b/>
        </w:rPr>
      </w:pPr>
      <w:r>
        <w:rPr>
          <w:rFonts w:hint="eastAsia" w:ascii="方正仿宋_GBK" w:hAnsi="宋体"/>
        </w:rPr>
        <w:t>按照合法性、相关性、合理性原则，我们对</w:t>
      </w:r>
      <w:r>
        <w:rPr>
          <w:rFonts w:hint="eastAsia" w:ascii="方正仿宋_GBK" w:hAnsi="宋体" w:cs="宋体"/>
        </w:rPr>
        <w:t>九分公司经营公交</w:t>
      </w:r>
      <w:r>
        <w:rPr>
          <w:rFonts w:hint="eastAsia" w:ascii="方正仿宋_GBK" w:hAnsi="宋体"/>
        </w:rPr>
        <w:t>的直接营运成本、期间费用及营业税金及附加进行了审核，对与</w:t>
      </w:r>
      <w:r>
        <w:t>营运无直接关系的费用、与监审办法及规章制度不相符的核算内容等进行了调整。201</w:t>
      </w:r>
      <w:r>
        <w:rPr>
          <w:rFonts w:hint="eastAsia"/>
        </w:rPr>
        <w:t>8</w:t>
      </w:r>
      <w:r>
        <w:t>年核减93</w:t>
      </w:r>
      <w:r>
        <w:rPr>
          <w:rFonts w:hint="eastAsia"/>
        </w:rPr>
        <w:t>7.21</w:t>
      </w:r>
      <w:r>
        <w:t>万元，201</w:t>
      </w:r>
      <w:r>
        <w:rPr>
          <w:rFonts w:hint="eastAsia"/>
        </w:rPr>
        <w:t>9</w:t>
      </w:r>
      <w:r>
        <w:t>年核减9</w:t>
      </w:r>
      <w:r>
        <w:rPr>
          <w:rFonts w:hint="eastAsia"/>
        </w:rPr>
        <w:t>55.24</w:t>
      </w:r>
      <w:r>
        <w:t>万元，20</w:t>
      </w:r>
      <w:r>
        <w:rPr>
          <w:rFonts w:hint="eastAsia"/>
        </w:rPr>
        <w:t>20</w:t>
      </w:r>
      <w:r>
        <w:t>年核减</w:t>
      </w:r>
      <w:r>
        <w:rPr>
          <w:rFonts w:hint="eastAsia"/>
        </w:rPr>
        <w:t>990.73</w:t>
      </w:r>
      <w:r>
        <w:t>万元，各年度核减成本费用项目如下：</w:t>
      </w:r>
      <w:r>
        <w:rPr>
          <w:rFonts w:hint="eastAsia" w:ascii="方正仿宋_GBK" w:hAnsi="宋体" w:cs="宋体"/>
        </w:rPr>
        <w:t xml:space="preserve">        </w:t>
      </w:r>
    </w:p>
    <w:p>
      <w:pPr>
        <w:spacing w:line="600" w:lineRule="exact"/>
        <w:ind w:firstLine="1120" w:firstLineChars="400"/>
        <w:rPr>
          <w:rFonts w:ascii="方正仿宋_GBK" w:hAnsi="宋体"/>
          <w:sz w:val="28"/>
          <w:szCs w:val="28"/>
        </w:rPr>
      </w:pPr>
      <w:r>
        <w:rPr>
          <w:rFonts w:hint="eastAsia" w:ascii="方正仿宋_GBK" w:hAnsi="宋体" w:cs="宋体"/>
          <w:sz w:val="28"/>
          <w:szCs w:val="28"/>
        </w:rPr>
        <w:t>单位：万元</w:t>
      </w:r>
    </w:p>
    <w:tbl>
      <w:tblPr>
        <w:tblStyle w:val="5"/>
        <w:tblW w:w="9233" w:type="dxa"/>
        <w:jc w:val="center"/>
        <w:tblLayout w:type="autofit"/>
        <w:tblCellMar>
          <w:top w:w="0" w:type="dxa"/>
          <w:left w:w="108" w:type="dxa"/>
          <w:bottom w:w="0" w:type="dxa"/>
          <w:right w:w="108" w:type="dxa"/>
        </w:tblCellMar>
      </w:tblPr>
      <w:tblGrid>
        <w:gridCol w:w="2467"/>
        <w:gridCol w:w="1559"/>
        <w:gridCol w:w="1338"/>
        <w:gridCol w:w="1418"/>
        <w:gridCol w:w="1315"/>
        <w:gridCol w:w="1136"/>
      </w:tblGrid>
      <w:tr>
        <w:tblPrEx>
          <w:tblCellMar>
            <w:top w:w="0" w:type="dxa"/>
            <w:left w:w="108" w:type="dxa"/>
            <w:bottom w:w="0" w:type="dxa"/>
            <w:right w:w="108" w:type="dxa"/>
          </w:tblCellMar>
        </w:tblPrEx>
        <w:trPr>
          <w:trHeight w:val="300" w:hRule="atLeast"/>
          <w:jc w:val="center"/>
        </w:trPr>
        <w:tc>
          <w:tcPr>
            <w:tcW w:w="2467" w:type="dxa"/>
            <w:tcBorders>
              <w:top w:val="single" w:color="auto" w:sz="8" w:space="0"/>
              <w:left w:val="single" w:color="auto" w:sz="8" w:space="0"/>
              <w:bottom w:val="single" w:color="auto" w:sz="8" w:space="0"/>
              <w:right w:val="single" w:color="auto" w:sz="8" w:space="0"/>
            </w:tcBorders>
            <w:noWrap w:val="0"/>
            <w:vAlign w:val="center"/>
          </w:tcPr>
          <w:p>
            <w:pPr>
              <w:widowControl/>
              <w:spacing w:line="570" w:lineRule="exact"/>
              <w:jc w:val="center"/>
              <w:rPr>
                <w:rFonts w:ascii="宋体" w:hAnsi="宋体"/>
                <w:kern w:val="0"/>
                <w:sz w:val="24"/>
              </w:rPr>
            </w:pPr>
            <w:r>
              <w:rPr>
                <w:rFonts w:ascii="宋体" w:hAnsi="宋体"/>
                <w:kern w:val="0"/>
                <w:sz w:val="24"/>
              </w:rPr>
              <w:t>项   目</w:t>
            </w:r>
          </w:p>
        </w:tc>
        <w:tc>
          <w:tcPr>
            <w:tcW w:w="1559"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rPr>
                <w:rFonts w:ascii="宋体" w:hAnsi="宋体"/>
                <w:kern w:val="0"/>
                <w:sz w:val="24"/>
              </w:rPr>
            </w:pPr>
            <w:r>
              <w:rPr>
                <w:rFonts w:ascii="宋体" w:hAnsi="宋体"/>
                <w:kern w:val="0"/>
                <w:sz w:val="24"/>
              </w:rPr>
              <w:t>行次及关系</w:t>
            </w:r>
          </w:p>
        </w:tc>
        <w:tc>
          <w:tcPr>
            <w:tcW w:w="1338"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rPr>
                <w:kern w:val="0"/>
                <w:sz w:val="24"/>
              </w:rPr>
            </w:pPr>
            <w:r>
              <w:rPr>
                <w:kern w:val="0"/>
                <w:sz w:val="24"/>
              </w:rPr>
              <w:t>201</w:t>
            </w:r>
            <w:r>
              <w:rPr>
                <w:rFonts w:hint="eastAsia"/>
                <w:kern w:val="0"/>
                <w:sz w:val="24"/>
              </w:rPr>
              <w:t>8</w:t>
            </w:r>
            <w:r>
              <w:rPr>
                <w:rFonts w:hAnsi="宋体"/>
                <w:kern w:val="0"/>
                <w:sz w:val="24"/>
              </w:rPr>
              <w:t>年</w:t>
            </w:r>
          </w:p>
        </w:tc>
        <w:tc>
          <w:tcPr>
            <w:tcW w:w="1418"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rPr>
                <w:kern w:val="0"/>
                <w:sz w:val="24"/>
              </w:rPr>
            </w:pPr>
            <w:r>
              <w:rPr>
                <w:kern w:val="0"/>
                <w:sz w:val="24"/>
              </w:rPr>
              <w:t>201</w:t>
            </w:r>
            <w:r>
              <w:rPr>
                <w:rFonts w:hint="eastAsia"/>
                <w:kern w:val="0"/>
                <w:sz w:val="24"/>
              </w:rPr>
              <w:t>9</w:t>
            </w:r>
            <w:r>
              <w:rPr>
                <w:rFonts w:hAnsi="宋体"/>
                <w:kern w:val="0"/>
                <w:sz w:val="24"/>
              </w:rPr>
              <w:t>年</w:t>
            </w:r>
          </w:p>
        </w:tc>
        <w:tc>
          <w:tcPr>
            <w:tcW w:w="1315" w:type="dxa"/>
            <w:tcBorders>
              <w:top w:val="single" w:color="auto" w:sz="8" w:space="0"/>
              <w:left w:val="nil"/>
              <w:bottom w:val="single" w:color="auto" w:sz="8" w:space="0"/>
              <w:right w:val="single" w:color="auto" w:sz="8" w:space="0"/>
            </w:tcBorders>
            <w:noWrap w:val="0"/>
            <w:vAlign w:val="center"/>
          </w:tcPr>
          <w:p>
            <w:pPr>
              <w:widowControl/>
              <w:spacing w:line="570" w:lineRule="exact"/>
              <w:jc w:val="center"/>
              <w:rPr>
                <w:kern w:val="0"/>
                <w:sz w:val="24"/>
              </w:rPr>
            </w:pPr>
            <w:r>
              <w:rPr>
                <w:kern w:val="0"/>
                <w:sz w:val="24"/>
              </w:rPr>
              <w:t>20</w:t>
            </w:r>
            <w:r>
              <w:rPr>
                <w:rFonts w:hint="eastAsia"/>
                <w:kern w:val="0"/>
                <w:sz w:val="24"/>
              </w:rPr>
              <w:t>20</w:t>
            </w:r>
            <w:r>
              <w:rPr>
                <w:rFonts w:hAnsi="宋体"/>
                <w:kern w:val="0"/>
                <w:sz w:val="24"/>
              </w:rPr>
              <w:t>年</w:t>
            </w:r>
          </w:p>
        </w:tc>
        <w:tc>
          <w:tcPr>
            <w:tcW w:w="1136" w:type="dxa"/>
            <w:tcBorders>
              <w:top w:val="single" w:color="auto" w:sz="8" w:space="0"/>
              <w:left w:val="nil"/>
              <w:bottom w:val="single" w:color="auto" w:sz="8" w:space="0"/>
              <w:right w:val="single" w:color="auto" w:sz="8" w:space="0"/>
            </w:tcBorders>
            <w:noWrap w:val="0"/>
            <w:vAlign w:val="top"/>
          </w:tcPr>
          <w:p>
            <w:pPr>
              <w:widowControl/>
              <w:spacing w:line="570" w:lineRule="exact"/>
              <w:jc w:val="center"/>
              <w:rPr>
                <w:kern w:val="0"/>
                <w:sz w:val="24"/>
              </w:rPr>
            </w:pPr>
            <w:r>
              <w:rPr>
                <w:kern w:val="0"/>
                <w:sz w:val="24"/>
              </w:rPr>
              <w:t>合计</w:t>
            </w:r>
          </w:p>
        </w:tc>
      </w:tr>
      <w:tr>
        <w:tblPrEx>
          <w:tblCellMar>
            <w:top w:w="0" w:type="dxa"/>
            <w:left w:w="108" w:type="dxa"/>
            <w:bottom w:w="0" w:type="dxa"/>
            <w:right w:w="108" w:type="dxa"/>
          </w:tblCellMar>
        </w:tblPrEx>
        <w:trPr>
          <w:trHeight w:val="300" w:hRule="atLeast"/>
          <w:jc w:val="center"/>
        </w:trPr>
        <w:tc>
          <w:tcPr>
            <w:tcW w:w="2467" w:type="dxa"/>
            <w:tcBorders>
              <w:top w:val="nil"/>
              <w:left w:val="single" w:color="auto" w:sz="8" w:space="0"/>
              <w:bottom w:val="single" w:color="auto" w:sz="8" w:space="0"/>
              <w:right w:val="single" w:color="auto" w:sz="8" w:space="0"/>
            </w:tcBorders>
            <w:noWrap w:val="0"/>
            <w:vAlign w:val="center"/>
          </w:tcPr>
          <w:p>
            <w:pPr>
              <w:widowControl/>
              <w:spacing w:line="570" w:lineRule="exact"/>
              <w:rPr>
                <w:rFonts w:ascii="宋体" w:hAnsi="宋体"/>
                <w:kern w:val="0"/>
                <w:sz w:val="24"/>
              </w:rPr>
            </w:pPr>
            <w:r>
              <w:rPr>
                <w:rFonts w:ascii="宋体" w:hAnsi="宋体"/>
                <w:kern w:val="0"/>
                <w:sz w:val="24"/>
              </w:rPr>
              <w:t>一、直接营运成本</w:t>
            </w:r>
          </w:p>
        </w:tc>
        <w:tc>
          <w:tcPr>
            <w:tcW w:w="1559" w:type="dxa"/>
            <w:tcBorders>
              <w:top w:val="nil"/>
              <w:left w:val="nil"/>
              <w:bottom w:val="single" w:color="auto" w:sz="8" w:space="0"/>
              <w:right w:val="single" w:color="auto" w:sz="8" w:space="0"/>
            </w:tcBorders>
            <w:noWrap w:val="0"/>
            <w:vAlign w:val="center"/>
          </w:tcPr>
          <w:p>
            <w:pPr>
              <w:widowControl/>
              <w:spacing w:line="570" w:lineRule="exact"/>
              <w:rPr>
                <w:kern w:val="0"/>
                <w:sz w:val="24"/>
              </w:rPr>
            </w:pPr>
            <w:r>
              <w:rPr>
                <w:kern w:val="0"/>
                <w:sz w:val="24"/>
              </w:rPr>
              <w:t>1</w:t>
            </w:r>
          </w:p>
        </w:tc>
        <w:tc>
          <w:tcPr>
            <w:tcW w:w="1338"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r>
              <w:rPr>
                <w:kern w:val="0"/>
                <w:sz w:val="24"/>
              </w:rPr>
              <w:t>-</w:t>
            </w:r>
            <w:r>
              <w:rPr>
                <w:rFonts w:hint="eastAsia"/>
                <w:kern w:val="0"/>
                <w:sz w:val="24"/>
              </w:rPr>
              <w:t>69.76</w:t>
            </w:r>
          </w:p>
        </w:tc>
        <w:tc>
          <w:tcPr>
            <w:tcW w:w="1418"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r>
              <w:rPr>
                <w:kern w:val="0"/>
                <w:sz w:val="24"/>
              </w:rPr>
              <w:t>-1</w:t>
            </w:r>
            <w:r>
              <w:rPr>
                <w:rFonts w:hint="eastAsia"/>
                <w:kern w:val="0"/>
                <w:sz w:val="24"/>
              </w:rPr>
              <w:t>60.34</w:t>
            </w:r>
          </w:p>
        </w:tc>
        <w:tc>
          <w:tcPr>
            <w:tcW w:w="1315"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r>
              <w:rPr>
                <w:kern w:val="0"/>
                <w:sz w:val="24"/>
              </w:rPr>
              <w:t>-2</w:t>
            </w:r>
            <w:r>
              <w:rPr>
                <w:rFonts w:hint="eastAsia"/>
                <w:kern w:val="0"/>
                <w:sz w:val="24"/>
              </w:rPr>
              <w:t>40.42</w:t>
            </w:r>
          </w:p>
        </w:tc>
        <w:tc>
          <w:tcPr>
            <w:tcW w:w="1136" w:type="dxa"/>
            <w:tcBorders>
              <w:top w:val="nil"/>
              <w:left w:val="nil"/>
              <w:bottom w:val="single" w:color="auto" w:sz="8" w:space="0"/>
              <w:right w:val="single" w:color="auto" w:sz="8" w:space="0"/>
            </w:tcBorders>
            <w:noWrap w:val="0"/>
            <w:vAlign w:val="top"/>
          </w:tcPr>
          <w:p>
            <w:pPr>
              <w:widowControl/>
              <w:spacing w:line="570" w:lineRule="exact"/>
              <w:jc w:val="right"/>
              <w:rPr>
                <w:kern w:val="0"/>
                <w:sz w:val="24"/>
              </w:rPr>
            </w:pPr>
            <w:r>
              <w:rPr>
                <w:kern w:val="0"/>
                <w:sz w:val="24"/>
              </w:rPr>
              <w:t>-</w:t>
            </w:r>
            <w:r>
              <w:rPr>
                <w:rFonts w:hint="eastAsia"/>
                <w:kern w:val="0"/>
                <w:sz w:val="24"/>
              </w:rPr>
              <w:t>470.52</w:t>
            </w:r>
          </w:p>
        </w:tc>
      </w:tr>
      <w:tr>
        <w:tblPrEx>
          <w:tblCellMar>
            <w:top w:w="0" w:type="dxa"/>
            <w:left w:w="108" w:type="dxa"/>
            <w:bottom w:w="0" w:type="dxa"/>
            <w:right w:w="108" w:type="dxa"/>
          </w:tblCellMar>
        </w:tblPrEx>
        <w:trPr>
          <w:trHeight w:val="300" w:hRule="atLeast"/>
          <w:jc w:val="center"/>
        </w:trPr>
        <w:tc>
          <w:tcPr>
            <w:tcW w:w="2467" w:type="dxa"/>
            <w:tcBorders>
              <w:top w:val="nil"/>
              <w:left w:val="single" w:color="auto" w:sz="8" w:space="0"/>
              <w:bottom w:val="single" w:color="auto" w:sz="8" w:space="0"/>
              <w:right w:val="single" w:color="auto" w:sz="8" w:space="0"/>
            </w:tcBorders>
            <w:noWrap w:val="0"/>
            <w:vAlign w:val="center"/>
          </w:tcPr>
          <w:p>
            <w:pPr>
              <w:widowControl/>
              <w:spacing w:line="570" w:lineRule="exact"/>
              <w:rPr>
                <w:rFonts w:ascii="宋体" w:hAnsi="宋体"/>
                <w:kern w:val="0"/>
                <w:sz w:val="24"/>
              </w:rPr>
            </w:pPr>
            <w:r>
              <w:rPr>
                <w:rFonts w:ascii="宋体" w:hAnsi="宋体"/>
                <w:kern w:val="0"/>
                <w:sz w:val="24"/>
              </w:rPr>
              <w:t>二、期间费用</w:t>
            </w:r>
          </w:p>
        </w:tc>
        <w:tc>
          <w:tcPr>
            <w:tcW w:w="1559" w:type="dxa"/>
            <w:tcBorders>
              <w:top w:val="nil"/>
              <w:left w:val="nil"/>
              <w:bottom w:val="single" w:color="auto" w:sz="8" w:space="0"/>
              <w:right w:val="single" w:color="auto" w:sz="8" w:space="0"/>
            </w:tcBorders>
            <w:noWrap w:val="0"/>
            <w:vAlign w:val="center"/>
          </w:tcPr>
          <w:p>
            <w:pPr>
              <w:widowControl/>
              <w:spacing w:line="570" w:lineRule="exact"/>
              <w:rPr>
                <w:kern w:val="0"/>
                <w:sz w:val="24"/>
              </w:rPr>
            </w:pPr>
            <w:r>
              <w:rPr>
                <w:kern w:val="0"/>
                <w:sz w:val="24"/>
              </w:rPr>
              <w:t>2=3+4</w:t>
            </w:r>
          </w:p>
        </w:tc>
        <w:tc>
          <w:tcPr>
            <w:tcW w:w="1338"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r>
              <w:rPr>
                <w:rFonts w:hint="eastAsia"/>
                <w:kern w:val="0"/>
                <w:sz w:val="24"/>
              </w:rPr>
              <w:t>-867.45</w:t>
            </w:r>
          </w:p>
        </w:tc>
        <w:tc>
          <w:tcPr>
            <w:tcW w:w="1418"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r>
              <w:rPr>
                <w:rFonts w:hint="eastAsia"/>
                <w:kern w:val="0"/>
                <w:sz w:val="24"/>
              </w:rPr>
              <w:t>-794.9</w:t>
            </w:r>
          </w:p>
        </w:tc>
        <w:tc>
          <w:tcPr>
            <w:tcW w:w="1315"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r>
              <w:rPr>
                <w:rFonts w:hint="eastAsia"/>
                <w:kern w:val="0"/>
                <w:sz w:val="24"/>
              </w:rPr>
              <w:t>-750.31</w:t>
            </w:r>
          </w:p>
        </w:tc>
        <w:tc>
          <w:tcPr>
            <w:tcW w:w="1136"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r>
              <w:rPr>
                <w:rFonts w:hint="eastAsia"/>
                <w:kern w:val="0"/>
                <w:sz w:val="24"/>
              </w:rPr>
              <w:t>-2412.66</w:t>
            </w:r>
          </w:p>
        </w:tc>
      </w:tr>
      <w:tr>
        <w:tblPrEx>
          <w:tblCellMar>
            <w:top w:w="0" w:type="dxa"/>
            <w:left w:w="108" w:type="dxa"/>
            <w:bottom w:w="0" w:type="dxa"/>
            <w:right w:w="108" w:type="dxa"/>
          </w:tblCellMar>
        </w:tblPrEx>
        <w:trPr>
          <w:trHeight w:val="300" w:hRule="atLeast"/>
          <w:jc w:val="center"/>
        </w:trPr>
        <w:tc>
          <w:tcPr>
            <w:tcW w:w="2467" w:type="dxa"/>
            <w:tcBorders>
              <w:top w:val="nil"/>
              <w:left w:val="single" w:color="auto" w:sz="8" w:space="0"/>
              <w:bottom w:val="single" w:color="auto" w:sz="8" w:space="0"/>
              <w:right w:val="single" w:color="auto" w:sz="8" w:space="0"/>
            </w:tcBorders>
            <w:noWrap w:val="0"/>
            <w:vAlign w:val="center"/>
          </w:tcPr>
          <w:p>
            <w:pPr>
              <w:widowControl/>
              <w:spacing w:line="570" w:lineRule="exact"/>
              <w:rPr>
                <w:rFonts w:ascii="宋体" w:hAnsi="宋体"/>
                <w:kern w:val="0"/>
                <w:sz w:val="24"/>
              </w:rPr>
            </w:pPr>
            <w:r>
              <w:rPr>
                <w:rFonts w:ascii="宋体" w:hAnsi="宋体"/>
                <w:kern w:val="0"/>
                <w:sz w:val="24"/>
              </w:rPr>
              <w:t>1、管理费用</w:t>
            </w:r>
          </w:p>
        </w:tc>
        <w:tc>
          <w:tcPr>
            <w:tcW w:w="1559" w:type="dxa"/>
            <w:tcBorders>
              <w:top w:val="nil"/>
              <w:left w:val="nil"/>
              <w:bottom w:val="single" w:color="auto" w:sz="8" w:space="0"/>
              <w:right w:val="single" w:color="auto" w:sz="8" w:space="0"/>
            </w:tcBorders>
            <w:noWrap w:val="0"/>
            <w:vAlign w:val="center"/>
          </w:tcPr>
          <w:p>
            <w:pPr>
              <w:widowControl/>
              <w:spacing w:line="570" w:lineRule="exact"/>
              <w:rPr>
                <w:kern w:val="0"/>
                <w:sz w:val="24"/>
              </w:rPr>
            </w:pPr>
            <w:r>
              <w:rPr>
                <w:kern w:val="0"/>
                <w:sz w:val="24"/>
              </w:rPr>
              <w:t>3</w:t>
            </w:r>
          </w:p>
        </w:tc>
        <w:tc>
          <w:tcPr>
            <w:tcW w:w="1338"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rFonts w:hint="eastAsia"/>
                <w:kern w:val="0"/>
                <w:sz w:val="24"/>
              </w:rPr>
              <w:t xml:space="preserve">   -866.10 </w:t>
            </w:r>
          </w:p>
        </w:tc>
        <w:tc>
          <w:tcPr>
            <w:tcW w:w="1418"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rFonts w:hint="eastAsia"/>
                <w:kern w:val="0"/>
                <w:sz w:val="24"/>
              </w:rPr>
              <w:t xml:space="preserve">   -793.56 </w:t>
            </w:r>
          </w:p>
        </w:tc>
        <w:tc>
          <w:tcPr>
            <w:tcW w:w="1315"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rFonts w:hint="eastAsia"/>
                <w:kern w:val="0"/>
                <w:sz w:val="24"/>
              </w:rPr>
              <w:t xml:space="preserve">-749.06 </w:t>
            </w:r>
          </w:p>
        </w:tc>
        <w:tc>
          <w:tcPr>
            <w:tcW w:w="1136" w:type="dxa"/>
            <w:tcBorders>
              <w:top w:val="nil"/>
              <w:left w:val="nil"/>
              <w:bottom w:val="single" w:color="auto" w:sz="8" w:space="0"/>
              <w:right w:val="single" w:color="auto" w:sz="8" w:space="0"/>
            </w:tcBorders>
            <w:noWrap w:val="0"/>
            <w:vAlign w:val="top"/>
          </w:tcPr>
          <w:p>
            <w:pPr>
              <w:widowControl/>
              <w:spacing w:line="570" w:lineRule="exact"/>
              <w:jc w:val="right"/>
              <w:rPr>
                <w:kern w:val="0"/>
                <w:sz w:val="24"/>
              </w:rPr>
            </w:pPr>
            <w:r>
              <w:rPr>
                <w:rFonts w:hint="eastAsia"/>
                <w:kern w:val="0"/>
                <w:sz w:val="24"/>
              </w:rPr>
              <w:t>-2,408.72</w:t>
            </w:r>
          </w:p>
        </w:tc>
      </w:tr>
      <w:tr>
        <w:tblPrEx>
          <w:tblCellMar>
            <w:top w:w="0" w:type="dxa"/>
            <w:left w:w="108" w:type="dxa"/>
            <w:bottom w:w="0" w:type="dxa"/>
            <w:right w:w="108" w:type="dxa"/>
          </w:tblCellMar>
        </w:tblPrEx>
        <w:trPr>
          <w:trHeight w:val="300" w:hRule="atLeast"/>
          <w:jc w:val="center"/>
        </w:trPr>
        <w:tc>
          <w:tcPr>
            <w:tcW w:w="2467" w:type="dxa"/>
            <w:tcBorders>
              <w:top w:val="nil"/>
              <w:left w:val="single" w:color="auto" w:sz="8" w:space="0"/>
              <w:bottom w:val="single" w:color="auto" w:sz="8" w:space="0"/>
              <w:right w:val="single" w:color="auto" w:sz="8" w:space="0"/>
            </w:tcBorders>
            <w:noWrap w:val="0"/>
            <w:vAlign w:val="center"/>
          </w:tcPr>
          <w:p>
            <w:pPr>
              <w:widowControl/>
              <w:spacing w:line="570" w:lineRule="exact"/>
              <w:rPr>
                <w:rFonts w:ascii="宋体" w:hAnsi="宋体"/>
                <w:kern w:val="0"/>
                <w:sz w:val="24"/>
              </w:rPr>
            </w:pPr>
            <w:r>
              <w:rPr>
                <w:rFonts w:ascii="宋体" w:hAnsi="宋体"/>
                <w:kern w:val="0"/>
                <w:sz w:val="24"/>
              </w:rPr>
              <w:t>2、财务费用</w:t>
            </w:r>
          </w:p>
        </w:tc>
        <w:tc>
          <w:tcPr>
            <w:tcW w:w="1559" w:type="dxa"/>
            <w:tcBorders>
              <w:top w:val="nil"/>
              <w:left w:val="nil"/>
              <w:bottom w:val="single" w:color="auto" w:sz="8" w:space="0"/>
              <w:right w:val="single" w:color="auto" w:sz="8" w:space="0"/>
            </w:tcBorders>
            <w:noWrap w:val="0"/>
            <w:vAlign w:val="center"/>
          </w:tcPr>
          <w:p>
            <w:pPr>
              <w:widowControl/>
              <w:spacing w:line="570" w:lineRule="exact"/>
              <w:rPr>
                <w:kern w:val="0"/>
                <w:sz w:val="24"/>
              </w:rPr>
            </w:pPr>
            <w:r>
              <w:rPr>
                <w:kern w:val="0"/>
                <w:sz w:val="24"/>
              </w:rPr>
              <w:t>4</w:t>
            </w:r>
          </w:p>
        </w:tc>
        <w:tc>
          <w:tcPr>
            <w:tcW w:w="1338"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rFonts w:hint="eastAsia"/>
                <w:kern w:val="0"/>
                <w:sz w:val="24"/>
              </w:rPr>
              <w:t xml:space="preserve">  -1.35 </w:t>
            </w:r>
          </w:p>
        </w:tc>
        <w:tc>
          <w:tcPr>
            <w:tcW w:w="1418"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rFonts w:hint="eastAsia"/>
                <w:kern w:val="0"/>
                <w:sz w:val="24"/>
              </w:rPr>
              <w:t xml:space="preserve">     -1.34 </w:t>
            </w:r>
          </w:p>
        </w:tc>
        <w:tc>
          <w:tcPr>
            <w:tcW w:w="1315"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rFonts w:hint="eastAsia"/>
                <w:kern w:val="0"/>
                <w:sz w:val="24"/>
              </w:rPr>
              <w:t xml:space="preserve">-1.25 </w:t>
            </w:r>
          </w:p>
        </w:tc>
        <w:tc>
          <w:tcPr>
            <w:tcW w:w="1136" w:type="dxa"/>
            <w:tcBorders>
              <w:top w:val="nil"/>
              <w:left w:val="nil"/>
              <w:bottom w:val="single" w:color="auto" w:sz="8" w:space="0"/>
              <w:right w:val="single" w:color="auto" w:sz="8" w:space="0"/>
            </w:tcBorders>
            <w:noWrap w:val="0"/>
            <w:vAlign w:val="top"/>
          </w:tcPr>
          <w:p>
            <w:pPr>
              <w:widowControl/>
              <w:spacing w:line="570" w:lineRule="exact"/>
              <w:jc w:val="right"/>
              <w:rPr>
                <w:kern w:val="0"/>
                <w:sz w:val="24"/>
              </w:rPr>
            </w:pPr>
            <w:r>
              <w:rPr>
                <w:rFonts w:hint="eastAsia"/>
                <w:kern w:val="0"/>
                <w:sz w:val="24"/>
              </w:rPr>
              <w:t>-3.94</w:t>
            </w:r>
          </w:p>
        </w:tc>
      </w:tr>
      <w:tr>
        <w:tblPrEx>
          <w:tblCellMar>
            <w:top w:w="0" w:type="dxa"/>
            <w:left w:w="108" w:type="dxa"/>
            <w:bottom w:w="0" w:type="dxa"/>
            <w:right w:w="108" w:type="dxa"/>
          </w:tblCellMar>
        </w:tblPrEx>
        <w:trPr>
          <w:trHeight w:val="420" w:hRule="atLeast"/>
          <w:jc w:val="center"/>
        </w:trPr>
        <w:tc>
          <w:tcPr>
            <w:tcW w:w="2467" w:type="dxa"/>
            <w:tcBorders>
              <w:top w:val="nil"/>
              <w:left w:val="single" w:color="auto" w:sz="8" w:space="0"/>
              <w:bottom w:val="single" w:color="auto" w:sz="8" w:space="0"/>
              <w:right w:val="single" w:color="auto" w:sz="8" w:space="0"/>
            </w:tcBorders>
            <w:noWrap w:val="0"/>
            <w:vAlign w:val="center"/>
          </w:tcPr>
          <w:p>
            <w:pPr>
              <w:widowControl/>
              <w:spacing w:line="570" w:lineRule="exact"/>
              <w:rPr>
                <w:rFonts w:ascii="宋体" w:hAnsi="宋体"/>
                <w:kern w:val="0"/>
                <w:sz w:val="24"/>
              </w:rPr>
            </w:pPr>
            <w:r>
              <w:rPr>
                <w:rFonts w:ascii="宋体" w:hAnsi="宋体"/>
                <w:kern w:val="0"/>
                <w:sz w:val="24"/>
              </w:rPr>
              <w:t>三、营业税金及附加</w:t>
            </w:r>
          </w:p>
        </w:tc>
        <w:tc>
          <w:tcPr>
            <w:tcW w:w="1559" w:type="dxa"/>
            <w:tcBorders>
              <w:top w:val="nil"/>
              <w:left w:val="nil"/>
              <w:bottom w:val="single" w:color="auto" w:sz="8" w:space="0"/>
              <w:right w:val="single" w:color="auto" w:sz="8" w:space="0"/>
            </w:tcBorders>
            <w:noWrap w:val="0"/>
            <w:vAlign w:val="center"/>
          </w:tcPr>
          <w:p>
            <w:pPr>
              <w:widowControl/>
              <w:spacing w:line="570" w:lineRule="exact"/>
              <w:rPr>
                <w:kern w:val="0"/>
                <w:sz w:val="24"/>
              </w:rPr>
            </w:pPr>
            <w:r>
              <w:rPr>
                <w:kern w:val="0"/>
                <w:sz w:val="24"/>
              </w:rPr>
              <w:t>5</w:t>
            </w:r>
          </w:p>
        </w:tc>
        <w:tc>
          <w:tcPr>
            <w:tcW w:w="1338"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p>
        </w:tc>
        <w:tc>
          <w:tcPr>
            <w:tcW w:w="1418"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p>
        </w:tc>
        <w:tc>
          <w:tcPr>
            <w:tcW w:w="1315" w:type="dxa"/>
            <w:tcBorders>
              <w:top w:val="nil"/>
              <w:left w:val="nil"/>
              <w:bottom w:val="single" w:color="auto" w:sz="8" w:space="0"/>
              <w:right w:val="single" w:color="auto" w:sz="8" w:space="0"/>
            </w:tcBorders>
            <w:noWrap w:val="0"/>
            <w:vAlign w:val="center"/>
          </w:tcPr>
          <w:p>
            <w:pPr>
              <w:widowControl/>
              <w:spacing w:line="570" w:lineRule="exact"/>
              <w:jc w:val="right"/>
              <w:rPr>
                <w:kern w:val="0"/>
                <w:sz w:val="24"/>
              </w:rPr>
            </w:pPr>
          </w:p>
        </w:tc>
        <w:tc>
          <w:tcPr>
            <w:tcW w:w="1136" w:type="dxa"/>
            <w:tcBorders>
              <w:top w:val="nil"/>
              <w:left w:val="nil"/>
              <w:bottom w:val="single" w:color="auto" w:sz="8" w:space="0"/>
              <w:right w:val="single" w:color="auto" w:sz="8" w:space="0"/>
            </w:tcBorders>
            <w:noWrap w:val="0"/>
            <w:vAlign w:val="top"/>
          </w:tcPr>
          <w:p>
            <w:pPr>
              <w:widowControl/>
              <w:spacing w:line="570" w:lineRule="exact"/>
              <w:jc w:val="right"/>
              <w:rPr>
                <w:kern w:val="0"/>
                <w:sz w:val="24"/>
              </w:rPr>
            </w:pPr>
          </w:p>
        </w:tc>
      </w:tr>
      <w:tr>
        <w:tblPrEx>
          <w:tblCellMar>
            <w:top w:w="0" w:type="dxa"/>
            <w:left w:w="108" w:type="dxa"/>
            <w:bottom w:w="0" w:type="dxa"/>
            <w:right w:w="108" w:type="dxa"/>
          </w:tblCellMar>
        </w:tblPrEx>
        <w:trPr>
          <w:trHeight w:val="420" w:hRule="atLeast"/>
          <w:jc w:val="center"/>
        </w:trPr>
        <w:tc>
          <w:tcPr>
            <w:tcW w:w="2467" w:type="dxa"/>
            <w:tcBorders>
              <w:top w:val="nil"/>
              <w:left w:val="single" w:color="auto" w:sz="8" w:space="0"/>
              <w:bottom w:val="single" w:color="auto" w:sz="8" w:space="0"/>
              <w:right w:val="single" w:color="auto" w:sz="8" w:space="0"/>
            </w:tcBorders>
            <w:noWrap w:val="0"/>
            <w:vAlign w:val="center"/>
          </w:tcPr>
          <w:p>
            <w:pPr>
              <w:widowControl/>
              <w:spacing w:line="570" w:lineRule="exact"/>
              <w:rPr>
                <w:rFonts w:ascii="宋体" w:hAnsi="宋体"/>
                <w:kern w:val="0"/>
                <w:sz w:val="24"/>
              </w:rPr>
            </w:pPr>
            <w:r>
              <w:rPr>
                <w:rFonts w:ascii="宋体" w:hAnsi="宋体"/>
                <w:kern w:val="0"/>
                <w:sz w:val="24"/>
              </w:rPr>
              <w:t>四、核减数合计</w:t>
            </w:r>
          </w:p>
        </w:tc>
        <w:tc>
          <w:tcPr>
            <w:tcW w:w="1559" w:type="dxa"/>
            <w:tcBorders>
              <w:top w:val="nil"/>
              <w:left w:val="nil"/>
              <w:bottom w:val="single" w:color="auto" w:sz="8" w:space="0"/>
              <w:right w:val="single" w:color="auto" w:sz="8" w:space="0"/>
            </w:tcBorders>
            <w:noWrap w:val="0"/>
            <w:vAlign w:val="center"/>
          </w:tcPr>
          <w:p>
            <w:pPr>
              <w:widowControl/>
              <w:spacing w:line="570" w:lineRule="exact"/>
              <w:rPr>
                <w:kern w:val="0"/>
                <w:sz w:val="24"/>
              </w:rPr>
            </w:pPr>
            <w:r>
              <w:rPr>
                <w:kern w:val="0"/>
                <w:sz w:val="24"/>
              </w:rPr>
              <w:t>6=1+2+5</w:t>
            </w:r>
          </w:p>
        </w:tc>
        <w:tc>
          <w:tcPr>
            <w:tcW w:w="1338"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kern w:val="0"/>
                <w:sz w:val="24"/>
              </w:rPr>
              <w:t xml:space="preserve">-937.21 </w:t>
            </w:r>
          </w:p>
        </w:tc>
        <w:tc>
          <w:tcPr>
            <w:tcW w:w="1418"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kern w:val="0"/>
                <w:sz w:val="24"/>
              </w:rPr>
              <w:t xml:space="preserve">-955.24 </w:t>
            </w:r>
          </w:p>
        </w:tc>
        <w:tc>
          <w:tcPr>
            <w:tcW w:w="1315"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kern w:val="0"/>
                <w:sz w:val="24"/>
              </w:rPr>
              <w:t xml:space="preserve">-990.73 </w:t>
            </w:r>
          </w:p>
        </w:tc>
        <w:tc>
          <w:tcPr>
            <w:tcW w:w="1136" w:type="dxa"/>
            <w:tcBorders>
              <w:top w:val="nil"/>
              <w:left w:val="nil"/>
              <w:bottom w:val="single" w:color="auto" w:sz="8" w:space="0"/>
              <w:right w:val="single" w:color="auto" w:sz="8" w:space="0"/>
            </w:tcBorders>
            <w:noWrap w:val="0"/>
            <w:vAlign w:val="bottom"/>
          </w:tcPr>
          <w:p>
            <w:pPr>
              <w:widowControl/>
              <w:spacing w:line="570" w:lineRule="exact"/>
              <w:jc w:val="right"/>
              <w:rPr>
                <w:kern w:val="0"/>
                <w:sz w:val="24"/>
              </w:rPr>
            </w:pPr>
            <w:r>
              <w:rPr>
                <w:kern w:val="0"/>
                <w:sz w:val="24"/>
              </w:rPr>
              <w:t xml:space="preserve">-2,883.18 </w:t>
            </w:r>
          </w:p>
        </w:tc>
      </w:tr>
    </w:tbl>
    <w:p>
      <w:pPr>
        <w:spacing w:line="600" w:lineRule="exact"/>
        <w:ind w:firstLine="640" w:firstLineChars="200"/>
        <w:rPr>
          <w:rFonts w:ascii="黑体" w:hAnsi="黑体" w:eastAsia="黑体"/>
        </w:rPr>
      </w:pPr>
      <w:r>
        <w:rPr>
          <w:rFonts w:hint="eastAsia" w:ascii="黑体" w:hAnsi="黑体" w:eastAsia="黑体"/>
        </w:rPr>
        <w:t>八、成本监审结论</w:t>
      </w:r>
    </w:p>
    <w:p>
      <w:pPr>
        <w:spacing w:line="600" w:lineRule="exact"/>
        <w:ind w:firstLine="640" w:firstLineChars="200"/>
        <w:rPr>
          <w:rFonts w:ascii="方正仿宋_GBK" w:hAnsi="宋体"/>
        </w:rPr>
      </w:pPr>
      <w:r>
        <w:rPr>
          <w:rFonts w:hint="eastAsia" w:ascii="方正仿宋_GBK" w:hAnsi="宋体"/>
        </w:rPr>
        <w:t>经审核，九分公司经营公交</w:t>
      </w:r>
      <w:r>
        <w:rPr>
          <w:rFonts w:hint="eastAsia" w:ascii="方正仿宋_GBK" w:hAnsi="宋体"/>
          <w:lang w:eastAsia="zh-CN"/>
        </w:rPr>
        <w:t>车</w:t>
      </w:r>
      <w:r>
        <w:rPr>
          <w:rFonts w:hint="eastAsia" w:ascii="方正仿宋_GBK" w:hAnsi="宋体"/>
        </w:rPr>
        <w:t>成本核定如下：</w:t>
      </w:r>
    </w:p>
    <w:p>
      <w:pPr>
        <w:spacing w:line="600" w:lineRule="exact"/>
        <w:ind w:firstLine="640" w:firstLineChars="200"/>
      </w:pPr>
      <w:r>
        <w:t>201</w:t>
      </w:r>
      <w:r>
        <w:rPr>
          <w:rFonts w:hint="eastAsia"/>
        </w:rPr>
        <w:t>8－</w:t>
      </w:r>
      <w:r>
        <w:t>20</w:t>
      </w:r>
      <w:r>
        <w:rPr>
          <w:rFonts w:hint="eastAsia"/>
        </w:rPr>
        <w:t>20</w:t>
      </w:r>
      <w:r>
        <w:t>年实际公交</w:t>
      </w:r>
      <w:r>
        <w:rPr>
          <w:rFonts w:hint="eastAsia"/>
          <w:lang w:eastAsia="zh-CN"/>
        </w:rPr>
        <w:t>车</w:t>
      </w:r>
      <w:r>
        <w:t>单位成本分别为：</w:t>
      </w:r>
      <w:r>
        <w:rPr>
          <w:rFonts w:hint="eastAsia"/>
        </w:rPr>
        <w:t>2.0</w:t>
      </w:r>
      <w:r>
        <w:rPr>
          <w:rFonts w:hint="eastAsia"/>
          <w:lang w:val="en-US" w:eastAsia="zh-CN"/>
        </w:rPr>
        <w:t>6</w:t>
      </w:r>
      <w:r>
        <w:t>元/人.次、1.</w:t>
      </w:r>
      <w:r>
        <w:rPr>
          <w:rFonts w:hint="eastAsia"/>
        </w:rPr>
        <w:t>75</w:t>
      </w:r>
      <w:r>
        <w:t>元/人.次、</w:t>
      </w:r>
      <w:r>
        <w:rPr>
          <w:rFonts w:hint="eastAsia"/>
        </w:rPr>
        <w:t>2.57</w:t>
      </w:r>
      <w:r>
        <w:t>元/人.次，三年平均单位成本</w:t>
      </w:r>
      <w:r>
        <w:rPr>
          <w:rFonts w:hint="eastAsia"/>
          <w:lang w:eastAsia="zh-CN"/>
        </w:rPr>
        <w:t>为</w:t>
      </w:r>
      <w:r>
        <w:rPr>
          <w:rFonts w:hint="eastAsia"/>
        </w:rPr>
        <w:t>2.05</w:t>
      </w:r>
      <w:r>
        <w:t>元/人.次。</w:t>
      </w:r>
    </w:p>
    <w:p>
      <w:pPr>
        <w:spacing w:line="600" w:lineRule="exact"/>
        <w:ind w:firstLine="640" w:firstLineChars="200"/>
      </w:pPr>
      <w:r>
        <w:rPr>
          <w:rFonts w:eastAsia="方正黑体_GBK"/>
        </w:rPr>
        <w:t>九、其他需要说明的情况</w:t>
      </w:r>
    </w:p>
    <w:p>
      <w:pPr>
        <w:spacing w:line="600" w:lineRule="exact"/>
        <w:ind w:firstLine="640" w:firstLineChars="200"/>
      </w:pPr>
      <w:r>
        <w:t>参与本次成本监审的所有工作人员均与被监审单位无利害关系</w:t>
      </w:r>
      <w:r>
        <w:rPr>
          <w:rFonts w:hint="eastAsia"/>
        </w:rPr>
        <w:t>。</w:t>
      </w:r>
    </w:p>
    <w:p>
      <w:pPr>
        <w:tabs>
          <w:tab w:val="left" w:pos="3261"/>
        </w:tabs>
        <w:spacing w:line="600" w:lineRule="exact"/>
        <w:ind w:firstLine="640" w:firstLineChars="200"/>
      </w:pPr>
      <w:r>
        <w:rPr>
          <w:bCs/>
        </w:rPr>
        <w:t>附件：</w:t>
      </w:r>
      <w:r>
        <w:t>201</w:t>
      </w:r>
      <w:r>
        <w:rPr>
          <w:rFonts w:hint="eastAsia"/>
        </w:rPr>
        <w:t>8－</w:t>
      </w:r>
      <w:r>
        <w:t>20</w:t>
      </w:r>
      <w:r>
        <w:rPr>
          <w:rFonts w:hint="eastAsia"/>
        </w:rPr>
        <w:t>20</w:t>
      </w:r>
      <w:r>
        <w:rPr>
          <w:bCs/>
          <w:kern w:val="0"/>
        </w:rPr>
        <w:t>年</w:t>
      </w:r>
      <w:r>
        <w:rPr>
          <w:rFonts w:hint="eastAsia"/>
          <w:bCs/>
          <w:kern w:val="0"/>
        </w:rPr>
        <w:t>公交客运</w:t>
      </w:r>
      <w:r>
        <w:rPr>
          <w:bCs/>
          <w:kern w:val="0"/>
        </w:rPr>
        <w:t>定价成本核定表</w:t>
      </w:r>
      <w:r>
        <w:t xml:space="preserve"> </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ind w:firstLine="2880" w:firstLineChars="900"/>
      </w:pPr>
      <w:r>
        <w:rPr>
          <w:rFonts w:hint="eastAsia"/>
        </w:rPr>
        <w:t>重庆市</w:t>
      </w:r>
      <w:r>
        <w:t>万盛经开区发展改革</w:t>
      </w:r>
      <w:r>
        <w:rPr>
          <w:rFonts w:hint="eastAsia"/>
        </w:rPr>
        <w:t>局</w:t>
      </w:r>
    </w:p>
    <w:p>
      <w:pPr>
        <w:spacing w:line="600" w:lineRule="exact"/>
        <w:ind w:left="1194" w:leftChars="373" w:firstLine="2576" w:firstLineChars="805"/>
      </w:pPr>
      <w:r>
        <w:rPr>
          <w:rFonts w:hint="eastAsia"/>
        </w:rPr>
        <w:t>2021年12月20日</w:t>
      </w:r>
    </w:p>
    <w:p>
      <w:pPr>
        <w:widowControl/>
        <w:rPr>
          <w:rFonts w:ascii="方正黑体_GBK" w:hAnsi="宋体" w:eastAsia="方正黑体_GBK" w:cs="宋体"/>
          <w:bCs/>
          <w:kern w:val="0"/>
        </w:rPr>
      </w:pPr>
    </w:p>
    <w:p>
      <w:pPr>
        <w:widowControl/>
        <w:rPr>
          <w:rFonts w:ascii="方正黑体_GBK" w:hAnsi="宋体" w:eastAsia="方正黑体_GBK" w:cs="宋体"/>
          <w:bCs/>
          <w:kern w:val="0"/>
        </w:rPr>
      </w:pPr>
      <w:r>
        <w:rPr>
          <w:rFonts w:hint="eastAsia" w:ascii="方正黑体_GBK" w:hAnsi="宋体" w:eastAsia="方正黑体_GBK" w:cs="宋体"/>
          <w:bCs/>
          <w:kern w:val="0"/>
        </w:rPr>
        <w:br w:type="page"/>
      </w:r>
      <w:r>
        <w:rPr>
          <w:rFonts w:hint="eastAsia" w:ascii="方正黑体_GBK" w:hAnsi="宋体" w:eastAsia="方正黑体_GBK" w:cs="宋体"/>
          <w:bCs/>
          <w:kern w:val="0"/>
        </w:rPr>
        <w:t xml:space="preserve">附件  </w:t>
      </w:r>
    </w:p>
    <w:p>
      <w:pPr>
        <w:spacing w:line="570" w:lineRule="exact"/>
        <w:jc w:val="center"/>
        <w:rPr>
          <w:rFonts w:ascii="方正小标宋_GBK" w:hAnsi="宋体" w:eastAsia="方正小标宋_GBK" w:cs="宋体"/>
          <w:bCs/>
          <w:kern w:val="0"/>
        </w:rPr>
      </w:pPr>
      <w:r>
        <w:rPr>
          <w:rFonts w:hint="eastAsia" w:ascii="方正小标宋_GBK" w:hAnsi="宋体" w:eastAsia="方正小标宋_GBK" w:cs="宋体"/>
          <w:bCs/>
          <w:kern w:val="0"/>
        </w:rPr>
        <w:t>2018-2020年公交客运定价成本核定表</w:t>
      </w:r>
    </w:p>
    <w:tbl>
      <w:tblPr>
        <w:tblStyle w:val="5"/>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1346"/>
        <w:gridCol w:w="1559"/>
        <w:gridCol w:w="1418"/>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122" w:type="dxa"/>
            <w:noWrap/>
            <w:vAlign w:val="center"/>
          </w:tcPr>
          <w:p>
            <w:pPr>
              <w:widowControl/>
              <w:spacing w:line="360" w:lineRule="exact"/>
              <w:jc w:val="center"/>
              <w:rPr>
                <w:b/>
                <w:bCs/>
                <w:kern w:val="0"/>
                <w:sz w:val="25"/>
                <w:szCs w:val="25"/>
              </w:rPr>
            </w:pPr>
            <w:r>
              <w:rPr>
                <w:rFonts w:hAnsi="宋体"/>
                <w:b/>
                <w:bCs/>
                <w:kern w:val="0"/>
                <w:sz w:val="25"/>
                <w:szCs w:val="25"/>
              </w:rPr>
              <w:t>项</w:t>
            </w:r>
            <w:r>
              <w:rPr>
                <w:b/>
                <w:bCs/>
                <w:kern w:val="0"/>
                <w:sz w:val="25"/>
                <w:szCs w:val="25"/>
              </w:rPr>
              <w:t xml:space="preserve">             </w:t>
            </w:r>
            <w:r>
              <w:rPr>
                <w:rFonts w:hAnsi="宋体"/>
                <w:b/>
                <w:bCs/>
                <w:kern w:val="0"/>
                <w:sz w:val="25"/>
                <w:szCs w:val="25"/>
              </w:rPr>
              <w:t>目</w:t>
            </w:r>
          </w:p>
        </w:tc>
        <w:tc>
          <w:tcPr>
            <w:tcW w:w="1346" w:type="dxa"/>
            <w:noWrap/>
            <w:vAlign w:val="center"/>
          </w:tcPr>
          <w:p>
            <w:pPr>
              <w:widowControl/>
              <w:spacing w:line="240" w:lineRule="exact"/>
              <w:jc w:val="center"/>
              <w:rPr>
                <w:kern w:val="0"/>
                <w:sz w:val="25"/>
                <w:szCs w:val="25"/>
              </w:rPr>
            </w:pPr>
            <w:r>
              <w:rPr>
                <w:kern w:val="0"/>
                <w:sz w:val="25"/>
                <w:szCs w:val="25"/>
              </w:rPr>
              <w:t xml:space="preserve"> 201</w:t>
            </w:r>
            <w:r>
              <w:rPr>
                <w:rFonts w:hint="eastAsia"/>
                <w:kern w:val="0"/>
                <w:sz w:val="25"/>
                <w:szCs w:val="25"/>
              </w:rPr>
              <w:t>8</w:t>
            </w:r>
            <w:r>
              <w:rPr>
                <w:rFonts w:hAnsi="宋体"/>
                <w:kern w:val="0"/>
                <w:sz w:val="25"/>
                <w:szCs w:val="25"/>
              </w:rPr>
              <w:t>年</w:t>
            </w:r>
          </w:p>
          <w:p>
            <w:pPr>
              <w:widowControl/>
              <w:spacing w:line="240" w:lineRule="exact"/>
              <w:jc w:val="center"/>
              <w:rPr>
                <w:kern w:val="0"/>
                <w:sz w:val="25"/>
                <w:szCs w:val="25"/>
              </w:rPr>
            </w:pPr>
            <w:r>
              <w:rPr>
                <w:rFonts w:hAnsi="宋体"/>
                <w:kern w:val="0"/>
                <w:sz w:val="25"/>
                <w:szCs w:val="25"/>
              </w:rPr>
              <w:t>核定数</w:t>
            </w:r>
            <w:r>
              <w:rPr>
                <w:kern w:val="0"/>
                <w:sz w:val="25"/>
                <w:szCs w:val="25"/>
              </w:rPr>
              <w:t xml:space="preserve"> </w:t>
            </w:r>
          </w:p>
        </w:tc>
        <w:tc>
          <w:tcPr>
            <w:tcW w:w="1559" w:type="dxa"/>
            <w:noWrap/>
            <w:vAlign w:val="center"/>
          </w:tcPr>
          <w:p>
            <w:pPr>
              <w:widowControl/>
              <w:spacing w:line="240" w:lineRule="exact"/>
              <w:jc w:val="center"/>
              <w:rPr>
                <w:kern w:val="0"/>
                <w:sz w:val="25"/>
                <w:szCs w:val="25"/>
              </w:rPr>
            </w:pPr>
            <w:r>
              <w:rPr>
                <w:kern w:val="0"/>
                <w:sz w:val="25"/>
                <w:szCs w:val="25"/>
              </w:rPr>
              <w:t xml:space="preserve"> 201</w:t>
            </w:r>
            <w:r>
              <w:rPr>
                <w:rFonts w:hint="eastAsia"/>
                <w:kern w:val="0"/>
                <w:sz w:val="25"/>
                <w:szCs w:val="25"/>
              </w:rPr>
              <w:t>9</w:t>
            </w:r>
            <w:r>
              <w:rPr>
                <w:rFonts w:hAnsi="宋体"/>
                <w:kern w:val="0"/>
                <w:sz w:val="25"/>
                <w:szCs w:val="25"/>
              </w:rPr>
              <w:t>年核定数</w:t>
            </w:r>
            <w:r>
              <w:rPr>
                <w:kern w:val="0"/>
                <w:sz w:val="25"/>
                <w:szCs w:val="25"/>
              </w:rPr>
              <w:t xml:space="preserve"> </w:t>
            </w:r>
          </w:p>
        </w:tc>
        <w:tc>
          <w:tcPr>
            <w:tcW w:w="1418" w:type="dxa"/>
            <w:noWrap/>
            <w:vAlign w:val="center"/>
          </w:tcPr>
          <w:p>
            <w:pPr>
              <w:widowControl/>
              <w:spacing w:line="240" w:lineRule="exact"/>
              <w:jc w:val="center"/>
              <w:rPr>
                <w:kern w:val="0"/>
                <w:sz w:val="25"/>
                <w:szCs w:val="25"/>
              </w:rPr>
            </w:pPr>
            <w:r>
              <w:rPr>
                <w:kern w:val="0"/>
                <w:sz w:val="25"/>
                <w:szCs w:val="25"/>
              </w:rPr>
              <w:t xml:space="preserve"> 20</w:t>
            </w:r>
            <w:r>
              <w:rPr>
                <w:rFonts w:hint="eastAsia"/>
                <w:kern w:val="0"/>
                <w:sz w:val="25"/>
                <w:szCs w:val="25"/>
              </w:rPr>
              <w:t>20</w:t>
            </w:r>
            <w:r>
              <w:rPr>
                <w:rFonts w:hAnsi="宋体"/>
                <w:kern w:val="0"/>
                <w:sz w:val="25"/>
                <w:szCs w:val="25"/>
              </w:rPr>
              <w:t>年</w:t>
            </w:r>
          </w:p>
          <w:p>
            <w:pPr>
              <w:widowControl/>
              <w:spacing w:line="240" w:lineRule="exact"/>
              <w:jc w:val="center"/>
              <w:rPr>
                <w:kern w:val="0"/>
                <w:sz w:val="25"/>
                <w:szCs w:val="25"/>
              </w:rPr>
            </w:pPr>
            <w:r>
              <w:rPr>
                <w:rFonts w:hAnsi="宋体"/>
                <w:kern w:val="0"/>
                <w:sz w:val="25"/>
                <w:szCs w:val="25"/>
              </w:rPr>
              <w:t>核定数</w:t>
            </w:r>
            <w:r>
              <w:rPr>
                <w:kern w:val="0"/>
                <w:sz w:val="25"/>
                <w:szCs w:val="25"/>
              </w:rPr>
              <w:t xml:space="preserve"> </w:t>
            </w:r>
          </w:p>
        </w:tc>
        <w:tc>
          <w:tcPr>
            <w:tcW w:w="1441" w:type="dxa"/>
            <w:noWrap/>
            <w:vAlign w:val="center"/>
          </w:tcPr>
          <w:p>
            <w:pPr>
              <w:widowControl/>
              <w:spacing w:line="240" w:lineRule="exact"/>
              <w:jc w:val="center"/>
              <w:rPr>
                <w:kern w:val="0"/>
                <w:sz w:val="25"/>
                <w:szCs w:val="25"/>
              </w:rPr>
            </w:pPr>
            <w:r>
              <w:rPr>
                <w:rFonts w:hAnsi="宋体"/>
                <w:kern w:val="0"/>
                <w:sz w:val="25"/>
                <w:szCs w:val="25"/>
              </w:rPr>
              <w:t>三年核定</w:t>
            </w:r>
          </w:p>
          <w:p>
            <w:pPr>
              <w:widowControl/>
              <w:spacing w:line="240" w:lineRule="exact"/>
              <w:jc w:val="center"/>
              <w:rPr>
                <w:b/>
                <w:bCs/>
                <w:kern w:val="0"/>
                <w:sz w:val="25"/>
                <w:szCs w:val="25"/>
              </w:rPr>
            </w:pPr>
            <w:r>
              <w:rPr>
                <w:rFonts w:hAnsi="宋体"/>
                <w:kern w:val="0"/>
                <w:sz w:val="25"/>
                <w:szCs w:val="25"/>
              </w:rPr>
              <w:t>平均数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标准营运车辆数（辆）</w:t>
            </w:r>
          </w:p>
        </w:tc>
        <w:tc>
          <w:tcPr>
            <w:tcW w:w="1346" w:type="dxa"/>
            <w:noWrap/>
            <w:vAlign w:val="center"/>
          </w:tcPr>
          <w:p>
            <w:pPr>
              <w:widowControl/>
              <w:spacing w:line="360" w:lineRule="exact"/>
              <w:jc w:val="right"/>
              <w:rPr>
                <w:kern w:val="0"/>
                <w:sz w:val="25"/>
                <w:szCs w:val="25"/>
              </w:rPr>
            </w:pPr>
            <w:r>
              <w:rPr>
                <w:kern w:val="0"/>
                <w:sz w:val="25"/>
                <w:szCs w:val="25"/>
              </w:rPr>
              <w:t>96.58</w:t>
            </w:r>
          </w:p>
        </w:tc>
        <w:tc>
          <w:tcPr>
            <w:tcW w:w="1559" w:type="dxa"/>
            <w:noWrap/>
            <w:vAlign w:val="center"/>
          </w:tcPr>
          <w:p>
            <w:pPr>
              <w:widowControl/>
              <w:spacing w:line="360" w:lineRule="exact"/>
              <w:jc w:val="right"/>
              <w:rPr>
                <w:kern w:val="0"/>
                <w:sz w:val="25"/>
                <w:szCs w:val="25"/>
              </w:rPr>
            </w:pPr>
            <w:r>
              <w:rPr>
                <w:kern w:val="0"/>
                <w:sz w:val="25"/>
                <w:szCs w:val="25"/>
              </w:rPr>
              <w:t>107.00</w:t>
            </w:r>
          </w:p>
        </w:tc>
        <w:tc>
          <w:tcPr>
            <w:tcW w:w="1418" w:type="dxa"/>
            <w:noWrap/>
            <w:vAlign w:val="center"/>
          </w:tcPr>
          <w:p>
            <w:pPr>
              <w:widowControl/>
              <w:spacing w:line="360" w:lineRule="exact"/>
              <w:jc w:val="right"/>
              <w:rPr>
                <w:kern w:val="0"/>
                <w:sz w:val="25"/>
                <w:szCs w:val="25"/>
              </w:rPr>
            </w:pPr>
            <w:r>
              <w:rPr>
                <w:kern w:val="0"/>
                <w:sz w:val="25"/>
                <w:szCs w:val="25"/>
              </w:rPr>
              <w:t>109.00</w:t>
            </w:r>
          </w:p>
        </w:tc>
        <w:tc>
          <w:tcPr>
            <w:tcW w:w="1441" w:type="dxa"/>
            <w:noWrap/>
            <w:vAlign w:val="center"/>
          </w:tcPr>
          <w:p>
            <w:pPr>
              <w:widowControl/>
              <w:spacing w:line="360" w:lineRule="exact"/>
              <w:jc w:val="right"/>
              <w:rPr>
                <w:kern w:val="0"/>
                <w:sz w:val="25"/>
                <w:szCs w:val="25"/>
              </w:rPr>
            </w:pPr>
            <w:r>
              <w:rPr>
                <w:kern w:val="0"/>
                <w:sz w:val="25"/>
                <w:szCs w:val="25"/>
              </w:rPr>
              <w:t>104.19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标准营运里程（万公里）</w:t>
            </w:r>
          </w:p>
        </w:tc>
        <w:tc>
          <w:tcPr>
            <w:tcW w:w="1346" w:type="dxa"/>
            <w:noWrap/>
            <w:vAlign w:val="center"/>
          </w:tcPr>
          <w:p>
            <w:pPr>
              <w:widowControl/>
              <w:spacing w:line="360" w:lineRule="exact"/>
              <w:jc w:val="right"/>
              <w:rPr>
                <w:kern w:val="0"/>
                <w:sz w:val="25"/>
                <w:szCs w:val="25"/>
              </w:rPr>
            </w:pPr>
            <w:r>
              <w:rPr>
                <w:kern w:val="0"/>
                <w:sz w:val="25"/>
                <w:szCs w:val="25"/>
              </w:rPr>
              <w:t>619.22</w:t>
            </w:r>
          </w:p>
        </w:tc>
        <w:tc>
          <w:tcPr>
            <w:tcW w:w="1559" w:type="dxa"/>
            <w:noWrap/>
            <w:vAlign w:val="center"/>
          </w:tcPr>
          <w:p>
            <w:pPr>
              <w:widowControl/>
              <w:spacing w:line="360" w:lineRule="exact"/>
              <w:jc w:val="right"/>
              <w:rPr>
                <w:kern w:val="0"/>
                <w:sz w:val="25"/>
                <w:szCs w:val="25"/>
              </w:rPr>
            </w:pPr>
            <w:r>
              <w:rPr>
                <w:kern w:val="0"/>
                <w:sz w:val="25"/>
                <w:szCs w:val="25"/>
              </w:rPr>
              <w:t>656.54</w:t>
            </w:r>
          </w:p>
        </w:tc>
        <w:tc>
          <w:tcPr>
            <w:tcW w:w="1418" w:type="dxa"/>
            <w:noWrap/>
            <w:vAlign w:val="center"/>
          </w:tcPr>
          <w:p>
            <w:pPr>
              <w:widowControl/>
              <w:spacing w:line="360" w:lineRule="exact"/>
              <w:jc w:val="right"/>
              <w:rPr>
                <w:kern w:val="0"/>
                <w:sz w:val="25"/>
                <w:szCs w:val="25"/>
              </w:rPr>
            </w:pPr>
            <w:r>
              <w:rPr>
                <w:kern w:val="0"/>
                <w:sz w:val="25"/>
                <w:szCs w:val="25"/>
              </w:rPr>
              <w:t>457.77</w:t>
            </w:r>
          </w:p>
        </w:tc>
        <w:tc>
          <w:tcPr>
            <w:tcW w:w="1441" w:type="dxa"/>
            <w:noWrap/>
            <w:vAlign w:val="center"/>
          </w:tcPr>
          <w:p>
            <w:pPr>
              <w:widowControl/>
              <w:spacing w:line="360" w:lineRule="exact"/>
              <w:jc w:val="right"/>
              <w:rPr>
                <w:kern w:val="0"/>
                <w:sz w:val="25"/>
                <w:szCs w:val="25"/>
              </w:rPr>
            </w:pPr>
            <w:r>
              <w:rPr>
                <w:kern w:val="0"/>
                <w:sz w:val="25"/>
                <w:szCs w:val="25"/>
              </w:rPr>
              <w:t>577.84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总客运量（万人次）</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2,069.25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2,279.86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1,314.15 </w:t>
            </w:r>
          </w:p>
        </w:tc>
        <w:tc>
          <w:tcPr>
            <w:tcW w:w="1441" w:type="dxa"/>
            <w:noWrap/>
            <w:vAlign w:val="center"/>
          </w:tcPr>
          <w:p>
            <w:pPr>
              <w:widowControl/>
              <w:spacing w:line="360" w:lineRule="exact"/>
              <w:jc w:val="right"/>
              <w:rPr>
                <w:rFonts w:hint="eastAsia" w:eastAsia="方正仿宋_GBK"/>
                <w:kern w:val="0"/>
                <w:sz w:val="25"/>
                <w:szCs w:val="25"/>
                <w:lang w:eastAsia="zh-CN"/>
              </w:rPr>
            </w:pPr>
            <w:r>
              <w:rPr>
                <w:kern w:val="0"/>
                <w:sz w:val="25"/>
                <w:szCs w:val="25"/>
              </w:rPr>
              <w:t>1,</w:t>
            </w:r>
            <w:r>
              <w:rPr>
                <w:rFonts w:hint="eastAsia"/>
                <w:kern w:val="0"/>
                <w:sz w:val="25"/>
                <w:szCs w:val="25"/>
              </w:rPr>
              <w:t>887.7</w:t>
            </w:r>
            <w:r>
              <w:rPr>
                <w:rFonts w:hint="eastAsia"/>
                <w:kern w:val="0"/>
                <w:sz w:val="25"/>
                <w:szCs w:val="25"/>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单位月票平均使用次数（次</w:t>
            </w:r>
            <w:r>
              <w:rPr>
                <w:b/>
                <w:bCs/>
                <w:kern w:val="0"/>
                <w:sz w:val="25"/>
                <w:szCs w:val="25"/>
              </w:rPr>
              <w:t>/</w:t>
            </w:r>
            <w:r>
              <w:rPr>
                <w:rFonts w:hAnsi="宋体"/>
                <w:b/>
                <w:bCs/>
                <w:kern w:val="0"/>
                <w:sz w:val="25"/>
                <w:szCs w:val="25"/>
              </w:rPr>
              <w:t>张）</w:t>
            </w:r>
          </w:p>
        </w:tc>
        <w:tc>
          <w:tcPr>
            <w:tcW w:w="1346" w:type="dxa"/>
            <w:noWrap/>
            <w:vAlign w:val="center"/>
          </w:tcPr>
          <w:p>
            <w:pPr>
              <w:widowControl/>
              <w:spacing w:line="360" w:lineRule="exact"/>
              <w:jc w:val="right"/>
              <w:rPr>
                <w:kern w:val="0"/>
                <w:sz w:val="25"/>
                <w:szCs w:val="25"/>
              </w:rPr>
            </w:pPr>
            <w:r>
              <w:rPr>
                <w:kern w:val="0"/>
                <w:sz w:val="25"/>
                <w:szCs w:val="25"/>
              </w:rPr>
              <w:t xml:space="preserve">       -   </w:t>
            </w:r>
          </w:p>
        </w:tc>
        <w:tc>
          <w:tcPr>
            <w:tcW w:w="1559" w:type="dxa"/>
            <w:noWrap/>
            <w:vAlign w:val="center"/>
          </w:tcPr>
          <w:p>
            <w:pPr>
              <w:widowControl/>
              <w:spacing w:line="360" w:lineRule="exact"/>
              <w:jc w:val="right"/>
              <w:rPr>
                <w:kern w:val="0"/>
                <w:sz w:val="25"/>
                <w:szCs w:val="25"/>
              </w:rPr>
            </w:pPr>
            <w:r>
              <w:rPr>
                <w:kern w:val="0"/>
                <w:sz w:val="25"/>
                <w:szCs w:val="25"/>
              </w:rPr>
              <w:t xml:space="preserve">       -   </w:t>
            </w:r>
          </w:p>
        </w:tc>
        <w:tc>
          <w:tcPr>
            <w:tcW w:w="1418" w:type="dxa"/>
            <w:noWrap/>
            <w:vAlign w:val="center"/>
          </w:tcPr>
          <w:p>
            <w:pPr>
              <w:widowControl/>
              <w:spacing w:line="360" w:lineRule="exact"/>
              <w:jc w:val="right"/>
              <w:rPr>
                <w:kern w:val="0"/>
                <w:sz w:val="25"/>
                <w:szCs w:val="25"/>
              </w:rPr>
            </w:pPr>
            <w:r>
              <w:rPr>
                <w:kern w:val="0"/>
                <w:sz w:val="25"/>
                <w:szCs w:val="25"/>
              </w:rPr>
              <w:t xml:space="preserve">       -   </w:t>
            </w:r>
          </w:p>
        </w:tc>
        <w:tc>
          <w:tcPr>
            <w:tcW w:w="1441" w:type="dxa"/>
            <w:noWrap/>
            <w:vAlign w:val="center"/>
          </w:tcPr>
          <w:p>
            <w:pPr>
              <w:widowControl/>
              <w:spacing w:line="360" w:lineRule="exact"/>
              <w:jc w:val="right"/>
              <w:rPr>
                <w:kern w:val="0"/>
                <w:sz w:val="25"/>
                <w:szCs w:val="25"/>
              </w:rPr>
            </w:pPr>
            <w:r>
              <w:rPr>
                <w:kern w:val="0"/>
                <w:sz w:val="25"/>
                <w:szCs w:val="2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财政补亏</w:t>
            </w:r>
            <w:r>
              <w:rPr>
                <w:b/>
                <w:bCs/>
                <w:kern w:val="0"/>
                <w:sz w:val="25"/>
                <w:szCs w:val="25"/>
              </w:rPr>
              <w:t>(</w:t>
            </w:r>
            <w:r>
              <w:rPr>
                <w:rFonts w:hAnsi="宋体"/>
                <w:b/>
                <w:bCs/>
                <w:kern w:val="0"/>
                <w:sz w:val="25"/>
                <w:szCs w:val="25"/>
              </w:rPr>
              <w:t>万元</w:t>
            </w:r>
            <w:r>
              <w:rPr>
                <w:b/>
                <w:bCs/>
                <w:kern w:val="0"/>
                <w:sz w:val="25"/>
                <w:szCs w:val="25"/>
              </w:rPr>
              <w:t>)</w:t>
            </w:r>
          </w:p>
        </w:tc>
        <w:tc>
          <w:tcPr>
            <w:tcW w:w="1346" w:type="dxa"/>
            <w:noWrap/>
            <w:vAlign w:val="center"/>
          </w:tcPr>
          <w:p>
            <w:pPr>
              <w:widowControl/>
              <w:spacing w:line="360" w:lineRule="exact"/>
              <w:jc w:val="right"/>
              <w:rPr>
                <w:kern w:val="0"/>
                <w:sz w:val="25"/>
                <w:szCs w:val="25"/>
              </w:rPr>
            </w:pPr>
            <w:r>
              <w:rPr>
                <w:kern w:val="0"/>
                <w:sz w:val="25"/>
                <w:szCs w:val="25"/>
              </w:rPr>
              <w:t>2,732.95</w:t>
            </w:r>
          </w:p>
        </w:tc>
        <w:tc>
          <w:tcPr>
            <w:tcW w:w="1559" w:type="dxa"/>
            <w:noWrap/>
            <w:vAlign w:val="center"/>
          </w:tcPr>
          <w:p>
            <w:pPr>
              <w:widowControl/>
              <w:spacing w:line="360" w:lineRule="exact"/>
              <w:jc w:val="right"/>
              <w:rPr>
                <w:kern w:val="0"/>
                <w:sz w:val="25"/>
                <w:szCs w:val="25"/>
              </w:rPr>
            </w:pPr>
            <w:r>
              <w:rPr>
                <w:kern w:val="0"/>
                <w:sz w:val="25"/>
                <w:szCs w:val="25"/>
              </w:rPr>
              <w:t>3,135.60</w:t>
            </w:r>
          </w:p>
        </w:tc>
        <w:tc>
          <w:tcPr>
            <w:tcW w:w="1418" w:type="dxa"/>
            <w:noWrap/>
            <w:vAlign w:val="center"/>
          </w:tcPr>
          <w:p>
            <w:pPr>
              <w:widowControl/>
              <w:spacing w:line="360" w:lineRule="exact"/>
              <w:jc w:val="right"/>
              <w:rPr>
                <w:kern w:val="0"/>
                <w:sz w:val="25"/>
                <w:szCs w:val="25"/>
              </w:rPr>
            </w:pPr>
            <w:r>
              <w:rPr>
                <w:kern w:val="0"/>
                <w:sz w:val="25"/>
                <w:szCs w:val="25"/>
              </w:rPr>
              <w:t>1,777.86</w:t>
            </w:r>
          </w:p>
        </w:tc>
        <w:tc>
          <w:tcPr>
            <w:tcW w:w="1441" w:type="dxa"/>
            <w:noWrap/>
            <w:vAlign w:val="center"/>
          </w:tcPr>
          <w:p>
            <w:pPr>
              <w:widowControl/>
              <w:spacing w:line="360" w:lineRule="exact"/>
              <w:jc w:val="right"/>
              <w:rPr>
                <w:kern w:val="0"/>
                <w:sz w:val="25"/>
                <w:szCs w:val="25"/>
              </w:rPr>
            </w:pPr>
            <w:r>
              <w:rPr>
                <w:kern w:val="0"/>
                <w:sz w:val="25"/>
                <w:szCs w:val="25"/>
              </w:rPr>
              <w:t>2,548.80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一、直接营运成本（万元）</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3,125.28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2,839.60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2,356.63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w:t>
            </w:r>
            <w:r>
              <w:rPr>
                <w:kern w:val="0"/>
                <w:sz w:val="25"/>
                <w:szCs w:val="25"/>
              </w:rPr>
              <w:t xml:space="preserve"> 2,773.84 </w:t>
            </w:r>
            <w:r>
              <w:rPr>
                <w:rFonts w:hint="eastAsia"/>
                <w:kern w:val="0"/>
                <w:sz w:val="25"/>
                <w:szCs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122" w:type="dxa"/>
            <w:noWrap/>
            <w:vAlign w:val="center"/>
          </w:tcPr>
          <w:p>
            <w:pPr>
              <w:pStyle w:val="9"/>
              <w:widowControl/>
              <w:numPr>
                <w:ilvl w:val="0"/>
                <w:numId w:val="1"/>
              </w:numPr>
              <w:spacing w:line="360" w:lineRule="exact"/>
              <w:ind w:firstLineChars="0"/>
              <w:jc w:val="left"/>
              <w:rPr>
                <w:rFonts w:hAnsi="宋体"/>
                <w:b/>
                <w:bCs/>
                <w:kern w:val="0"/>
                <w:sz w:val="25"/>
                <w:szCs w:val="25"/>
              </w:rPr>
            </w:pPr>
            <w:r>
              <w:rPr>
                <w:rFonts w:hint="eastAsia" w:hAnsi="宋体"/>
                <w:kern w:val="0"/>
                <w:sz w:val="25"/>
                <w:szCs w:val="25"/>
              </w:rPr>
              <w:t>职工薪酬</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1,201.40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1,268.34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1,070.42 </w:t>
            </w:r>
          </w:p>
        </w:tc>
        <w:tc>
          <w:tcPr>
            <w:tcW w:w="1441" w:type="dxa"/>
            <w:noWrap/>
            <w:vAlign w:val="center"/>
          </w:tcPr>
          <w:p>
            <w:pPr>
              <w:widowControl/>
              <w:spacing w:line="360" w:lineRule="exact"/>
              <w:jc w:val="right"/>
              <w:rPr>
                <w:kern w:val="0"/>
                <w:sz w:val="25"/>
                <w:szCs w:val="25"/>
              </w:rPr>
            </w:pPr>
            <w:r>
              <w:rPr>
                <w:rFonts w:hint="eastAsia"/>
                <w:kern w:val="0"/>
                <w:sz w:val="25"/>
                <w:szCs w:val="25"/>
              </w:rPr>
              <w:t>1,180.05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4122" w:type="dxa"/>
            <w:noWrap/>
            <w:vAlign w:val="center"/>
          </w:tcPr>
          <w:p>
            <w:pPr>
              <w:widowControl/>
              <w:spacing w:line="360" w:lineRule="exact"/>
              <w:jc w:val="left"/>
              <w:rPr>
                <w:rFonts w:hAnsi="宋体"/>
                <w:b/>
                <w:bCs/>
                <w:kern w:val="0"/>
                <w:sz w:val="25"/>
                <w:szCs w:val="25"/>
              </w:rPr>
            </w:pPr>
            <w:r>
              <w:rPr>
                <w:rFonts w:hint="eastAsia" w:hAnsi="宋体"/>
                <w:kern w:val="0"/>
                <w:sz w:val="25"/>
                <w:szCs w:val="25"/>
              </w:rPr>
              <w:t>2. 燃润料</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   974.35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487.42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256.04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572.60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122" w:type="dxa"/>
            <w:noWrap/>
            <w:vAlign w:val="center"/>
          </w:tcPr>
          <w:p>
            <w:pPr>
              <w:widowControl/>
              <w:spacing w:line="360" w:lineRule="exact"/>
              <w:jc w:val="left"/>
              <w:rPr>
                <w:rFonts w:hAnsi="宋体"/>
                <w:b/>
                <w:bCs/>
                <w:kern w:val="0"/>
                <w:sz w:val="25"/>
                <w:szCs w:val="25"/>
              </w:rPr>
            </w:pPr>
            <w:r>
              <w:rPr>
                <w:rFonts w:hint="eastAsia" w:hAnsi="宋体"/>
                <w:kern w:val="0"/>
                <w:sz w:val="25"/>
                <w:szCs w:val="25"/>
              </w:rPr>
              <w:t>3. 折旧费</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463.33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616.19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640.75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w:t>
            </w:r>
            <w:r>
              <w:rPr>
                <w:kern w:val="0"/>
                <w:sz w:val="25"/>
                <w:szCs w:val="25"/>
              </w:rPr>
              <w:t xml:space="preserve"> 573.42 </w:t>
            </w:r>
            <w:r>
              <w:rPr>
                <w:rFonts w:hint="eastAsia"/>
                <w:kern w:val="0"/>
                <w:sz w:val="25"/>
                <w:szCs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122" w:type="dxa"/>
            <w:noWrap/>
            <w:vAlign w:val="center"/>
          </w:tcPr>
          <w:p>
            <w:pPr>
              <w:widowControl/>
              <w:spacing w:line="360" w:lineRule="exact"/>
              <w:jc w:val="left"/>
              <w:rPr>
                <w:rFonts w:hAnsi="宋体"/>
                <w:b/>
                <w:bCs/>
                <w:kern w:val="0"/>
                <w:sz w:val="25"/>
                <w:szCs w:val="25"/>
              </w:rPr>
            </w:pPr>
            <w:r>
              <w:rPr>
                <w:rFonts w:hint="eastAsia" w:hAnsi="宋体"/>
                <w:kern w:val="0"/>
                <w:sz w:val="25"/>
                <w:szCs w:val="25"/>
              </w:rPr>
              <w:t>4. 保险费</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   259.34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205.32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183.75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216.14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22" w:type="dxa"/>
            <w:noWrap/>
            <w:vAlign w:val="center"/>
          </w:tcPr>
          <w:p>
            <w:pPr>
              <w:widowControl/>
              <w:spacing w:line="360" w:lineRule="exact"/>
              <w:jc w:val="left"/>
              <w:rPr>
                <w:rFonts w:hAnsi="宋体"/>
                <w:b/>
                <w:bCs/>
                <w:kern w:val="0"/>
                <w:sz w:val="25"/>
                <w:szCs w:val="25"/>
              </w:rPr>
            </w:pPr>
            <w:r>
              <w:rPr>
                <w:rFonts w:hint="eastAsia" w:hAnsi="宋体"/>
                <w:kern w:val="0"/>
                <w:sz w:val="25"/>
                <w:szCs w:val="25"/>
              </w:rPr>
              <w:t>5. 修理费</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137.98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127.11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77.04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114.04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122" w:type="dxa"/>
            <w:noWrap/>
            <w:vAlign w:val="center"/>
          </w:tcPr>
          <w:p>
            <w:pPr>
              <w:widowControl/>
              <w:spacing w:line="360" w:lineRule="exact"/>
              <w:jc w:val="left"/>
              <w:rPr>
                <w:rFonts w:hAnsi="宋体"/>
                <w:b/>
                <w:bCs/>
                <w:kern w:val="0"/>
                <w:sz w:val="25"/>
                <w:szCs w:val="25"/>
              </w:rPr>
            </w:pPr>
            <w:r>
              <w:rPr>
                <w:rFonts w:hint="eastAsia" w:hAnsi="宋体"/>
                <w:kern w:val="0"/>
                <w:sz w:val="25"/>
                <w:szCs w:val="25"/>
              </w:rPr>
              <w:t>6. 水电费</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29.45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83.64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66.01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59.70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22" w:type="dxa"/>
            <w:noWrap/>
            <w:vAlign w:val="center"/>
          </w:tcPr>
          <w:p>
            <w:pPr>
              <w:widowControl/>
              <w:spacing w:line="360" w:lineRule="exact"/>
              <w:jc w:val="left"/>
              <w:rPr>
                <w:rFonts w:hAnsi="宋体"/>
                <w:kern w:val="0"/>
                <w:sz w:val="25"/>
                <w:szCs w:val="25"/>
              </w:rPr>
            </w:pPr>
            <w:r>
              <w:rPr>
                <w:rFonts w:hint="eastAsia" w:hAnsi="宋体"/>
                <w:kern w:val="0"/>
                <w:sz w:val="25"/>
                <w:szCs w:val="25"/>
              </w:rPr>
              <w:t>7. 轮胎</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15.62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16.22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17.41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16.41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22" w:type="dxa"/>
            <w:noWrap/>
            <w:vAlign w:val="center"/>
          </w:tcPr>
          <w:p>
            <w:pPr>
              <w:widowControl/>
              <w:spacing w:line="360" w:lineRule="exact"/>
              <w:jc w:val="left"/>
              <w:rPr>
                <w:rFonts w:hAnsi="宋体"/>
                <w:kern w:val="0"/>
                <w:sz w:val="25"/>
                <w:szCs w:val="25"/>
              </w:rPr>
            </w:pPr>
            <w:r>
              <w:rPr>
                <w:rFonts w:hint="eastAsia" w:hAnsi="宋体"/>
                <w:kern w:val="0"/>
                <w:sz w:val="25"/>
                <w:szCs w:val="25"/>
              </w:rPr>
              <w:t xml:space="preserve">8. </w:t>
            </w:r>
            <w:r>
              <w:rPr>
                <w:rFonts w:hAnsi="宋体"/>
                <w:kern w:val="0"/>
                <w:sz w:val="25"/>
                <w:szCs w:val="25"/>
              </w:rPr>
              <w:t>IC</w:t>
            </w:r>
            <w:r>
              <w:rPr>
                <w:rFonts w:hint="eastAsia" w:hAnsi="宋体"/>
                <w:kern w:val="0"/>
                <w:sz w:val="25"/>
                <w:szCs w:val="25"/>
              </w:rPr>
              <w:t>卡服务费</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    13.01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9.79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12.96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11.92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122" w:type="dxa"/>
            <w:noWrap/>
            <w:vAlign w:val="center"/>
          </w:tcPr>
          <w:p>
            <w:pPr>
              <w:widowControl/>
              <w:spacing w:line="360" w:lineRule="exact"/>
              <w:jc w:val="left"/>
              <w:rPr>
                <w:rFonts w:hAnsi="宋体"/>
                <w:kern w:val="0"/>
                <w:sz w:val="25"/>
                <w:szCs w:val="25"/>
              </w:rPr>
            </w:pPr>
            <w:r>
              <w:rPr>
                <w:rFonts w:hint="eastAsia" w:hAnsi="宋体"/>
                <w:kern w:val="0"/>
                <w:sz w:val="25"/>
                <w:szCs w:val="25"/>
              </w:rPr>
              <w:t>9. 劳务费</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     3.69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2.84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6.18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4.24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122" w:type="dxa"/>
            <w:noWrap/>
            <w:vAlign w:val="center"/>
          </w:tcPr>
          <w:p>
            <w:pPr>
              <w:widowControl/>
              <w:spacing w:line="360" w:lineRule="exact"/>
              <w:jc w:val="left"/>
              <w:rPr>
                <w:rFonts w:hAnsi="宋体"/>
                <w:kern w:val="0"/>
                <w:sz w:val="25"/>
                <w:szCs w:val="25"/>
              </w:rPr>
            </w:pPr>
            <w:r>
              <w:rPr>
                <w:rFonts w:hint="eastAsia" w:hAnsi="宋体"/>
                <w:kern w:val="0"/>
                <w:sz w:val="25"/>
                <w:szCs w:val="25"/>
              </w:rPr>
              <w:t>10. 事故损失</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3.79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5.52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2.28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3.87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rFonts w:hAnsi="宋体"/>
                <w:kern w:val="0"/>
                <w:sz w:val="25"/>
                <w:szCs w:val="25"/>
              </w:rPr>
            </w:pPr>
            <w:r>
              <w:rPr>
                <w:rFonts w:hint="eastAsia" w:hAnsi="宋体"/>
                <w:kern w:val="0"/>
                <w:sz w:val="25"/>
                <w:szCs w:val="25"/>
              </w:rPr>
              <w:t>11. 检测费</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2.77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3.36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4.03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rFonts w:hAnsi="宋体"/>
                <w:b/>
                <w:kern w:val="0"/>
                <w:sz w:val="25"/>
                <w:szCs w:val="25"/>
              </w:rPr>
            </w:pPr>
            <w:r>
              <w:rPr>
                <w:rFonts w:hint="eastAsia" w:hAnsi="宋体"/>
                <w:kern w:val="0"/>
                <w:sz w:val="25"/>
                <w:szCs w:val="25"/>
              </w:rPr>
              <w:t xml:space="preserve">12. </w:t>
            </w:r>
            <w:r>
              <w:rPr>
                <w:rFonts w:hAnsi="宋体"/>
                <w:kern w:val="0"/>
                <w:sz w:val="25"/>
                <w:szCs w:val="25"/>
              </w:rPr>
              <w:t>其他直接营运费用</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20.56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13.87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19.76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18.06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二、期间费用（万元）</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 1,137.44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1,137.85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1,011.87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1,095.72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122" w:type="dxa"/>
            <w:noWrap/>
            <w:vAlign w:val="center"/>
          </w:tcPr>
          <w:p>
            <w:pPr>
              <w:widowControl/>
              <w:spacing w:line="360" w:lineRule="exact"/>
              <w:jc w:val="left"/>
              <w:rPr>
                <w:kern w:val="0"/>
                <w:sz w:val="25"/>
                <w:szCs w:val="25"/>
              </w:rPr>
            </w:pPr>
            <w:r>
              <w:rPr>
                <w:kern w:val="0"/>
                <w:sz w:val="25"/>
                <w:szCs w:val="25"/>
              </w:rPr>
              <w:t xml:space="preserve"> 1</w:t>
            </w:r>
            <w:r>
              <w:rPr>
                <w:rFonts w:hAnsi="宋体"/>
                <w:kern w:val="0"/>
                <w:sz w:val="25"/>
                <w:szCs w:val="25"/>
              </w:rPr>
              <w:t>、管理费用</w:t>
            </w:r>
            <w:r>
              <w:rPr>
                <w:kern w:val="0"/>
                <w:sz w:val="25"/>
                <w:szCs w:val="25"/>
              </w:rPr>
              <w:t xml:space="preserve"> </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 1,136.00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1,136.25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1,010.51 </w:t>
            </w:r>
          </w:p>
        </w:tc>
        <w:tc>
          <w:tcPr>
            <w:tcW w:w="1441" w:type="dxa"/>
            <w:noWrap/>
            <w:vAlign w:val="center"/>
          </w:tcPr>
          <w:p>
            <w:pPr>
              <w:widowControl/>
              <w:spacing w:line="360" w:lineRule="exact"/>
              <w:jc w:val="right"/>
              <w:rPr>
                <w:kern w:val="0"/>
                <w:sz w:val="25"/>
                <w:szCs w:val="25"/>
              </w:rPr>
            </w:pPr>
            <w:r>
              <w:rPr>
                <w:rFonts w:hint="eastAsia"/>
                <w:kern w:val="0"/>
                <w:sz w:val="25"/>
                <w:szCs w:val="25"/>
              </w:rPr>
              <w:t xml:space="preserve"> 1,094.26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122" w:type="dxa"/>
            <w:noWrap/>
            <w:vAlign w:val="center"/>
          </w:tcPr>
          <w:p>
            <w:pPr>
              <w:widowControl/>
              <w:spacing w:line="360" w:lineRule="exact"/>
              <w:jc w:val="left"/>
              <w:rPr>
                <w:kern w:val="0"/>
                <w:sz w:val="25"/>
                <w:szCs w:val="25"/>
              </w:rPr>
            </w:pPr>
            <w:r>
              <w:rPr>
                <w:kern w:val="0"/>
                <w:sz w:val="25"/>
                <w:szCs w:val="25"/>
              </w:rPr>
              <w:t xml:space="preserve"> 2</w:t>
            </w:r>
            <w:r>
              <w:rPr>
                <w:rFonts w:hAnsi="宋体"/>
                <w:kern w:val="0"/>
                <w:sz w:val="25"/>
                <w:szCs w:val="25"/>
              </w:rPr>
              <w:t>、财务费用</w:t>
            </w:r>
            <w:r>
              <w:rPr>
                <w:kern w:val="0"/>
                <w:sz w:val="25"/>
                <w:szCs w:val="25"/>
              </w:rPr>
              <w:t xml:space="preserve"> </w:t>
            </w:r>
          </w:p>
        </w:tc>
        <w:tc>
          <w:tcPr>
            <w:tcW w:w="1346" w:type="dxa"/>
            <w:noWrap/>
            <w:vAlign w:val="center"/>
          </w:tcPr>
          <w:p>
            <w:pPr>
              <w:jc w:val="right"/>
              <w:rPr>
                <w:rFonts w:eastAsia="等线"/>
                <w:color w:val="000000"/>
                <w:sz w:val="25"/>
                <w:szCs w:val="25"/>
              </w:rPr>
            </w:pPr>
            <w:r>
              <w:rPr>
                <w:rFonts w:hint="eastAsia" w:eastAsia="等线"/>
                <w:color w:val="000000"/>
                <w:sz w:val="25"/>
                <w:szCs w:val="25"/>
              </w:rPr>
              <w:t xml:space="preserve">     1.44 </w:t>
            </w:r>
          </w:p>
        </w:tc>
        <w:tc>
          <w:tcPr>
            <w:tcW w:w="1559" w:type="dxa"/>
            <w:noWrap/>
            <w:vAlign w:val="center"/>
          </w:tcPr>
          <w:p>
            <w:pPr>
              <w:jc w:val="right"/>
              <w:rPr>
                <w:rFonts w:eastAsia="等线"/>
                <w:color w:val="000000"/>
                <w:sz w:val="25"/>
                <w:szCs w:val="25"/>
              </w:rPr>
            </w:pPr>
            <w:r>
              <w:rPr>
                <w:rFonts w:hint="eastAsia" w:eastAsia="等线"/>
                <w:color w:val="000000"/>
                <w:sz w:val="25"/>
                <w:szCs w:val="25"/>
              </w:rPr>
              <w:t xml:space="preserve">     1.60 </w:t>
            </w:r>
          </w:p>
        </w:tc>
        <w:tc>
          <w:tcPr>
            <w:tcW w:w="1418" w:type="dxa"/>
            <w:noWrap/>
            <w:vAlign w:val="center"/>
          </w:tcPr>
          <w:p>
            <w:pPr>
              <w:jc w:val="right"/>
              <w:rPr>
                <w:rFonts w:eastAsia="等线"/>
                <w:color w:val="000000"/>
                <w:sz w:val="25"/>
                <w:szCs w:val="25"/>
              </w:rPr>
            </w:pPr>
            <w:r>
              <w:rPr>
                <w:rFonts w:hint="eastAsia" w:eastAsia="等线"/>
                <w:color w:val="000000"/>
                <w:sz w:val="25"/>
                <w:szCs w:val="25"/>
              </w:rPr>
              <w:t xml:space="preserve">     1.36 </w:t>
            </w:r>
          </w:p>
        </w:tc>
        <w:tc>
          <w:tcPr>
            <w:tcW w:w="1441" w:type="dxa"/>
            <w:noWrap/>
            <w:vAlign w:val="center"/>
          </w:tcPr>
          <w:p>
            <w:pPr>
              <w:jc w:val="right"/>
              <w:rPr>
                <w:rFonts w:eastAsia="等线"/>
                <w:color w:val="000000"/>
                <w:sz w:val="25"/>
                <w:szCs w:val="25"/>
              </w:rPr>
            </w:pPr>
            <w:r>
              <w:rPr>
                <w:rFonts w:hint="eastAsia" w:eastAsia="等线"/>
                <w:color w:val="000000"/>
                <w:sz w:val="25"/>
                <w:szCs w:val="25"/>
              </w:rPr>
              <w:t xml:space="preserve">     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三、营业税金及附加（万元）</w:t>
            </w:r>
          </w:p>
        </w:tc>
        <w:tc>
          <w:tcPr>
            <w:tcW w:w="1346" w:type="dxa"/>
            <w:noWrap/>
            <w:vAlign w:val="center"/>
          </w:tcPr>
          <w:p>
            <w:pPr>
              <w:jc w:val="right"/>
              <w:rPr>
                <w:rFonts w:eastAsia="等线"/>
                <w:color w:val="000000"/>
                <w:sz w:val="25"/>
                <w:szCs w:val="25"/>
              </w:rPr>
            </w:pPr>
            <w:r>
              <w:rPr>
                <w:rFonts w:hint="eastAsia" w:eastAsia="等线"/>
                <w:color w:val="000000"/>
                <w:sz w:val="25"/>
                <w:szCs w:val="25"/>
              </w:rPr>
              <w:t xml:space="preserve">     8.62 </w:t>
            </w:r>
          </w:p>
        </w:tc>
        <w:tc>
          <w:tcPr>
            <w:tcW w:w="1559" w:type="dxa"/>
            <w:noWrap/>
            <w:vAlign w:val="center"/>
          </w:tcPr>
          <w:p>
            <w:pPr>
              <w:jc w:val="right"/>
              <w:rPr>
                <w:rFonts w:eastAsia="等线"/>
                <w:color w:val="000000"/>
                <w:sz w:val="25"/>
                <w:szCs w:val="25"/>
              </w:rPr>
            </w:pPr>
            <w:r>
              <w:rPr>
                <w:rFonts w:hint="eastAsia" w:eastAsia="等线"/>
                <w:color w:val="000000"/>
                <w:sz w:val="25"/>
                <w:szCs w:val="25"/>
              </w:rPr>
              <w:t xml:space="preserve">     8.15 </w:t>
            </w:r>
          </w:p>
        </w:tc>
        <w:tc>
          <w:tcPr>
            <w:tcW w:w="1418" w:type="dxa"/>
            <w:noWrap/>
            <w:vAlign w:val="center"/>
          </w:tcPr>
          <w:p>
            <w:pPr>
              <w:jc w:val="right"/>
              <w:rPr>
                <w:rFonts w:eastAsia="等线"/>
                <w:color w:val="000000"/>
                <w:sz w:val="25"/>
                <w:szCs w:val="25"/>
              </w:rPr>
            </w:pPr>
            <w:r>
              <w:rPr>
                <w:rFonts w:hint="eastAsia" w:eastAsia="等线"/>
                <w:color w:val="000000"/>
                <w:sz w:val="25"/>
                <w:szCs w:val="25"/>
              </w:rPr>
              <w:t xml:space="preserve">     5.93 </w:t>
            </w:r>
          </w:p>
        </w:tc>
        <w:tc>
          <w:tcPr>
            <w:tcW w:w="1441" w:type="dxa"/>
            <w:noWrap/>
            <w:vAlign w:val="center"/>
          </w:tcPr>
          <w:p>
            <w:pPr>
              <w:jc w:val="right"/>
              <w:rPr>
                <w:rFonts w:eastAsia="等线"/>
                <w:color w:val="000000"/>
                <w:sz w:val="25"/>
                <w:szCs w:val="25"/>
              </w:rPr>
            </w:pPr>
            <w:r>
              <w:rPr>
                <w:rFonts w:hint="eastAsia" w:eastAsia="等线"/>
                <w:color w:val="000000"/>
                <w:sz w:val="25"/>
                <w:szCs w:val="25"/>
              </w:rPr>
              <w:t xml:space="preserve">     7.57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122" w:type="dxa"/>
            <w:noWrap/>
            <w:vAlign w:val="center"/>
          </w:tcPr>
          <w:p>
            <w:pPr>
              <w:widowControl/>
              <w:spacing w:line="360" w:lineRule="exact"/>
              <w:jc w:val="left"/>
              <w:rPr>
                <w:rFonts w:hAnsi="宋体"/>
                <w:b/>
                <w:bCs/>
                <w:kern w:val="0"/>
                <w:sz w:val="25"/>
                <w:szCs w:val="25"/>
              </w:rPr>
            </w:pPr>
            <w:r>
              <w:rPr>
                <w:rFonts w:hAnsi="宋体"/>
                <w:b/>
                <w:bCs/>
                <w:kern w:val="0"/>
                <w:sz w:val="25"/>
                <w:szCs w:val="25"/>
              </w:rPr>
              <w:t>四、客运总成本（万元）</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4,271.35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 3,985.60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 3,374.43 </w:t>
            </w:r>
          </w:p>
        </w:tc>
        <w:tc>
          <w:tcPr>
            <w:tcW w:w="1441" w:type="dxa"/>
            <w:noWrap/>
            <w:vAlign w:val="center"/>
          </w:tcPr>
          <w:p>
            <w:pPr>
              <w:jc w:val="right"/>
              <w:rPr>
                <w:rFonts w:eastAsia="等线"/>
                <w:color w:val="000000"/>
                <w:sz w:val="25"/>
                <w:szCs w:val="25"/>
              </w:rPr>
            </w:pPr>
            <w:r>
              <w:rPr>
                <w:rFonts w:eastAsia="等线"/>
                <w:color w:val="000000"/>
                <w:sz w:val="25"/>
                <w:szCs w:val="25"/>
              </w:rPr>
              <w:t>3,877.12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122" w:type="dxa"/>
            <w:noWrap/>
            <w:vAlign w:val="center"/>
          </w:tcPr>
          <w:p>
            <w:pPr>
              <w:widowControl/>
              <w:spacing w:line="360" w:lineRule="exact"/>
              <w:jc w:val="left"/>
              <w:rPr>
                <w:b/>
                <w:bCs/>
                <w:kern w:val="0"/>
                <w:sz w:val="25"/>
                <w:szCs w:val="25"/>
              </w:rPr>
            </w:pPr>
            <w:r>
              <w:rPr>
                <w:rFonts w:hAnsi="宋体"/>
                <w:b/>
                <w:bCs/>
                <w:kern w:val="0"/>
                <w:sz w:val="25"/>
                <w:szCs w:val="25"/>
              </w:rPr>
              <w:t>五、单位客运成本</w:t>
            </w:r>
          </w:p>
        </w:tc>
        <w:tc>
          <w:tcPr>
            <w:tcW w:w="1346" w:type="dxa"/>
            <w:noWrap/>
            <w:vAlign w:val="center"/>
          </w:tcPr>
          <w:p>
            <w:pPr>
              <w:jc w:val="right"/>
              <w:rPr>
                <w:rFonts w:eastAsia="等线"/>
                <w:color w:val="000000"/>
                <w:sz w:val="25"/>
                <w:szCs w:val="25"/>
              </w:rPr>
            </w:pPr>
          </w:p>
        </w:tc>
        <w:tc>
          <w:tcPr>
            <w:tcW w:w="1559" w:type="dxa"/>
            <w:noWrap/>
            <w:vAlign w:val="center"/>
          </w:tcPr>
          <w:p>
            <w:pPr>
              <w:ind w:right="250"/>
              <w:jc w:val="right"/>
              <w:rPr>
                <w:rFonts w:eastAsia="等线"/>
                <w:color w:val="000000"/>
                <w:sz w:val="25"/>
                <w:szCs w:val="25"/>
              </w:rPr>
            </w:pPr>
            <w:r>
              <w:rPr>
                <w:rFonts w:eastAsia="等线"/>
                <w:color w:val="000000"/>
                <w:sz w:val="25"/>
                <w:szCs w:val="25"/>
              </w:rPr>
              <w:t>　</w:t>
            </w:r>
          </w:p>
        </w:tc>
        <w:tc>
          <w:tcPr>
            <w:tcW w:w="1418" w:type="dxa"/>
            <w:noWrap/>
            <w:vAlign w:val="center"/>
          </w:tcPr>
          <w:p>
            <w:pPr>
              <w:ind w:right="250"/>
              <w:jc w:val="right"/>
              <w:rPr>
                <w:rFonts w:eastAsia="等线"/>
                <w:color w:val="000000"/>
                <w:sz w:val="25"/>
                <w:szCs w:val="25"/>
              </w:rPr>
            </w:pPr>
            <w:r>
              <w:rPr>
                <w:rFonts w:eastAsia="等线"/>
                <w:color w:val="000000"/>
                <w:sz w:val="25"/>
                <w:szCs w:val="25"/>
              </w:rPr>
              <w:t>　</w:t>
            </w:r>
          </w:p>
        </w:tc>
        <w:tc>
          <w:tcPr>
            <w:tcW w:w="1441" w:type="dxa"/>
            <w:noWrap/>
            <w:vAlign w:val="center"/>
          </w:tcPr>
          <w:p>
            <w:pPr>
              <w:jc w:val="right"/>
              <w:rPr>
                <w:rFonts w:eastAsia="等线"/>
                <w:color w:val="000000"/>
                <w:sz w:val="25"/>
                <w:szCs w:val="25"/>
              </w:rPr>
            </w:pPr>
            <w:r>
              <w:rPr>
                <w:rFonts w:eastAsia="等线"/>
                <w:color w:val="000000"/>
                <w:sz w:val="25"/>
                <w:szCs w:val="25"/>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w w:val="90"/>
                <w:kern w:val="0"/>
                <w:sz w:val="25"/>
                <w:szCs w:val="25"/>
              </w:rPr>
            </w:pPr>
            <w:r>
              <w:rPr>
                <w:rFonts w:hAnsi="宋体"/>
                <w:b/>
                <w:bCs/>
                <w:w w:val="90"/>
                <w:kern w:val="0"/>
                <w:sz w:val="25"/>
                <w:szCs w:val="25"/>
              </w:rPr>
              <w:t>（一）单位车辆客运成本（元</w:t>
            </w:r>
            <w:r>
              <w:rPr>
                <w:b/>
                <w:bCs/>
                <w:w w:val="90"/>
                <w:kern w:val="0"/>
                <w:sz w:val="25"/>
                <w:szCs w:val="25"/>
              </w:rPr>
              <w:t>/</w:t>
            </w:r>
            <w:r>
              <w:rPr>
                <w:rFonts w:hAnsi="宋体"/>
                <w:b/>
                <w:bCs/>
                <w:w w:val="90"/>
                <w:kern w:val="0"/>
                <w:sz w:val="25"/>
                <w:szCs w:val="25"/>
              </w:rPr>
              <w:t>辆）</w:t>
            </w:r>
          </w:p>
        </w:tc>
        <w:tc>
          <w:tcPr>
            <w:tcW w:w="1346" w:type="dxa"/>
            <w:noWrap/>
            <w:vAlign w:val="center"/>
          </w:tcPr>
          <w:p>
            <w:pPr>
              <w:widowControl/>
              <w:spacing w:line="360" w:lineRule="exact"/>
              <w:jc w:val="right"/>
              <w:rPr>
                <w:kern w:val="0"/>
                <w:sz w:val="25"/>
                <w:szCs w:val="25"/>
              </w:rPr>
            </w:pPr>
            <w:r>
              <w:rPr>
                <w:rFonts w:hint="eastAsia"/>
                <w:kern w:val="0"/>
                <w:sz w:val="25"/>
                <w:szCs w:val="25"/>
              </w:rPr>
              <w:t xml:space="preserve">442,259.94 </w:t>
            </w:r>
          </w:p>
        </w:tc>
        <w:tc>
          <w:tcPr>
            <w:tcW w:w="1559" w:type="dxa"/>
            <w:noWrap/>
            <w:vAlign w:val="center"/>
          </w:tcPr>
          <w:p>
            <w:pPr>
              <w:widowControl/>
              <w:spacing w:line="360" w:lineRule="exact"/>
              <w:jc w:val="right"/>
              <w:rPr>
                <w:kern w:val="0"/>
                <w:sz w:val="25"/>
                <w:szCs w:val="25"/>
              </w:rPr>
            </w:pPr>
            <w:r>
              <w:rPr>
                <w:rFonts w:hint="eastAsia"/>
                <w:kern w:val="0"/>
                <w:sz w:val="25"/>
                <w:szCs w:val="25"/>
              </w:rPr>
              <w:t xml:space="preserve">372,485.59 </w:t>
            </w:r>
          </w:p>
        </w:tc>
        <w:tc>
          <w:tcPr>
            <w:tcW w:w="1418" w:type="dxa"/>
            <w:noWrap/>
            <w:vAlign w:val="center"/>
          </w:tcPr>
          <w:p>
            <w:pPr>
              <w:widowControl/>
              <w:spacing w:line="360" w:lineRule="exact"/>
              <w:jc w:val="right"/>
              <w:rPr>
                <w:kern w:val="0"/>
                <w:sz w:val="25"/>
                <w:szCs w:val="25"/>
              </w:rPr>
            </w:pPr>
            <w:r>
              <w:rPr>
                <w:rFonts w:hint="eastAsia"/>
                <w:kern w:val="0"/>
                <w:sz w:val="25"/>
                <w:szCs w:val="25"/>
              </w:rPr>
              <w:t xml:space="preserve">309,580.85 </w:t>
            </w:r>
          </w:p>
        </w:tc>
        <w:tc>
          <w:tcPr>
            <w:tcW w:w="1441" w:type="dxa"/>
            <w:noWrap/>
            <w:vAlign w:val="center"/>
          </w:tcPr>
          <w:p>
            <w:pPr>
              <w:jc w:val="right"/>
              <w:rPr>
                <w:rFonts w:eastAsia="等线"/>
                <w:color w:val="000000"/>
                <w:sz w:val="25"/>
                <w:szCs w:val="25"/>
              </w:rPr>
            </w:pPr>
            <w:r>
              <w:rPr>
                <w:rFonts w:eastAsia="等线"/>
                <w:color w:val="000000"/>
                <w:sz w:val="25"/>
                <w:szCs w:val="25"/>
              </w:rPr>
              <w:t xml:space="preserve">374,775.46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w w:val="90"/>
                <w:kern w:val="0"/>
                <w:sz w:val="25"/>
                <w:szCs w:val="25"/>
              </w:rPr>
            </w:pPr>
            <w:r>
              <w:rPr>
                <w:rFonts w:hAnsi="宋体"/>
                <w:b/>
                <w:bCs/>
                <w:w w:val="90"/>
                <w:kern w:val="0"/>
                <w:sz w:val="25"/>
                <w:szCs w:val="25"/>
              </w:rPr>
              <w:t>（二）百公里客运成本（元</w:t>
            </w:r>
            <w:r>
              <w:rPr>
                <w:b/>
                <w:bCs/>
                <w:w w:val="90"/>
                <w:kern w:val="0"/>
                <w:sz w:val="25"/>
                <w:szCs w:val="25"/>
              </w:rPr>
              <w:t>/</w:t>
            </w:r>
            <w:r>
              <w:rPr>
                <w:rFonts w:hAnsi="宋体"/>
                <w:b/>
                <w:bCs/>
                <w:w w:val="90"/>
                <w:kern w:val="0"/>
                <w:sz w:val="25"/>
                <w:szCs w:val="25"/>
              </w:rPr>
              <w:t>百公里）</w:t>
            </w:r>
          </w:p>
        </w:tc>
        <w:tc>
          <w:tcPr>
            <w:tcW w:w="1346" w:type="dxa"/>
            <w:noWrap/>
            <w:vAlign w:val="center"/>
          </w:tcPr>
          <w:p>
            <w:pPr>
              <w:jc w:val="right"/>
              <w:rPr>
                <w:rFonts w:eastAsia="等线"/>
                <w:color w:val="000000"/>
                <w:sz w:val="25"/>
                <w:szCs w:val="25"/>
              </w:rPr>
            </w:pPr>
            <w:r>
              <w:rPr>
                <w:rFonts w:eastAsia="等线"/>
                <w:color w:val="000000"/>
                <w:sz w:val="25"/>
                <w:szCs w:val="25"/>
              </w:rPr>
              <w:t>689.</w:t>
            </w:r>
            <w:r>
              <w:rPr>
                <w:rFonts w:hint="eastAsia" w:eastAsia="等线"/>
                <w:color w:val="000000"/>
                <w:sz w:val="25"/>
                <w:szCs w:val="25"/>
              </w:rPr>
              <w:t>80</w:t>
            </w:r>
            <w:r>
              <w:rPr>
                <w:rFonts w:eastAsia="等线"/>
                <w:color w:val="000000"/>
                <w:sz w:val="25"/>
                <w:szCs w:val="25"/>
              </w:rPr>
              <w:t xml:space="preserve"> </w:t>
            </w:r>
          </w:p>
        </w:tc>
        <w:tc>
          <w:tcPr>
            <w:tcW w:w="1559" w:type="dxa"/>
            <w:noWrap/>
            <w:vAlign w:val="center"/>
          </w:tcPr>
          <w:p>
            <w:pPr>
              <w:jc w:val="right"/>
              <w:rPr>
                <w:rFonts w:eastAsia="等线"/>
                <w:color w:val="000000"/>
                <w:sz w:val="25"/>
                <w:szCs w:val="25"/>
              </w:rPr>
            </w:pPr>
            <w:r>
              <w:rPr>
                <w:rFonts w:hint="eastAsia" w:eastAsia="等线"/>
                <w:color w:val="000000"/>
                <w:sz w:val="25"/>
                <w:szCs w:val="25"/>
              </w:rPr>
              <w:t xml:space="preserve">607.06 </w:t>
            </w:r>
          </w:p>
        </w:tc>
        <w:tc>
          <w:tcPr>
            <w:tcW w:w="1418" w:type="dxa"/>
            <w:noWrap/>
            <w:vAlign w:val="center"/>
          </w:tcPr>
          <w:p>
            <w:pPr>
              <w:jc w:val="right"/>
              <w:rPr>
                <w:rFonts w:eastAsia="等线"/>
                <w:color w:val="000000"/>
                <w:sz w:val="25"/>
                <w:szCs w:val="25"/>
              </w:rPr>
            </w:pPr>
            <w:r>
              <w:rPr>
                <w:rFonts w:hint="eastAsia" w:eastAsia="等线"/>
                <w:color w:val="000000"/>
                <w:sz w:val="25"/>
                <w:szCs w:val="25"/>
              </w:rPr>
              <w:t xml:space="preserve">737.15 </w:t>
            </w:r>
          </w:p>
        </w:tc>
        <w:tc>
          <w:tcPr>
            <w:tcW w:w="1441" w:type="dxa"/>
            <w:noWrap/>
            <w:vAlign w:val="center"/>
          </w:tcPr>
          <w:p>
            <w:pPr>
              <w:jc w:val="right"/>
              <w:rPr>
                <w:rFonts w:eastAsia="等线"/>
                <w:color w:val="000000"/>
                <w:sz w:val="25"/>
                <w:szCs w:val="25"/>
              </w:rPr>
            </w:pPr>
            <w:r>
              <w:rPr>
                <w:rFonts w:eastAsia="等线"/>
                <w:color w:val="000000"/>
                <w:sz w:val="25"/>
                <w:szCs w:val="25"/>
              </w:rPr>
              <w:t xml:space="preserve">678.00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2" w:type="dxa"/>
            <w:noWrap/>
            <w:vAlign w:val="center"/>
          </w:tcPr>
          <w:p>
            <w:pPr>
              <w:widowControl/>
              <w:spacing w:line="360" w:lineRule="exact"/>
              <w:jc w:val="left"/>
              <w:rPr>
                <w:b/>
                <w:bCs/>
                <w:w w:val="90"/>
                <w:kern w:val="0"/>
                <w:sz w:val="25"/>
                <w:szCs w:val="25"/>
              </w:rPr>
            </w:pPr>
            <w:r>
              <w:rPr>
                <w:rFonts w:hAnsi="宋体"/>
                <w:b/>
                <w:bCs/>
                <w:w w:val="90"/>
                <w:kern w:val="0"/>
                <w:sz w:val="25"/>
                <w:szCs w:val="25"/>
              </w:rPr>
              <w:t>（三）</w:t>
            </w:r>
            <w:r>
              <w:rPr>
                <w:rFonts w:hint="eastAsia" w:hAnsi="宋体"/>
                <w:b/>
                <w:bCs/>
                <w:w w:val="90"/>
                <w:kern w:val="0"/>
                <w:sz w:val="25"/>
                <w:szCs w:val="25"/>
              </w:rPr>
              <w:t>实际</w:t>
            </w:r>
            <w:r>
              <w:rPr>
                <w:rFonts w:hAnsi="宋体"/>
                <w:b/>
                <w:bCs/>
                <w:w w:val="90"/>
                <w:kern w:val="0"/>
                <w:sz w:val="25"/>
                <w:szCs w:val="25"/>
              </w:rPr>
              <w:t>单位人次客运成本</w:t>
            </w:r>
            <w:r>
              <w:rPr>
                <w:b/>
                <w:bCs/>
                <w:w w:val="90"/>
                <w:kern w:val="0"/>
                <w:sz w:val="25"/>
                <w:szCs w:val="25"/>
              </w:rPr>
              <w:t>(</w:t>
            </w:r>
            <w:r>
              <w:rPr>
                <w:rFonts w:hAnsi="宋体"/>
                <w:b/>
                <w:bCs/>
                <w:w w:val="90"/>
                <w:kern w:val="0"/>
                <w:sz w:val="25"/>
                <w:szCs w:val="25"/>
              </w:rPr>
              <w:t>元</w:t>
            </w:r>
            <w:r>
              <w:rPr>
                <w:b/>
                <w:bCs/>
                <w:w w:val="90"/>
                <w:kern w:val="0"/>
                <w:sz w:val="25"/>
                <w:szCs w:val="25"/>
              </w:rPr>
              <w:t>/</w:t>
            </w:r>
            <w:r>
              <w:rPr>
                <w:rFonts w:hAnsi="宋体"/>
                <w:b/>
                <w:bCs/>
                <w:w w:val="90"/>
                <w:kern w:val="0"/>
                <w:sz w:val="25"/>
                <w:szCs w:val="25"/>
              </w:rPr>
              <w:t>人</w:t>
            </w:r>
            <w:r>
              <w:rPr>
                <w:b/>
                <w:bCs/>
                <w:w w:val="90"/>
                <w:kern w:val="0"/>
                <w:sz w:val="25"/>
                <w:szCs w:val="25"/>
              </w:rPr>
              <w:t>.</w:t>
            </w:r>
            <w:r>
              <w:rPr>
                <w:rFonts w:hAnsi="宋体"/>
                <w:b/>
                <w:bCs/>
                <w:w w:val="90"/>
                <w:kern w:val="0"/>
                <w:sz w:val="25"/>
                <w:szCs w:val="25"/>
              </w:rPr>
              <w:t>次</w:t>
            </w:r>
            <w:r>
              <w:rPr>
                <w:b/>
                <w:bCs/>
                <w:w w:val="90"/>
                <w:kern w:val="0"/>
                <w:sz w:val="25"/>
                <w:szCs w:val="25"/>
              </w:rPr>
              <w:t>)</w:t>
            </w:r>
          </w:p>
        </w:tc>
        <w:tc>
          <w:tcPr>
            <w:tcW w:w="1346" w:type="dxa"/>
            <w:noWrap/>
            <w:vAlign w:val="center"/>
          </w:tcPr>
          <w:p>
            <w:pPr>
              <w:jc w:val="right"/>
              <w:rPr>
                <w:rFonts w:hint="eastAsia" w:eastAsia="等线"/>
                <w:color w:val="000000"/>
                <w:sz w:val="25"/>
                <w:szCs w:val="25"/>
                <w:lang w:eastAsia="zh-CN"/>
              </w:rPr>
            </w:pPr>
            <w:r>
              <w:rPr>
                <w:rFonts w:eastAsia="等线"/>
                <w:color w:val="000000"/>
                <w:sz w:val="25"/>
                <w:szCs w:val="25"/>
              </w:rPr>
              <w:t>2.0</w:t>
            </w:r>
            <w:r>
              <w:rPr>
                <w:rFonts w:hint="eastAsia" w:eastAsia="等线"/>
                <w:color w:val="000000"/>
                <w:sz w:val="25"/>
                <w:szCs w:val="25"/>
                <w:lang w:val="en-US" w:eastAsia="zh-CN"/>
              </w:rPr>
              <w:t>6</w:t>
            </w:r>
          </w:p>
        </w:tc>
        <w:tc>
          <w:tcPr>
            <w:tcW w:w="1559" w:type="dxa"/>
            <w:noWrap/>
            <w:vAlign w:val="center"/>
          </w:tcPr>
          <w:p>
            <w:pPr>
              <w:jc w:val="right"/>
              <w:rPr>
                <w:rFonts w:eastAsia="等线"/>
                <w:color w:val="000000"/>
                <w:sz w:val="25"/>
                <w:szCs w:val="25"/>
              </w:rPr>
            </w:pPr>
            <w:r>
              <w:rPr>
                <w:rFonts w:eastAsia="等线"/>
                <w:color w:val="000000"/>
                <w:sz w:val="25"/>
                <w:szCs w:val="25"/>
              </w:rPr>
              <w:t>1.</w:t>
            </w:r>
            <w:r>
              <w:rPr>
                <w:rFonts w:hint="eastAsia" w:eastAsia="等线"/>
                <w:color w:val="000000"/>
                <w:sz w:val="25"/>
                <w:szCs w:val="25"/>
              </w:rPr>
              <w:t>75</w:t>
            </w:r>
          </w:p>
        </w:tc>
        <w:tc>
          <w:tcPr>
            <w:tcW w:w="1418" w:type="dxa"/>
            <w:noWrap/>
            <w:vAlign w:val="center"/>
          </w:tcPr>
          <w:p>
            <w:pPr>
              <w:jc w:val="right"/>
              <w:rPr>
                <w:rFonts w:eastAsia="等线"/>
                <w:color w:val="000000"/>
                <w:sz w:val="25"/>
                <w:szCs w:val="25"/>
              </w:rPr>
            </w:pPr>
            <w:r>
              <w:rPr>
                <w:rFonts w:eastAsia="等线"/>
                <w:color w:val="000000"/>
                <w:sz w:val="25"/>
                <w:szCs w:val="25"/>
              </w:rPr>
              <w:t>2.5</w:t>
            </w:r>
            <w:r>
              <w:rPr>
                <w:rFonts w:hint="eastAsia" w:eastAsia="等线"/>
                <w:color w:val="000000"/>
                <w:sz w:val="25"/>
                <w:szCs w:val="25"/>
              </w:rPr>
              <w:t>7</w:t>
            </w:r>
          </w:p>
        </w:tc>
        <w:tc>
          <w:tcPr>
            <w:tcW w:w="1441" w:type="dxa"/>
            <w:noWrap/>
            <w:vAlign w:val="center"/>
          </w:tcPr>
          <w:p>
            <w:pPr>
              <w:jc w:val="right"/>
              <w:rPr>
                <w:rFonts w:eastAsia="等线"/>
                <w:color w:val="000000"/>
                <w:sz w:val="25"/>
                <w:szCs w:val="25"/>
              </w:rPr>
            </w:pPr>
            <w:r>
              <w:rPr>
                <w:rFonts w:hint="eastAsia" w:eastAsia="等线"/>
                <w:color w:val="000000"/>
                <w:sz w:val="25"/>
                <w:szCs w:val="25"/>
              </w:rPr>
              <w:t>2.05</w:t>
            </w:r>
            <w:r>
              <w:rPr>
                <w:rFonts w:eastAsia="等线"/>
                <w:color w:val="000000"/>
                <w:sz w:val="25"/>
                <w:szCs w:val="25"/>
              </w:rPr>
              <w:t xml:space="preserve"> </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A3890"/>
    <w:multiLevelType w:val="multilevel"/>
    <w:tmpl w:val="219A3890"/>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64"/>
    <w:rsid w:val="00012743"/>
    <w:rsid w:val="000467AF"/>
    <w:rsid w:val="00063FDF"/>
    <w:rsid w:val="0007404D"/>
    <w:rsid w:val="00086EB2"/>
    <w:rsid w:val="0009115B"/>
    <w:rsid w:val="00096241"/>
    <w:rsid w:val="000B0B20"/>
    <w:rsid w:val="000C5DA1"/>
    <w:rsid w:val="000E3816"/>
    <w:rsid w:val="000E42CC"/>
    <w:rsid w:val="000F7CA3"/>
    <w:rsid w:val="00116EC6"/>
    <w:rsid w:val="001313DB"/>
    <w:rsid w:val="00135C7C"/>
    <w:rsid w:val="00180643"/>
    <w:rsid w:val="00190EE7"/>
    <w:rsid w:val="001A1B0C"/>
    <w:rsid w:val="001E4404"/>
    <w:rsid w:val="001E7AFC"/>
    <w:rsid w:val="001F6B2D"/>
    <w:rsid w:val="00236CFC"/>
    <w:rsid w:val="002700D9"/>
    <w:rsid w:val="002863EE"/>
    <w:rsid w:val="00291036"/>
    <w:rsid w:val="002946D6"/>
    <w:rsid w:val="002951C0"/>
    <w:rsid w:val="002D2C20"/>
    <w:rsid w:val="00300D66"/>
    <w:rsid w:val="00304FAD"/>
    <w:rsid w:val="003232C4"/>
    <w:rsid w:val="00327C3B"/>
    <w:rsid w:val="00332B79"/>
    <w:rsid w:val="003855B7"/>
    <w:rsid w:val="003909ED"/>
    <w:rsid w:val="003921DE"/>
    <w:rsid w:val="00392E7D"/>
    <w:rsid w:val="003B060B"/>
    <w:rsid w:val="003B2522"/>
    <w:rsid w:val="003D767F"/>
    <w:rsid w:val="00420B55"/>
    <w:rsid w:val="00443883"/>
    <w:rsid w:val="00464395"/>
    <w:rsid w:val="00481438"/>
    <w:rsid w:val="0049026D"/>
    <w:rsid w:val="004A3C9A"/>
    <w:rsid w:val="004B60DA"/>
    <w:rsid w:val="004D6491"/>
    <w:rsid w:val="00507704"/>
    <w:rsid w:val="00530D5D"/>
    <w:rsid w:val="00545D7F"/>
    <w:rsid w:val="00586E9A"/>
    <w:rsid w:val="005871A2"/>
    <w:rsid w:val="005A48D3"/>
    <w:rsid w:val="005D0E63"/>
    <w:rsid w:val="005D3121"/>
    <w:rsid w:val="005E2057"/>
    <w:rsid w:val="00612426"/>
    <w:rsid w:val="006133A4"/>
    <w:rsid w:val="00641D1D"/>
    <w:rsid w:val="00657499"/>
    <w:rsid w:val="006B003A"/>
    <w:rsid w:val="006B7ACA"/>
    <w:rsid w:val="006F585E"/>
    <w:rsid w:val="00704BA4"/>
    <w:rsid w:val="00715D5E"/>
    <w:rsid w:val="00757E83"/>
    <w:rsid w:val="00785EC0"/>
    <w:rsid w:val="0079775E"/>
    <w:rsid w:val="007A1546"/>
    <w:rsid w:val="007C4DEE"/>
    <w:rsid w:val="007F3658"/>
    <w:rsid w:val="00801283"/>
    <w:rsid w:val="00802A34"/>
    <w:rsid w:val="00820A14"/>
    <w:rsid w:val="00837A8B"/>
    <w:rsid w:val="008656EE"/>
    <w:rsid w:val="008B71A8"/>
    <w:rsid w:val="008C0601"/>
    <w:rsid w:val="008C1CC1"/>
    <w:rsid w:val="008E357E"/>
    <w:rsid w:val="008F0EB8"/>
    <w:rsid w:val="00912016"/>
    <w:rsid w:val="00963364"/>
    <w:rsid w:val="00976B75"/>
    <w:rsid w:val="009B35CB"/>
    <w:rsid w:val="00A01666"/>
    <w:rsid w:val="00A64827"/>
    <w:rsid w:val="00A66691"/>
    <w:rsid w:val="00A70DD6"/>
    <w:rsid w:val="00A8715D"/>
    <w:rsid w:val="00A92D13"/>
    <w:rsid w:val="00AA00A1"/>
    <w:rsid w:val="00AB066B"/>
    <w:rsid w:val="00AC10D9"/>
    <w:rsid w:val="00AD6477"/>
    <w:rsid w:val="00AF0F33"/>
    <w:rsid w:val="00AF1A1B"/>
    <w:rsid w:val="00B12EBE"/>
    <w:rsid w:val="00B12EFB"/>
    <w:rsid w:val="00B22F66"/>
    <w:rsid w:val="00B25F36"/>
    <w:rsid w:val="00BB1469"/>
    <w:rsid w:val="00BB57DA"/>
    <w:rsid w:val="00BB5AFA"/>
    <w:rsid w:val="00BB772C"/>
    <w:rsid w:val="00C21378"/>
    <w:rsid w:val="00C640EB"/>
    <w:rsid w:val="00C81B9E"/>
    <w:rsid w:val="00CA1772"/>
    <w:rsid w:val="00CB5492"/>
    <w:rsid w:val="00CE37B3"/>
    <w:rsid w:val="00D002F4"/>
    <w:rsid w:val="00D169AC"/>
    <w:rsid w:val="00D266BA"/>
    <w:rsid w:val="00D414C1"/>
    <w:rsid w:val="00D62CB7"/>
    <w:rsid w:val="00D67C14"/>
    <w:rsid w:val="00D807B8"/>
    <w:rsid w:val="00D8468A"/>
    <w:rsid w:val="00D9171C"/>
    <w:rsid w:val="00DB17F0"/>
    <w:rsid w:val="00DD3038"/>
    <w:rsid w:val="00DD3736"/>
    <w:rsid w:val="00DE376E"/>
    <w:rsid w:val="00E94051"/>
    <w:rsid w:val="00EA214A"/>
    <w:rsid w:val="00EA563C"/>
    <w:rsid w:val="00EB59B1"/>
    <w:rsid w:val="00EC5738"/>
    <w:rsid w:val="00ED1117"/>
    <w:rsid w:val="00ED244D"/>
    <w:rsid w:val="00ED6055"/>
    <w:rsid w:val="00F24888"/>
    <w:rsid w:val="00F80976"/>
    <w:rsid w:val="00F86916"/>
    <w:rsid w:val="00FA50E8"/>
    <w:rsid w:val="00FB5183"/>
    <w:rsid w:val="00FB7CE9"/>
    <w:rsid w:val="00FE1E50"/>
    <w:rsid w:val="00FF52F9"/>
    <w:rsid w:val="0D1A6B88"/>
    <w:rsid w:val="22446485"/>
    <w:rsid w:val="28C52793"/>
    <w:rsid w:val="3907335C"/>
    <w:rsid w:val="41905DDF"/>
    <w:rsid w:val="4A775D46"/>
    <w:rsid w:val="521577D0"/>
    <w:rsid w:val="540B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570" w:lineRule="exact"/>
      <w:ind w:firstLine="200" w:firstLineChars="200"/>
    </w:pPr>
    <w:rPr>
      <w:rFonts w:eastAsia="宋体"/>
      <w:sz w:val="28"/>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方正仿宋_GBK" w:cs="Times New Roman"/>
      <w:kern w:val="2"/>
      <w:sz w:val="18"/>
      <w:szCs w:val="18"/>
    </w:rPr>
  </w:style>
  <w:style w:type="character" w:customStyle="1" w:styleId="8">
    <w:name w:val="页脚 Char"/>
    <w:basedOn w:val="6"/>
    <w:link w:val="3"/>
    <w:qFormat/>
    <w:uiPriority w:val="0"/>
    <w:rPr>
      <w:rFonts w:ascii="Times New Roman" w:hAnsi="Times New Roman" w:eastAsia="方正仿宋_GBK"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2691</Words>
  <Characters>3477</Characters>
  <Lines>29</Lines>
  <Paragraphs>8</Paragraphs>
  <TotalTime>1</TotalTime>
  <ScaleCrop>false</ScaleCrop>
  <LinksUpToDate>false</LinksUpToDate>
  <CharactersWithSpaces>3827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2022-02-10T08:57:00Z</dcterms:created>
  <dc:creator>Administrator</dc:creator>
  <cp:lastModifiedBy>两个不出头</cp:lastModifiedBy>
  <cp:lastPrinted>2022-02-10T01:35:00Z</cp:lastPrinted>
  <dcterms:modified xsi:type="dcterms:W3CDTF">2022-03-28T02:45:50Z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4A15DA637ECD47AAA88CCFEEC750F431</vt:lpwstr>
  </property>
</Properties>
</file>