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hAnsi="宋体" w:eastAsia="方正小标宋_GBK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b/>
          <w:bCs/>
          <w:color w:val="auto"/>
          <w:sz w:val="36"/>
          <w:szCs w:val="36"/>
        </w:rPr>
        <w:t>2.</w:t>
      </w:r>
      <w:r>
        <w:rPr>
          <w:rFonts w:hint="eastAsia" w:ascii="方正小标宋_GBK" w:hAnsi="宋体" w:eastAsia="方正小标宋_GBK"/>
          <w:b/>
          <w:bCs/>
          <w:color w:val="auto"/>
          <w:sz w:val="36"/>
          <w:szCs w:val="36"/>
          <w:lang w:eastAsia="zh-CN"/>
        </w:rPr>
        <w:t>竞拍招租</w:t>
      </w:r>
      <w:r>
        <w:rPr>
          <w:rFonts w:hint="eastAsia" w:ascii="方正小标宋_GBK" w:hAnsi="宋体" w:eastAsia="方正小标宋_GBK"/>
          <w:b/>
          <w:bCs/>
          <w:color w:val="auto"/>
          <w:sz w:val="36"/>
          <w:szCs w:val="36"/>
        </w:rPr>
        <w:t>人须知</w:t>
      </w:r>
    </w:p>
    <w:p>
      <w:pPr>
        <w:adjustRightInd w:val="0"/>
        <w:snapToGrid w:val="0"/>
        <w:jc w:val="left"/>
        <w:rPr>
          <w:rFonts w:hint="eastAsia" w:ascii="方正仿宋_GBK" w:hAnsi="宋体" w:eastAsia="方正仿宋_GBK"/>
          <w:bCs/>
          <w:color w:val="auto"/>
          <w:sz w:val="28"/>
          <w:szCs w:val="28"/>
        </w:rPr>
      </w:pPr>
    </w:p>
    <w:tbl>
      <w:tblPr>
        <w:tblStyle w:val="3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7674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项号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2" w:leftChars="-3" w:hanging="8" w:hangingChars="3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信息及数据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1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" w:leftChars="-3" w:hanging="8" w:hangingChars="3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名称：</w:t>
            </w:r>
            <w:r>
              <w:rPr>
                <w:rFonts w:hint="eastAsia" w:ascii="方正仿宋_GBK" w:hAnsi="宋体" w:eastAsia="方正仿宋_GBK" w:cs="Times New Roman"/>
                <w:color w:val="auto"/>
                <w:sz w:val="28"/>
                <w:szCs w:val="28"/>
                <w:u w:val="single"/>
                <w:lang w:eastAsia="zh-CN"/>
              </w:rPr>
              <w:t>金桥镇原综合文化站（马头桥）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2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" w:leftChars="-3" w:hanging="8" w:hangingChars="3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地点：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>金桥镇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eastAsia="zh-CN"/>
              </w:rPr>
              <w:t>马头桥村先锋社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3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出租范围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位于</w:t>
            </w:r>
            <w:r>
              <w:rPr>
                <w:rFonts w:hint="eastAsia" w:ascii="方正仿宋_GBK" w:hAnsi="宋体" w:eastAsia="方正仿宋_GBK" w:cs="Times New Roman"/>
                <w:color w:val="auto"/>
                <w:sz w:val="28"/>
                <w:szCs w:val="28"/>
                <w:lang w:eastAsia="zh-CN"/>
              </w:rPr>
              <w:t>金桥镇马头桥村先锋社金桥镇综合文化站，</w:t>
            </w:r>
            <w:r>
              <w:rPr>
                <w:rFonts w:hint="eastAsia" w:ascii="方正仿宋_GBK" w:hAnsi="宋体" w:eastAsia="方正仿宋_GBK" w:cs="Times New Roman"/>
                <w:color w:val="auto"/>
                <w:sz w:val="28"/>
                <w:szCs w:val="28"/>
                <w:lang w:val="en-US" w:eastAsia="zh-CN"/>
              </w:rPr>
              <w:t>砖混结构，共1层，层高约3.3米，建筑面积570.04平方米</w:t>
            </w:r>
            <w:r>
              <w:rPr>
                <w:rFonts w:hint="eastAsia" w:ascii="方正仿宋_GBK" w:hAnsi="宋体" w:eastAsia="方正仿宋_GBK" w:cs="Times New Roman"/>
                <w:color w:val="auto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" w:leftChars="-3" w:hanging="8" w:hangingChars="3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招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方式：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竞拍招租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" w:leftChars="-3" w:hanging="8" w:hangingChars="3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招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范围：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u w:val="single"/>
                <w:lang w:eastAsia="zh-CN"/>
              </w:rPr>
              <w:t>具有良好信誉并具有竞拍意愿的企业法人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u w:val="single"/>
              </w:rPr>
              <w:t>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" w:leftChars="-3" w:hanging="8" w:hangingChars="3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资格审查方式：资格预审。审查项目：有效的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>企业法人营业执照、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eastAsia="zh-CN"/>
              </w:rPr>
              <w:t>相关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>许可证、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eastAsia="zh-CN"/>
              </w:rPr>
              <w:t>企业法人身份证复印件、委托人身份证原价及复印件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>外地来渝企业须提供入渝备案证明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）。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" w:leftChars="-3" w:hanging="8" w:hangingChars="3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担保要求：无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" w:leftChars="-3" w:hanging="8" w:hangingChars="3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出租底价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: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2.18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>万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元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/年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" w:leftChars="-3" w:hanging="8" w:hangingChars="3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有效期：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>2021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11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日下午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 xml:space="preserve"> 14时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前。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1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" w:leftChars="-3" w:hanging="8" w:hangingChars="3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担保：每个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必须在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>2021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11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日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>1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7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点前提交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保证金。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" w:leftChars="-3" w:hanging="8" w:hangingChars="3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金额：人民币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eastAsia="zh-CN"/>
              </w:rPr>
              <w:t>伍仟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元（￥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5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>000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元）。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" w:leftChars="-3" w:hanging="8" w:hangingChars="3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形式：转帐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收款单位：重庆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新田旅游开发有限公司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帐号：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0803010120010001650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开户银行：重庆农商行万盛支行金桥分理处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default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联系人：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杨冰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 xml:space="preserve">      电话：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48335326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1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" w:leftChars="-3" w:hanging="8" w:hangingChars="3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资料份数：共2份（注明正本一份，副本一份）,要求牛皮纸档案袋密封并加盖单位印章。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日程安排：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>2021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10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21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-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11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日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>09-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17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时在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>金桥镇文化服务中心办公室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领取标书，</w:t>
            </w:r>
            <w:r>
              <w:rPr>
                <w:rFonts w:hint="eastAsia" w:ascii="方正仿宋_GBK" w:hAnsi="宋体" w:eastAsia="方正仿宋_GBK"/>
                <w:bCs/>
                <w:color w:val="auto"/>
                <w:sz w:val="28"/>
                <w:szCs w:val="28"/>
                <w:u w:val="single"/>
              </w:rPr>
              <w:t>2021</w:t>
            </w:r>
            <w:r>
              <w:rPr>
                <w:rFonts w:hint="eastAsia" w:ascii="方正仿宋_GBK" w:hAnsi="宋体" w:eastAsia="方正仿宋_GBK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方正仿宋_GBK" w:hAnsi="宋体" w:eastAsia="方正仿宋_GBK"/>
                <w:bCs/>
                <w:color w:val="auto"/>
                <w:sz w:val="28"/>
                <w:szCs w:val="28"/>
                <w:u w:val="single"/>
                <w:lang w:val="en-US" w:eastAsia="zh-CN"/>
              </w:rPr>
              <w:t>11</w:t>
            </w:r>
            <w:r>
              <w:rPr>
                <w:rFonts w:hint="eastAsia" w:ascii="方正仿宋_GBK" w:hAnsi="宋体" w:eastAsia="方正仿宋_GBK"/>
                <w:bCs/>
                <w:color w:val="auto"/>
                <w:sz w:val="28"/>
                <w:szCs w:val="28"/>
              </w:rPr>
              <w:t xml:space="preserve"> 月</w:t>
            </w:r>
            <w:r>
              <w:rPr>
                <w:rFonts w:hint="eastAsia" w:ascii="方正仿宋_GBK" w:hAnsi="宋体" w:eastAsia="方正仿宋_GBK"/>
                <w:bCs/>
                <w:color w:val="auto"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/>
                <w:bCs/>
                <w:color w:val="auto"/>
                <w:sz w:val="28"/>
                <w:szCs w:val="28"/>
              </w:rPr>
              <w:t>日</w:t>
            </w:r>
            <w:r>
              <w:rPr>
                <w:rFonts w:hint="eastAsia" w:ascii="方正仿宋_GBK" w:hAnsi="宋体" w:eastAsia="方正仿宋_GBK"/>
                <w:bCs/>
                <w:color w:val="auto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方正仿宋_GBK" w:hAnsi="宋体" w:eastAsia="方正仿宋_GBK"/>
                <w:bCs/>
                <w:color w:val="auto"/>
                <w:sz w:val="28"/>
                <w:szCs w:val="28"/>
              </w:rPr>
              <w:t>午</w:t>
            </w:r>
            <w:r>
              <w:rPr>
                <w:rFonts w:hint="eastAsia" w:ascii="方正仿宋_GBK" w:hAnsi="宋体" w:eastAsia="方正仿宋_GBK"/>
                <w:bCs/>
                <w:color w:val="auto"/>
                <w:sz w:val="28"/>
                <w:szCs w:val="28"/>
                <w:u w:val="single"/>
                <w:lang w:val="en-US" w:eastAsia="zh-CN"/>
              </w:rPr>
              <w:t>14</w:t>
            </w:r>
            <w:r>
              <w:rPr>
                <w:rFonts w:hint="eastAsia" w:ascii="方正仿宋_GBK" w:hAnsi="宋体" w:eastAsia="方正仿宋_GBK"/>
                <w:bCs/>
                <w:color w:val="auto"/>
                <w:sz w:val="28"/>
                <w:szCs w:val="28"/>
                <w:u w:val="single"/>
              </w:rPr>
              <w:t>：00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组织现场踏勘。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>2021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11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日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>1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7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时前向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竞拍招租人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递交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保证金。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>2021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11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4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日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14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时前将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资料密封送达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金桥镇金灵庙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1号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，开标时间以具体通知时间为准。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238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开标顺序:随机抽取，全部开完。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240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中标原则和方法：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最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价中标。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第一名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放弃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则第二名中标，第二名弃标则第三名中标，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以此类推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如最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价有两家或两家以上单位相同，由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公司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招标委员会根据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单位资质、业绩、信誉、担保等研究决定中标者或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进行二次竞拍，出价高者竞标。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240"/>
              <w:jc w:val="center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签约时间:中标后公示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  <w:lang w:val="en-US" w:eastAsia="zh-CN"/>
              </w:rPr>
              <w:t>5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>个工作日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，公示期满后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u w:val="single"/>
              </w:rPr>
              <w:t>5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日内签约,过时作弃标处理。弃标者不退还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保证金。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在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竞拍招租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过程中所发生的一切费用，包括交通、食宿、安全、资料等，不论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人中标与否，均由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人自行承担。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4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竞拍招租人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将按前表第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项规定的时间和地点组织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对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现场和周围环境进行考察，以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便竞拍人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获取有关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准备和签署合同所需的资料。无论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是否考察过现场，均被认为在递交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资料之前已考察过现场，对本合同项目的风险和义务十分了解，并在其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文件中充分考虑了现场和环境条件。其考察现场食宿、交通、安全、费用等，均由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自行负责。如果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认为需要，可在获得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竞拍招租人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的允许后再次进入现场考察，由此产生的一切费用均由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自行承担。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参加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竞拍招租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会议的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的法定代表人或其委托代理人应随身带本人身份证。法定代表人应出示法人证书，委托代理人还须出示身份证、授权委托书，以证明其身份，否则不予参加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竞拍招租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 xml:space="preserve">会。 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的法定代表人或其委托代理人未能参加开标会的，应事先书面通知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竞拍招租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人，并视为该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将默认本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的开标结果。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法定代表人为同一人的两个及两以上法人、母公司、全资子公司及其控股公司不得在同一项目中同时参加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竞拍招租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必须按照诚实信用的原则，如实提供材料。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弄虚作假或采取围标、串标等非法手段骗取中标的，一经查实，1、取消中标资格。2、合同已经签定，部分履行，造成严重后果的追究相关责任人行政、经济、法律责任。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评标委员会认定有下列情况之一者，均视为未响应本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竞拍招租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文件而作为废标处理：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64" w:line="400" w:lineRule="exact"/>
              <w:ind w:right="98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（1）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文件没有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竞拍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法定代表人或授权代理人按规定签字盖章并加盖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竞拍人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公章的；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64" w:line="400" w:lineRule="exact"/>
              <w:ind w:right="98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文件未按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竞拍招租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文件规定的格式和要求填写，内容不全或者关键内容字迹模糊、无法辨认的；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64" w:line="400" w:lineRule="exact"/>
              <w:ind w:right="98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竞拍人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同时提交两份或者多份内容不同的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文件，或者在同一份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文件中对同一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竞拍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内容报有两个或者多个报价的；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64" w:line="400" w:lineRule="exact"/>
              <w:ind w:right="98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）有效报价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低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于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竞拍招租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人设定的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出租底价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64" w:line="400" w:lineRule="exact"/>
              <w:ind w:right="98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文件附有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竞拍招租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人不能接受的条件的；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64" w:line="400" w:lineRule="exact"/>
              <w:ind w:right="98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文件未按竞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拍招租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文件规定装订、密封的；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64" w:line="400" w:lineRule="exact"/>
              <w:ind w:right="98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）串通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竞租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或弄虚作假或有其他违法行为的；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64" w:line="400" w:lineRule="exact"/>
              <w:ind w:right="98"/>
              <w:textAlignment w:val="auto"/>
              <w:rPr>
                <w:rFonts w:hint="eastAsia" w:ascii="方正仿宋_GBK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）不按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竞拍招租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要求澄清、说明或补正的；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  <w:lang w:eastAsia="zh-CN"/>
              </w:rPr>
              <w:t>竞拍招租</w:t>
            </w:r>
            <w:r>
              <w:rPr>
                <w:rFonts w:hint="eastAsia" w:ascii="方正仿宋_GBK" w:eastAsia="方正仿宋_GBK"/>
                <w:color w:val="auto"/>
                <w:sz w:val="28"/>
                <w:szCs w:val="28"/>
              </w:rPr>
              <w:t>文件规定的其他废标条件的。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78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7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0" w:hanging="280" w:hangingChars="100"/>
              <w:textAlignment w:val="auto"/>
              <w:rPr>
                <w:rFonts w:hint="default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 xml:space="preserve">联系人： 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杨冰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 xml:space="preserve">  联系电话： 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val="en-US" w:eastAsia="zh-CN"/>
              </w:rPr>
              <w:t>18290477069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竞拍招租人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  <w:t>：</w:t>
            </w:r>
            <w:r>
              <w:rPr>
                <w:rFonts w:hint="eastAsia" w:ascii="方正仿宋_GBK" w:hAnsi="宋体" w:eastAsia="方正仿宋_GBK"/>
                <w:color w:val="auto"/>
                <w:sz w:val="28"/>
                <w:szCs w:val="28"/>
                <w:lang w:eastAsia="zh-CN"/>
              </w:rPr>
              <w:t>重庆新田旅游开发有限公司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方正仿宋_GBK" w:hAnsi="宋体" w:eastAsia="方正仿宋_GBK"/>
                <w:color w:val="auto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方正小标宋_GBK" w:eastAsia="方正小标宋_GBK"/>
          <w:color w:val="auto"/>
          <w:sz w:val="36"/>
          <w:szCs w:val="36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5F6F0A"/>
    <w:multiLevelType w:val="singleLevel"/>
    <w:tmpl w:val="525F6F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jhlYmI1MzgyYWY1MDg5NWFkZDRiMGJlYTIyMjAifQ=="/>
  </w:docVars>
  <w:rsids>
    <w:rsidRoot w:val="00000000"/>
    <w:rsid w:val="106C4EAB"/>
    <w:rsid w:val="29A02EDA"/>
    <w:rsid w:val="7199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2004-01-13T16:17:00Z</dcterms:created>
  <dc:creator>Administrator</dc:creator>
  <cp:lastModifiedBy>A        Mr.Song</cp:lastModifiedBy>
  <dcterms:modified xsi:type="dcterms:W3CDTF">2022-09-27T02:30:20Z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BEE4FFA368534B52AD4F15BC1D167D22</vt:lpwstr>
  </property>
</Properties>
</file>