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方正小标宋_GBK" w:hAnsi="方正小标宋_GBK" w:eastAsia="方正小标宋_GBK" w:cs="方正小标宋_GBK"/>
          <w:color w:val="000000"/>
          <w:sz w:val="44"/>
          <w:szCs w:val="44"/>
        </w:rPr>
      </w:pPr>
      <w:r>
        <w:rPr>
          <w:rFonts w:ascii="方正黑体_GBK" w:hAnsi="方正黑体_GBK" w:eastAsia="方正黑体_GBK" w:cs="方正黑体_GBK"/>
          <w:color w:val="000000"/>
        </w:rPr>
        <w:t>附件1</w:t>
      </w:r>
    </w:p>
    <w:p>
      <w:pPr>
        <w:spacing w:line="594" w:lineRule="exact"/>
        <w:jc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t>2018年全区收入执行表</w:t>
      </w:r>
    </w:p>
    <w:p>
      <w:pPr>
        <w:spacing w:line="594" w:lineRule="exact"/>
        <w:jc w:val="right"/>
        <w:rPr>
          <w:rFonts w:cs="方正仿宋_GBK"/>
          <w:color w:val="000000"/>
          <w:szCs w:val="32"/>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5525"/>
        <w:gridCol w:w="2126"/>
        <w:gridCol w:w="1223"/>
      </w:tblGrid>
      <w:tr>
        <w:tblPrEx>
          <w:tblCellMar>
            <w:top w:w="15" w:type="dxa"/>
            <w:left w:w="15" w:type="dxa"/>
            <w:bottom w:w="15" w:type="dxa"/>
            <w:right w:w="15" w:type="dxa"/>
          </w:tblCellMar>
        </w:tblPrEx>
        <w:trPr>
          <w:trHeight w:val="454"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黑体" w:hAnsi="宋体" w:eastAsia="黑体" w:cs="黑体"/>
                <w:color w:val="000000"/>
                <w:sz w:val="28"/>
                <w:szCs w:val="28"/>
              </w:rPr>
            </w:pPr>
            <w:r>
              <w:rPr>
                <w:rFonts w:ascii="黑体" w:hAnsi="宋体" w:eastAsia="黑体" w:cs="黑体"/>
                <w:color w:val="000000"/>
                <w:sz w:val="28"/>
                <w:szCs w:val="28"/>
                <w:lang w:bidi="ar"/>
              </w:rPr>
              <w:t>收    入</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黑体" w:hAnsi="宋体" w:eastAsia="黑体" w:cs="黑体"/>
                <w:color w:val="000000"/>
                <w:sz w:val="28"/>
                <w:szCs w:val="28"/>
              </w:rPr>
            </w:pPr>
            <w:r>
              <w:rPr>
                <w:rFonts w:ascii="黑体" w:hAnsi="宋体" w:eastAsia="黑体" w:cs="黑体"/>
                <w:color w:val="000000"/>
                <w:sz w:val="28"/>
                <w:szCs w:val="28"/>
                <w:lang w:bidi="ar"/>
              </w:rPr>
              <w:t>执行数</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黑体" w:hAnsi="宋体" w:eastAsia="黑体" w:cs="黑体"/>
                <w:color w:val="000000"/>
                <w:sz w:val="28"/>
                <w:szCs w:val="28"/>
              </w:rPr>
            </w:pPr>
            <w:r>
              <w:rPr>
                <w:rFonts w:ascii="黑体" w:hAnsi="宋体" w:eastAsia="黑体" w:cs="黑体"/>
                <w:color w:val="000000"/>
                <w:sz w:val="28"/>
                <w:szCs w:val="28"/>
                <w:lang w:bidi="ar"/>
              </w:rPr>
              <w:t>增长%</w:t>
            </w:r>
          </w:p>
        </w:tc>
      </w:tr>
      <w:tr>
        <w:tblPrEx>
          <w:tblCellMar>
            <w:top w:w="15" w:type="dxa"/>
            <w:left w:w="15" w:type="dxa"/>
            <w:bottom w:w="15" w:type="dxa"/>
            <w:right w:w="15" w:type="dxa"/>
          </w:tblCellMar>
        </w:tblPrEx>
        <w:trPr>
          <w:trHeight w:val="454"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bCs/>
                <w:color w:val="000000"/>
                <w:sz w:val="28"/>
                <w:szCs w:val="28"/>
              </w:rPr>
            </w:pPr>
            <w:r>
              <w:rPr>
                <w:rFonts w:ascii="方正黑体_GBK" w:hAnsi="方正黑体_GBK" w:eastAsia="方正黑体_GBK" w:cs="方正黑体_GBK"/>
                <w:bCs/>
                <w:color w:val="000000"/>
                <w:sz w:val="28"/>
                <w:szCs w:val="28"/>
                <w:lang w:bidi="ar"/>
              </w:rPr>
              <w:t>一、一般公共预算收入</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bCs/>
                <w:color w:val="000000"/>
                <w:sz w:val="28"/>
                <w:szCs w:val="28"/>
              </w:rPr>
            </w:pPr>
            <w:r>
              <w:rPr>
                <w:rFonts w:ascii="方正黑体_GBK" w:hAnsi="方正黑体_GBK" w:eastAsia="方正黑体_GBK" w:cs="方正黑体_GBK"/>
                <w:bCs/>
                <w:color w:val="000000"/>
                <w:sz w:val="28"/>
                <w:szCs w:val="28"/>
                <w:lang w:bidi="ar"/>
              </w:rPr>
              <w:t xml:space="preserve">120161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bCs/>
                <w:color w:val="000000"/>
                <w:sz w:val="28"/>
                <w:szCs w:val="28"/>
              </w:rPr>
            </w:pPr>
            <w:r>
              <w:rPr>
                <w:rFonts w:ascii="方正黑体_GBK" w:hAnsi="方正黑体_GBK" w:eastAsia="方正黑体_GBK" w:cs="方正黑体_GBK"/>
                <w:bCs/>
                <w:color w:val="000000"/>
                <w:sz w:val="28"/>
                <w:szCs w:val="28"/>
                <w:lang w:bidi="ar"/>
              </w:rPr>
              <w:t xml:space="preserve">-4.1 </w:t>
            </w:r>
          </w:p>
        </w:tc>
      </w:tr>
      <w:tr>
        <w:tblPrEx>
          <w:tblCellMar>
            <w:top w:w="15" w:type="dxa"/>
            <w:left w:w="15" w:type="dxa"/>
            <w:bottom w:w="15" w:type="dxa"/>
            <w:right w:w="15" w:type="dxa"/>
          </w:tblCellMar>
        </w:tblPrEx>
        <w:trPr>
          <w:trHeight w:val="454"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bCs/>
                <w:color w:val="000000"/>
                <w:sz w:val="28"/>
                <w:szCs w:val="28"/>
              </w:rPr>
            </w:pPr>
            <w:r>
              <w:rPr>
                <w:rFonts w:ascii="方正黑体_GBK" w:hAnsi="方正黑体_GBK" w:eastAsia="方正黑体_GBK" w:cs="方正黑体_GBK"/>
                <w:bCs/>
                <w:color w:val="000000"/>
                <w:sz w:val="28"/>
                <w:szCs w:val="28"/>
                <w:lang w:bidi="ar"/>
              </w:rPr>
              <w:t xml:space="preserve">    税收收入</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bCs/>
                <w:color w:val="000000"/>
                <w:sz w:val="28"/>
                <w:szCs w:val="28"/>
              </w:rPr>
            </w:pPr>
            <w:r>
              <w:rPr>
                <w:rFonts w:ascii="方正黑体_GBK" w:hAnsi="方正黑体_GBK" w:eastAsia="方正黑体_GBK" w:cs="方正黑体_GBK"/>
                <w:bCs/>
                <w:color w:val="000000"/>
                <w:sz w:val="28"/>
                <w:szCs w:val="28"/>
                <w:lang w:bidi="ar"/>
              </w:rPr>
              <w:t xml:space="preserve">87148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bCs/>
                <w:color w:val="000000"/>
                <w:sz w:val="28"/>
                <w:szCs w:val="28"/>
              </w:rPr>
            </w:pPr>
            <w:r>
              <w:rPr>
                <w:rFonts w:ascii="方正黑体_GBK" w:hAnsi="方正黑体_GBK" w:eastAsia="方正黑体_GBK" w:cs="方正黑体_GBK"/>
                <w:bCs/>
                <w:color w:val="000000"/>
                <w:sz w:val="28"/>
                <w:szCs w:val="28"/>
                <w:lang w:bidi="ar"/>
              </w:rPr>
              <w:t xml:space="preserve">8.4 </w:t>
            </w:r>
          </w:p>
        </w:tc>
      </w:tr>
      <w:tr>
        <w:tblPrEx>
          <w:tblCellMar>
            <w:top w:w="15" w:type="dxa"/>
            <w:left w:w="15" w:type="dxa"/>
            <w:bottom w:w="15" w:type="dxa"/>
            <w:right w:w="15" w:type="dxa"/>
          </w:tblCellMar>
        </w:tblPrEx>
        <w:trPr>
          <w:trHeight w:val="454"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      增值税</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27074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7.2 </w:t>
            </w:r>
          </w:p>
        </w:tc>
      </w:tr>
      <w:tr>
        <w:tblPrEx>
          <w:tblCellMar>
            <w:top w:w="15" w:type="dxa"/>
            <w:left w:w="15" w:type="dxa"/>
            <w:bottom w:w="15" w:type="dxa"/>
            <w:right w:w="15" w:type="dxa"/>
          </w:tblCellMar>
        </w:tblPrEx>
        <w:trPr>
          <w:trHeight w:val="454"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      企业所得税</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10546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36.8 </w:t>
            </w:r>
          </w:p>
        </w:tc>
      </w:tr>
      <w:tr>
        <w:tblPrEx>
          <w:tblCellMar>
            <w:top w:w="15" w:type="dxa"/>
            <w:left w:w="15" w:type="dxa"/>
            <w:bottom w:w="15" w:type="dxa"/>
            <w:right w:w="15" w:type="dxa"/>
          </w:tblCellMar>
        </w:tblPrEx>
        <w:trPr>
          <w:trHeight w:val="454"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      个人所得税</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2503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26.4 </w:t>
            </w:r>
          </w:p>
        </w:tc>
      </w:tr>
      <w:tr>
        <w:tblPrEx>
          <w:tblCellMar>
            <w:top w:w="15" w:type="dxa"/>
            <w:left w:w="15" w:type="dxa"/>
            <w:bottom w:w="15" w:type="dxa"/>
            <w:right w:w="15" w:type="dxa"/>
          </w:tblCellMar>
        </w:tblPrEx>
        <w:trPr>
          <w:trHeight w:val="454"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      资源税</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3113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19.4 </w:t>
            </w:r>
          </w:p>
        </w:tc>
      </w:tr>
      <w:tr>
        <w:tblPrEx>
          <w:tblCellMar>
            <w:top w:w="15" w:type="dxa"/>
            <w:left w:w="15" w:type="dxa"/>
            <w:bottom w:w="15" w:type="dxa"/>
            <w:right w:w="15" w:type="dxa"/>
          </w:tblCellMar>
        </w:tblPrEx>
        <w:trPr>
          <w:trHeight w:val="454"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      城市维护建设税</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6686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19.5 </w:t>
            </w:r>
          </w:p>
        </w:tc>
      </w:tr>
      <w:tr>
        <w:tblPrEx>
          <w:tblCellMar>
            <w:top w:w="15" w:type="dxa"/>
            <w:left w:w="15" w:type="dxa"/>
            <w:bottom w:w="15" w:type="dxa"/>
            <w:right w:w="15" w:type="dxa"/>
          </w:tblCellMar>
        </w:tblPrEx>
        <w:trPr>
          <w:trHeight w:val="454"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      房产税</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4029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7.5 </w:t>
            </w:r>
          </w:p>
        </w:tc>
      </w:tr>
      <w:tr>
        <w:tblPrEx>
          <w:tblCellMar>
            <w:top w:w="15" w:type="dxa"/>
            <w:left w:w="15" w:type="dxa"/>
            <w:bottom w:w="15" w:type="dxa"/>
            <w:right w:w="15" w:type="dxa"/>
          </w:tblCellMar>
        </w:tblPrEx>
        <w:trPr>
          <w:trHeight w:val="454"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      印花税</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2580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124.5 </w:t>
            </w:r>
          </w:p>
        </w:tc>
      </w:tr>
      <w:tr>
        <w:tblPrEx>
          <w:tblCellMar>
            <w:top w:w="15" w:type="dxa"/>
            <w:left w:w="15" w:type="dxa"/>
            <w:bottom w:w="15" w:type="dxa"/>
            <w:right w:w="15" w:type="dxa"/>
          </w:tblCellMar>
        </w:tblPrEx>
        <w:trPr>
          <w:trHeight w:val="454"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      城镇土地使用税</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11708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-2.7 </w:t>
            </w:r>
          </w:p>
        </w:tc>
      </w:tr>
      <w:tr>
        <w:tblPrEx>
          <w:tblCellMar>
            <w:top w:w="15" w:type="dxa"/>
            <w:left w:w="15" w:type="dxa"/>
            <w:bottom w:w="15" w:type="dxa"/>
            <w:right w:w="15" w:type="dxa"/>
          </w:tblCellMar>
        </w:tblPrEx>
        <w:trPr>
          <w:trHeight w:val="454"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      土地增值税</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4164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26.3 </w:t>
            </w:r>
          </w:p>
        </w:tc>
      </w:tr>
      <w:tr>
        <w:tblPrEx>
          <w:tblCellMar>
            <w:top w:w="15" w:type="dxa"/>
            <w:left w:w="15" w:type="dxa"/>
            <w:bottom w:w="15" w:type="dxa"/>
            <w:right w:w="15" w:type="dxa"/>
          </w:tblCellMar>
        </w:tblPrEx>
        <w:trPr>
          <w:trHeight w:val="454"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      车船税</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bCs/>
                <w:color w:val="000000"/>
                <w:sz w:val="28"/>
                <w:szCs w:val="28"/>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w:t>
            </w:r>
            <w:r>
              <w:rPr>
                <w:rStyle w:val="9"/>
                <w:rFonts w:hint="default" w:ascii="Times New Roman" w:hAnsi="Times New Roman" w:eastAsia="方正仿宋_GBK" w:cs="Times New Roman"/>
                <w:bCs/>
                <w:sz w:val="28"/>
                <w:szCs w:val="28"/>
                <w:lang w:bidi="ar"/>
              </w:rPr>
              <w:t>0</w:t>
            </w:r>
          </w:p>
        </w:tc>
      </w:tr>
      <w:tr>
        <w:tblPrEx>
          <w:tblCellMar>
            <w:top w:w="15" w:type="dxa"/>
            <w:left w:w="15" w:type="dxa"/>
            <w:bottom w:w="15" w:type="dxa"/>
            <w:right w:w="15" w:type="dxa"/>
          </w:tblCellMar>
        </w:tblPrEx>
        <w:trPr>
          <w:trHeight w:val="454"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      耕地占用税</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3252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-57.3 </w:t>
            </w:r>
          </w:p>
        </w:tc>
      </w:tr>
      <w:tr>
        <w:tblPrEx>
          <w:tblCellMar>
            <w:top w:w="15" w:type="dxa"/>
            <w:left w:w="15" w:type="dxa"/>
            <w:bottom w:w="15" w:type="dxa"/>
            <w:right w:w="15" w:type="dxa"/>
          </w:tblCellMar>
        </w:tblPrEx>
        <w:trPr>
          <w:trHeight w:val="454"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      契税</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11021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16.9 </w:t>
            </w:r>
          </w:p>
        </w:tc>
      </w:tr>
      <w:tr>
        <w:tblPrEx>
          <w:tblCellMar>
            <w:top w:w="15" w:type="dxa"/>
            <w:left w:w="15" w:type="dxa"/>
            <w:bottom w:w="15" w:type="dxa"/>
            <w:right w:w="15" w:type="dxa"/>
          </w:tblCellMar>
        </w:tblPrEx>
        <w:trPr>
          <w:trHeight w:val="454"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      烟叶税</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bCs/>
                <w:color w:val="000000"/>
                <w:sz w:val="28"/>
                <w:szCs w:val="28"/>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w:t>
            </w:r>
            <w:r>
              <w:rPr>
                <w:rStyle w:val="9"/>
                <w:rFonts w:hint="default" w:ascii="Times New Roman" w:hAnsi="Times New Roman" w:eastAsia="方正仿宋_GBK" w:cs="Times New Roman"/>
                <w:bCs/>
                <w:sz w:val="28"/>
                <w:szCs w:val="28"/>
                <w:lang w:bidi="ar"/>
              </w:rPr>
              <w:t>0</w:t>
            </w:r>
          </w:p>
        </w:tc>
      </w:tr>
      <w:tr>
        <w:tblPrEx>
          <w:tblCellMar>
            <w:top w:w="15" w:type="dxa"/>
            <w:left w:w="15" w:type="dxa"/>
            <w:bottom w:w="15" w:type="dxa"/>
            <w:right w:w="15" w:type="dxa"/>
          </w:tblCellMar>
        </w:tblPrEx>
        <w:trPr>
          <w:trHeight w:val="454"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      环境保护税</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472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w:t>
            </w:r>
            <w:r>
              <w:rPr>
                <w:rStyle w:val="9"/>
                <w:rFonts w:hint="default" w:ascii="Times New Roman" w:hAnsi="Times New Roman" w:eastAsia="方正仿宋_GBK" w:cs="Times New Roman"/>
                <w:bCs/>
                <w:sz w:val="28"/>
                <w:szCs w:val="28"/>
                <w:lang w:bidi="ar"/>
              </w:rPr>
              <w:t>0</w:t>
            </w:r>
          </w:p>
        </w:tc>
      </w:tr>
      <w:tr>
        <w:tblPrEx>
          <w:tblCellMar>
            <w:top w:w="15" w:type="dxa"/>
            <w:left w:w="15" w:type="dxa"/>
            <w:bottom w:w="15" w:type="dxa"/>
            <w:right w:w="15" w:type="dxa"/>
          </w:tblCellMar>
        </w:tblPrEx>
        <w:trPr>
          <w:trHeight w:val="454"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bCs/>
                <w:color w:val="000000"/>
                <w:sz w:val="28"/>
                <w:szCs w:val="28"/>
              </w:rPr>
            </w:pPr>
            <w:r>
              <w:rPr>
                <w:rFonts w:ascii="方正黑体_GBK" w:hAnsi="方正黑体_GBK" w:eastAsia="方正黑体_GBK" w:cs="方正黑体_GBK"/>
                <w:bCs/>
                <w:color w:val="000000"/>
                <w:sz w:val="28"/>
                <w:szCs w:val="28"/>
                <w:lang w:bidi="ar"/>
              </w:rPr>
              <w:t xml:space="preserve">    非税收入</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bCs/>
                <w:color w:val="000000"/>
                <w:sz w:val="28"/>
                <w:szCs w:val="28"/>
              </w:rPr>
            </w:pPr>
            <w:r>
              <w:rPr>
                <w:rFonts w:ascii="方正黑体_GBK" w:hAnsi="方正黑体_GBK" w:eastAsia="方正黑体_GBK" w:cs="方正黑体_GBK"/>
                <w:bCs/>
                <w:color w:val="000000"/>
                <w:sz w:val="28"/>
                <w:szCs w:val="28"/>
                <w:lang w:bidi="ar"/>
              </w:rPr>
              <w:t xml:space="preserve">33013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bCs/>
                <w:color w:val="000000"/>
                <w:sz w:val="28"/>
                <w:szCs w:val="28"/>
              </w:rPr>
            </w:pPr>
            <w:r>
              <w:rPr>
                <w:rFonts w:ascii="方正黑体_GBK" w:hAnsi="方正黑体_GBK" w:eastAsia="方正黑体_GBK" w:cs="方正黑体_GBK"/>
                <w:bCs/>
                <w:color w:val="000000"/>
                <w:sz w:val="28"/>
                <w:szCs w:val="28"/>
                <w:lang w:bidi="ar"/>
              </w:rPr>
              <w:t xml:space="preserve">-26.5 </w:t>
            </w:r>
          </w:p>
        </w:tc>
      </w:tr>
      <w:tr>
        <w:tblPrEx>
          <w:tblCellMar>
            <w:top w:w="15" w:type="dxa"/>
            <w:left w:w="15" w:type="dxa"/>
            <w:bottom w:w="15" w:type="dxa"/>
            <w:right w:w="15" w:type="dxa"/>
          </w:tblCellMar>
        </w:tblPrEx>
        <w:trPr>
          <w:trHeight w:val="454"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bCs/>
                <w:color w:val="000000"/>
                <w:sz w:val="28"/>
                <w:szCs w:val="28"/>
              </w:rPr>
            </w:pPr>
            <w:r>
              <w:rPr>
                <w:rFonts w:ascii="方正黑体_GBK" w:hAnsi="方正黑体_GBK" w:eastAsia="方正黑体_GBK" w:cs="方正黑体_GBK"/>
                <w:bCs/>
                <w:color w:val="000000"/>
                <w:sz w:val="28"/>
                <w:szCs w:val="28"/>
                <w:lang w:bidi="ar"/>
              </w:rPr>
              <w:t>二、政府性基金预算收入</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bCs/>
                <w:color w:val="000000"/>
                <w:sz w:val="28"/>
                <w:szCs w:val="28"/>
              </w:rPr>
            </w:pPr>
            <w:r>
              <w:rPr>
                <w:rFonts w:ascii="方正黑体_GBK" w:hAnsi="方正黑体_GBK" w:eastAsia="方正黑体_GBK" w:cs="方正黑体_GBK"/>
                <w:bCs/>
                <w:color w:val="000000"/>
                <w:sz w:val="28"/>
                <w:szCs w:val="28"/>
                <w:lang w:bidi="ar"/>
              </w:rPr>
              <w:t xml:space="preserve">30000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bCs/>
                <w:color w:val="000000"/>
                <w:sz w:val="28"/>
                <w:szCs w:val="28"/>
              </w:rPr>
            </w:pPr>
            <w:r>
              <w:rPr>
                <w:rFonts w:ascii="方正黑体_GBK" w:hAnsi="方正黑体_GBK" w:eastAsia="方正黑体_GBK" w:cs="方正黑体_GBK"/>
                <w:bCs/>
                <w:color w:val="000000"/>
                <w:sz w:val="28"/>
                <w:szCs w:val="28"/>
                <w:lang w:bidi="ar"/>
              </w:rPr>
              <w:t xml:space="preserve">25.7 </w:t>
            </w:r>
          </w:p>
        </w:tc>
      </w:tr>
      <w:tr>
        <w:tblPrEx>
          <w:tblCellMar>
            <w:top w:w="15" w:type="dxa"/>
            <w:left w:w="15" w:type="dxa"/>
            <w:bottom w:w="15" w:type="dxa"/>
            <w:right w:w="15" w:type="dxa"/>
          </w:tblCellMar>
        </w:tblPrEx>
        <w:trPr>
          <w:trHeight w:val="454"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      其中:国有土地使用权出让收入</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20568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bCs/>
                <w:color w:val="000000"/>
                <w:sz w:val="28"/>
                <w:szCs w:val="28"/>
              </w:rPr>
            </w:pPr>
            <w:r>
              <w:rPr>
                <w:rFonts w:hint="default" w:ascii="Times New Roman" w:hAnsi="Times New Roman"/>
                <w:bCs/>
                <w:color w:val="000000"/>
                <w:sz w:val="28"/>
                <w:szCs w:val="28"/>
                <w:lang w:bidi="ar"/>
              </w:rPr>
              <w:t xml:space="preserve">-11.4 </w:t>
            </w:r>
          </w:p>
        </w:tc>
      </w:tr>
      <w:tr>
        <w:tblPrEx>
          <w:tblCellMar>
            <w:top w:w="15" w:type="dxa"/>
            <w:left w:w="15" w:type="dxa"/>
            <w:bottom w:w="15" w:type="dxa"/>
            <w:right w:w="15" w:type="dxa"/>
          </w:tblCellMar>
        </w:tblPrEx>
        <w:trPr>
          <w:trHeight w:val="454"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bCs/>
                <w:color w:val="000000"/>
                <w:sz w:val="28"/>
                <w:szCs w:val="28"/>
              </w:rPr>
            </w:pPr>
            <w:r>
              <w:rPr>
                <w:rFonts w:ascii="方正黑体_GBK" w:hAnsi="方正黑体_GBK" w:eastAsia="方正黑体_GBK" w:cs="方正黑体_GBK"/>
                <w:bCs/>
                <w:color w:val="000000"/>
                <w:sz w:val="28"/>
                <w:szCs w:val="28"/>
                <w:lang w:bidi="ar"/>
              </w:rPr>
              <w:t>三、国有资本经营预算收入</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bCs/>
                <w:color w:val="000000"/>
                <w:sz w:val="28"/>
                <w:szCs w:val="28"/>
              </w:rPr>
            </w:pPr>
            <w:r>
              <w:rPr>
                <w:rFonts w:ascii="方正黑体_GBK" w:hAnsi="方正黑体_GBK" w:eastAsia="方正黑体_GBK" w:cs="方正黑体_GBK"/>
                <w:bCs/>
                <w:color w:val="000000"/>
                <w:sz w:val="28"/>
                <w:szCs w:val="28"/>
                <w:lang w:bidi="ar"/>
              </w:rPr>
              <w:t xml:space="preserve">5500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bCs/>
                <w:color w:val="000000"/>
                <w:sz w:val="28"/>
                <w:szCs w:val="28"/>
              </w:rPr>
            </w:pPr>
            <w:r>
              <w:rPr>
                <w:rFonts w:ascii="方正黑体_GBK" w:hAnsi="方正黑体_GBK" w:eastAsia="方正黑体_GBK" w:cs="方正黑体_GBK"/>
                <w:bCs/>
                <w:color w:val="000000"/>
                <w:sz w:val="28"/>
                <w:szCs w:val="28"/>
                <w:lang w:bidi="ar"/>
              </w:rPr>
              <w:t xml:space="preserve">-72.6 </w:t>
            </w:r>
          </w:p>
        </w:tc>
      </w:tr>
    </w:tbl>
    <w:p>
      <w:pPr>
        <w:spacing w:line="360" w:lineRule="exact"/>
        <w:rPr>
          <w:rFonts w:ascii="Times New Roman" w:hAnsi="Times New Roman"/>
          <w:color w:val="000000"/>
          <w:sz w:val="28"/>
          <w:szCs w:val="28"/>
        </w:rPr>
      </w:pPr>
      <w:r>
        <w:rPr>
          <w:rFonts w:hint="default" w:ascii="Times New Roman" w:hAnsi="Times New Roman"/>
          <w:color w:val="000000"/>
          <w:sz w:val="28"/>
          <w:szCs w:val="28"/>
        </w:rPr>
        <w:t>注：</w:t>
      </w:r>
      <w:r>
        <w:rPr>
          <w:rFonts w:ascii="Times New Roman" w:hAnsi="Times New Roman"/>
          <w:color w:val="000000"/>
          <w:sz w:val="28"/>
          <w:szCs w:val="28"/>
        </w:rPr>
        <w:t>环境保护税于2018年开征，无历史可比数据。</w:t>
      </w:r>
    </w:p>
    <w:p>
      <w:pPr>
        <w:spacing w:line="594" w:lineRule="exact"/>
        <w:rPr>
          <w:rFonts w:ascii="方正小标宋_GBK" w:hAnsi="方正小标宋_GBK" w:eastAsia="方正小标宋_GBK" w:cs="方正小标宋_GBK"/>
          <w:color w:val="000000"/>
          <w:sz w:val="44"/>
          <w:szCs w:val="44"/>
        </w:rPr>
      </w:pPr>
      <w:r>
        <w:rPr>
          <w:rFonts w:hint="default" w:ascii="Times New Roman" w:hAnsi="Times New Roman"/>
          <w:color w:val="000000"/>
          <w:sz w:val="28"/>
          <w:szCs w:val="28"/>
        </w:rPr>
        <w:br w:type="page"/>
      </w:r>
      <w:r>
        <w:rPr>
          <w:rFonts w:ascii="方正黑体_GBK" w:hAnsi="方正黑体_GBK" w:eastAsia="方正黑体_GBK" w:cs="方正黑体_GBK"/>
          <w:color w:val="000000"/>
        </w:rPr>
        <w:t>附件2</w:t>
      </w:r>
    </w:p>
    <w:p>
      <w:pPr>
        <w:spacing w:line="594" w:lineRule="exact"/>
        <w:jc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t>2018年全区支出执行表</w:t>
      </w:r>
    </w:p>
    <w:p>
      <w:pPr>
        <w:spacing w:line="594" w:lineRule="exact"/>
        <w:jc w:val="right"/>
        <w:rPr>
          <w:rFonts w:ascii="方正小标宋_GBK" w:hAnsi="方正小标宋_GBK" w:eastAsia="方正小标宋_GBK" w:cs="方正小标宋_GBK"/>
          <w:color w:val="000000"/>
          <w:sz w:val="44"/>
          <w:szCs w:val="44"/>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5525"/>
        <w:gridCol w:w="2126"/>
        <w:gridCol w:w="1223"/>
      </w:tblGrid>
      <w:tr>
        <w:tblPrEx>
          <w:tblCellMar>
            <w:top w:w="15" w:type="dxa"/>
            <w:left w:w="15" w:type="dxa"/>
            <w:bottom w:w="15" w:type="dxa"/>
            <w:right w:w="15" w:type="dxa"/>
          </w:tblCellMar>
        </w:tblPrEx>
        <w:trPr>
          <w:trHeight w:val="425" w:hRule="exact"/>
          <w:tblHeader/>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支    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执行数</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增长%</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一、一般公共预算支出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290203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1.8 </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Style w:val="10"/>
                <w:rFonts w:hint="default" w:ascii="Times New Roman" w:hAnsi="Times New Roman" w:eastAsia="方正仿宋_GBK" w:cs="Times New Roman"/>
                <w:sz w:val="28"/>
                <w:szCs w:val="28"/>
                <w:lang w:bidi="ar"/>
              </w:rPr>
              <w:t xml:space="preserve">   </w:t>
            </w:r>
            <w:r>
              <w:rPr>
                <w:rFonts w:hint="default" w:ascii="Times New Roman" w:hAnsi="Times New Roman"/>
                <w:color w:val="000000"/>
                <w:sz w:val="28"/>
                <w:szCs w:val="28"/>
                <w:lang w:bidi="ar"/>
              </w:rPr>
              <w:t xml:space="preserve"> 一般公共服务支出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30662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11.0 </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Style w:val="10"/>
                <w:rFonts w:hint="default" w:ascii="Times New Roman" w:hAnsi="Times New Roman" w:eastAsia="方正仿宋_GBK" w:cs="Times New Roman"/>
                <w:sz w:val="28"/>
                <w:szCs w:val="28"/>
                <w:lang w:bidi="ar"/>
              </w:rPr>
              <w:t xml:space="preserve">   </w:t>
            </w:r>
            <w:r>
              <w:rPr>
                <w:rFonts w:hint="default" w:ascii="Times New Roman" w:hAnsi="Times New Roman"/>
                <w:color w:val="000000"/>
                <w:sz w:val="28"/>
                <w:szCs w:val="28"/>
                <w:lang w:bidi="ar"/>
              </w:rPr>
              <w:t xml:space="preserve"> 国防支出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106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-91.2 </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Style w:val="10"/>
                <w:rFonts w:hint="default" w:ascii="Times New Roman" w:hAnsi="Times New Roman" w:eastAsia="方正仿宋_GBK" w:cs="Times New Roman"/>
                <w:sz w:val="28"/>
                <w:szCs w:val="28"/>
                <w:lang w:bidi="ar"/>
              </w:rPr>
              <w:t xml:space="preserve">   </w:t>
            </w:r>
            <w:r>
              <w:rPr>
                <w:rFonts w:hint="default" w:ascii="Times New Roman" w:hAnsi="Times New Roman"/>
                <w:color w:val="000000"/>
                <w:sz w:val="28"/>
                <w:szCs w:val="28"/>
                <w:lang w:bidi="ar"/>
              </w:rPr>
              <w:t xml:space="preserve"> 公共安全支出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16718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-13.5 </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Style w:val="10"/>
                <w:rFonts w:hint="default" w:ascii="Times New Roman" w:hAnsi="Times New Roman" w:eastAsia="方正仿宋_GBK" w:cs="Times New Roman"/>
                <w:sz w:val="28"/>
                <w:szCs w:val="28"/>
                <w:lang w:bidi="ar"/>
              </w:rPr>
              <w:t xml:space="preserve">   </w:t>
            </w:r>
            <w:r>
              <w:rPr>
                <w:rFonts w:hint="default" w:ascii="Times New Roman" w:hAnsi="Times New Roman"/>
                <w:color w:val="000000"/>
                <w:sz w:val="28"/>
                <w:szCs w:val="28"/>
                <w:lang w:bidi="ar"/>
              </w:rPr>
              <w:t xml:space="preserve"> 教育支出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46144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3.9 </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Style w:val="10"/>
                <w:rFonts w:hint="default" w:ascii="Times New Roman" w:hAnsi="Times New Roman" w:eastAsia="方正仿宋_GBK" w:cs="Times New Roman"/>
                <w:sz w:val="28"/>
                <w:szCs w:val="28"/>
                <w:lang w:bidi="ar"/>
              </w:rPr>
              <w:t xml:space="preserve">   </w:t>
            </w:r>
            <w:r>
              <w:rPr>
                <w:rFonts w:hint="default" w:ascii="Times New Roman" w:hAnsi="Times New Roman"/>
                <w:color w:val="000000"/>
                <w:sz w:val="28"/>
                <w:szCs w:val="28"/>
                <w:lang w:bidi="ar"/>
              </w:rPr>
              <w:t xml:space="preserve"> 科学技术支出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1254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 </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Style w:val="10"/>
                <w:rFonts w:hint="default" w:ascii="Times New Roman" w:hAnsi="Times New Roman" w:eastAsia="方正仿宋_GBK" w:cs="Times New Roman"/>
                <w:sz w:val="28"/>
                <w:szCs w:val="28"/>
                <w:lang w:bidi="ar"/>
              </w:rPr>
              <w:t xml:space="preserve">   </w:t>
            </w:r>
            <w:r>
              <w:rPr>
                <w:rFonts w:hint="default" w:ascii="Times New Roman" w:hAnsi="Times New Roman"/>
                <w:color w:val="000000"/>
                <w:sz w:val="28"/>
                <w:szCs w:val="28"/>
                <w:lang w:bidi="ar"/>
              </w:rPr>
              <w:t xml:space="preserve"> 文化体育与传媒支出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4909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 </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Style w:val="10"/>
                <w:rFonts w:hint="default" w:ascii="Times New Roman" w:hAnsi="Times New Roman" w:eastAsia="方正仿宋_GBK" w:cs="Times New Roman"/>
                <w:sz w:val="28"/>
                <w:szCs w:val="28"/>
                <w:lang w:bidi="ar"/>
              </w:rPr>
              <w:t xml:space="preserve">   </w:t>
            </w:r>
            <w:r>
              <w:rPr>
                <w:rFonts w:hint="default" w:ascii="Times New Roman" w:hAnsi="Times New Roman"/>
                <w:color w:val="000000"/>
                <w:sz w:val="28"/>
                <w:szCs w:val="28"/>
                <w:lang w:bidi="ar"/>
              </w:rPr>
              <w:t xml:space="preserve"> 社会保障和就业支出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38258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 </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Style w:val="10"/>
                <w:rFonts w:hint="default" w:ascii="Times New Roman" w:hAnsi="Times New Roman" w:eastAsia="方正仿宋_GBK" w:cs="Times New Roman"/>
                <w:sz w:val="28"/>
                <w:szCs w:val="28"/>
                <w:lang w:bidi="ar"/>
              </w:rPr>
              <w:t xml:space="preserve">  </w:t>
            </w:r>
            <w:r>
              <w:rPr>
                <w:rFonts w:hint="default" w:ascii="Times New Roman" w:hAnsi="Times New Roman"/>
                <w:color w:val="000000"/>
                <w:sz w:val="28"/>
                <w:szCs w:val="28"/>
                <w:lang w:bidi="ar"/>
              </w:rPr>
              <w:t xml:space="preserve">  医疗卫生与计划生育支出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31389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14.9 </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Style w:val="10"/>
                <w:rFonts w:hint="default" w:ascii="Times New Roman" w:hAnsi="Times New Roman" w:eastAsia="方正仿宋_GBK" w:cs="Times New Roman"/>
                <w:sz w:val="28"/>
                <w:szCs w:val="28"/>
                <w:lang w:bidi="ar"/>
              </w:rPr>
              <w:t xml:space="preserve">   </w:t>
            </w:r>
            <w:r>
              <w:rPr>
                <w:rFonts w:hint="default" w:ascii="Times New Roman" w:hAnsi="Times New Roman"/>
                <w:color w:val="000000"/>
                <w:sz w:val="28"/>
                <w:szCs w:val="28"/>
                <w:lang w:bidi="ar"/>
              </w:rPr>
              <w:t xml:space="preserve"> 节能环保支出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14321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 </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Style w:val="10"/>
                <w:rFonts w:hint="default" w:ascii="Times New Roman" w:hAnsi="Times New Roman" w:eastAsia="方正仿宋_GBK" w:cs="Times New Roman"/>
                <w:sz w:val="28"/>
                <w:szCs w:val="28"/>
                <w:lang w:bidi="ar"/>
              </w:rPr>
              <w:t xml:space="preserve">  </w:t>
            </w:r>
            <w:r>
              <w:rPr>
                <w:rFonts w:hint="default" w:ascii="Times New Roman" w:hAnsi="Times New Roman"/>
                <w:color w:val="000000"/>
                <w:sz w:val="28"/>
                <w:szCs w:val="28"/>
                <w:lang w:bidi="ar"/>
              </w:rPr>
              <w:t xml:space="preserve">  城乡社区支出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15708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-27.9 </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Style w:val="10"/>
                <w:rFonts w:hint="default" w:ascii="Times New Roman" w:hAnsi="Times New Roman" w:eastAsia="方正仿宋_GBK" w:cs="Times New Roman"/>
                <w:sz w:val="28"/>
                <w:szCs w:val="28"/>
                <w:lang w:bidi="ar"/>
              </w:rPr>
              <w:t xml:space="preserve">  </w:t>
            </w:r>
            <w:r>
              <w:rPr>
                <w:rFonts w:hint="default" w:ascii="Times New Roman" w:hAnsi="Times New Roman"/>
                <w:color w:val="000000"/>
                <w:sz w:val="28"/>
                <w:szCs w:val="28"/>
                <w:lang w:bidi="ar"/>
              </w:rPr>
              <w:t xml:space="preserve">  农林水支出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22589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0.2 </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Style w:val="10"/>
                <w:rFonts w:hint="default" w:ascii="Times New Roman" w:hAnsi="Times New Roman" w:eastAsia="方正仿宋_GBK" w:cs="Times New Roman"/>
                <w:sz w:val="28"/>
                <w:szCs w:val="28"/>
                <w:lang w:bidi="ar"/>
              </w:rPr>
              <w:t xml:space="preserve">   </w:t>
            </w:r>
            <w:r>
              <w:rPr>
                <w:rFonts w:hint="default" w:ascii="Times New Roman" w:hAnsi="Times New Roman"/>
                <w:color w:val="000000"/>
                <w:sz w:val="28"/>
                <w:szCs w:val="28"/>
                <w:lang w:bidi="ar"/>
              </w:rPr>
              <w:t xml:space="preserve"> 交通运输支出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19321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-15.2 </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Style w:val="10"/>
                <w:rFonts w:hint="default" w:ascii="Times New Roman" w:hAnsi="Times New Roman" w:eastAsia="方正仿宋_GBK" w:cs="Times New Roman"/>
                <w:sz w:val="28"/>
                <w:szCs w:val="28"/>
                <w:lang w:bidi="ar"/>
              </w:rPr>
              <w:t xml:space="preserve">  </w:t>
            </w:r>
            <w:r>
              <w:rPr>
                <w:rFonts w:hint="default" w:ascii="Times New Roman" w:hAnsi="Times New Roman"/>
                <w:color w:val="000000"/>
                <w:sz w:val="28"/>
                <w:szCs w:val="28"/>
                <w:lang w:bidi="ar"/>
              </w:rPr>
              <w:t xml:space="preserve">  资源勘探信息等支出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15664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97.1 </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Style w:val="10"/>
                <w:rFonts w:hint="default" w:ascii="Times New Roman" w:hAnsi="Times New Roman" w:eastAsia="方正仿宋_GBK" w:cs="Times New Roman"/>
                <w:sz w:val="28"/>
                <w:szCs w:val="28"/>
                <w:lang w:bidi="ar"/>
              </w:rPr>
              <w:t xml:space="preserve">   </w:t>
            </w:r>
            <w:r>
              <w:rPr>
                <w:rFonts w:hint="default" w:ascii="Times New Roman" w:hAnsi="Times New Roman"/>
                <w:color w:val="000000"/>
                <w:sz w:val="28"/>
                <w:szCs w:val="28"/>
                <w:lang w:bidi="ar"/>
              </w:rPr>
              <w:t xml:space="preserve"> 商业服务业等支出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2817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-64.7 </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Style w:val="10"/>
                <w:rFonts w:hint="default" w:ascii="Times New Roman" w:hAnsi="Times New Roman" w:eastAsia="方正仿宋_GBK" w:cs="Times New Roman"/>
                <w:sz w:val="28"/>
                <w:szCs w:val="28"/>
                <w:lang w:bidi="ar"/>
              </w:rPr>
              <w:t xml:space="preserve">   </w:t>
            </w:r>
            <w:r>
              <w:rPr>
                <w:rFonts w:hint="default" w:ascii="Times New Roman" w:hAnsi="Times New Roman"/>
                <w:color w:val="000000"/>
                <w:sz w:val="28"/>
                <w:szCs w:val="28"/>
                <w:lang w:bidi="ar"/>
              </w:rPr>
              <w:t xml:space="preserve"> 国土海洋气象等支出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3281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-65.7 </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Style w:val="10"/>
                <w:rFonts w:hint="default" w:ascii="Times New Roman" w:hAnsi="Times New Roman" w:eastAsia="方正仿宋_GBK" w:cs="Times New Roman"/>
                <w:sz w:val="28"/>
                <w:szCs w:val="28"/>
                <w:lang w:bidi="ar"/>
              </w:rPr>
              <w:t xml:space="preserve">   </w:t>
            </w:r>
            <w:r>
              <w:rPr>
                <w:rFonts w:hint="default" w:ascii="Times New Roman" w:hAnsi="Times New Roman"/>
                <w:color w:val="000000"/>
                <w:sz w:val="28"/>
                <w:szCs w:val="28"/>
                <w:lang w:bidi="ar"/>
              </w:rPr>
              <w:t xml:space="preserve"> 住房保障支出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17263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72.8 </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Style w:val="10"/>
                <w:rFonts w:hint="default" w:ascii="Times New Roman" w:hAnsi="Times New Roman" w:eastAsia="方正仿宋_GBK" w:cs="Times New Roman"/>
                <w:sz w:val="28"/>
                <w:szCs w:val="28"/>
                <w:lang w:bidi="ar"/>
              </w:rPr>
              <w:t xml:space="preserve">   </w:t>
            </w:r>
            <w:r>
              <w:rPr>
                <w:rFonts w:hint="default" w:ascii="Times New Roman" w:hAnsi="Times New Roman"/>
                <w:color w:val="000000"/>
                <w:sz w:val="28"/>
                <w:szCs w:val="28"/>
                <w:lang w:bidi="ar"/>
              </w:rPr>
              <w:t xml:space="preserve"> 粮油物资储备支出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-99.3 </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Style w:val="10"/>
                <w:rFonts w:hint="default" w:ascii="Times New Roman" w:hAnsi="Times New Roman" w:eastAsia="方正仿宋_GBK" w:cs="Times New Roman"/>
                <w:sz w:val="28"/>
                <w:szCs w:val="28"/>
                <w:lang w:bidi="ar"/>
              </w:rPr>
              <w:t xml:space="preserve">   </w:t>
            </w:r>
            <w:r>
              <w:rPr>
                <w:rFonts w:hint="default" w:ascii="Times New Roman" w:hAnsi="Times New Roman"/>
                <w:color w:val="000000"/>
                <w:sz w:val="28"/>
                <w:szCs w:val="28"/>
                <w:lang w:bidi="ar"/>
              </w:rPr>
              <w:t xml:space="preserve"> 其他支出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3333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5455.0 </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Style w:val="10"/>
                <w:rFonts w:hint="default" w:ascii="Times New Roman" w:hAnsi="Times New Roman" w:eastAsia="方正仿宋_GBK" w:cs="Times New Roman"/>
                <w:sz w:val="28"/>
                <w:szCs w:val="28"/>
                <w:lang w:bidi="ar"/>
              </w:rPr>
              <w:t xml:space="preserve">   </w:t>
            </w:r>
            <w:r>
              <w:rPr>
                <w:rFonts w:hint="default" w:ascii="Times New Roman" w:hAnsi="Times New Roman"/>
                <w:color w:val="000000"/>
                <w:sz w:val="28"/>
                <w:szCs w:val="28"/>
                <w:lang w:bidi="ar"/>
              </w:rPr>
              <w:t xml:space="preserve"> 债务付息支出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6463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66.0 </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Style w:val="10"/>
                <w:rFonts w:hint="default" w:ascii="Times New Roman" w:hAnsi="Times New Roman" w:eastAsia="方正仿宋_GBK" w:cs="Times New Roman"/>
                <w:sz w:val="28"/>
                <w:szCs w:val="28"/>
                <w:lang w:bidi="ar"/>
              </w:rPr>
              <w:t xml:space="preserve">   </w:t>
            </w:r>
            <w:r>
              <w:rPr>
                <w:rFonts w:hint="default" w:ascii="Times New Roman" w:hAnsi="Times New Roman"/>
                <w:color w:val="000000"/>
                <w:sz w:val="28"/>
                <w:szCs w:val="28"/>
                <w:lang w:bidi="ar"/>
              </w:rPr>
              <w:t xml:space="preserve"> 债务发行费支出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Style w:val="10"/>
                <w:rFonts w:hint="default" w:ascii="Times New Roman" w:hAnsi="Times New Roman" w:eastAsia="方正仿宋_GBK" w:cs="Times New Roman"/>
                <w:sz w:val="28"/>
                <w:szCs w:val="28"/>
                <w:lang w:bidi="ar"/>
              </w:rPr>
              <w:t>—</w:t>
            </w:r>
            <w:r>
              <w:rPr>
                <w:rFonts w:hint="default" w:ascii="Times New Roman" w:hAnsi="Times New Roman"/>
                <w:color w:val="FFFFFF"/>
                <w:sz w:val="28"/>
                <w:szCs w:val="28"/>
                <w:lang w:bidi="ar"/>
              </w:rPr>
              <w:t>0</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二、政府性基金预算支出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hint="default" w:ascii="方正黑体_GBK" w:hAnsi="方正黑体_GBK" w:eastAsia="方正黑体_GBK" w:cs="方正黑体_GBK"/>
                <w:color w:val="000000"/>
                <w:sz w:val="28"/>
                <w:szCs w:val="28"/>
                <w:lang w:bidi="ar"/>
              </w:rPr>
              <w:t>66213</w:t>
            </w:r>
            <w:r>
              <w:rPr>
                <w:rFonts w:ascii="方正黑体_GBK" w:hAnsi="方正黑体_GBK" w:eastAsia="方正黑体_GBK" w:cs="方正黑体_GBK"/>
                <w:color w:val="000000"/>
                <w:sz w:val="28"/>
                <w:szCs w:val="28"/>
                <w:lang w:bidi="ar"/>
              </w:rPr>
              <w:t xml:space="preserve">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hint="default" w:ascii="方正黑体_GBK" w:hAnsi="方正黑体_GBK" w:eastAsia="方正黑体_GBK" w:cs="方正黑体_GBK"/>
                <w:color w:val="000000"/>
                <w:sz w:val="28"/>
                <w:szCs w:val="28"/>
                <w:lang w:bidi="ar"/>
              </w:rPr>
              <w:t>185.5</w:t>
            </w:r>
            <w:r>
              <w:rPr>
                <w:rFonts w:ascii="方正黑体_GBK" w:hAnsi="方正黑体_GBK" w:eastAsia="方正黑体_GBK" w:cs="方正黑体_GBK"/>
                <w:color w:val="000000"/>
                <w:sz w:val="28"/>
                <w:szCs w:val="28"/>
                <w:lang w:bidi="ar"/>
              </w:rPr>
              <w:t xml:space="preserve"> </w:t>
            </w:r>
          </w:p>
        </w:tc>
      </w:tr>
      <w:tr>
        <w:tblPrEx>
          <w:tblCellMar>
            <w:top w:w="15" w:type="dxa"/>
            <w:left w:w="15" w:type="dxa"/>
            <w:bottom w:w="15" w:type="dxa"/>
            <w:right w:w="15" w:type="dxa"/>
          </w:tblCellMar>
        </w:tblPrEx>
        <w:trPr>
          <w:trHeight w:val="425" w:hRule="exact"/>
        </w:trPr>
        <w:tc>
          <w:tcPr>
            <w:tcW w:w="5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三、国有资本经营预算支出</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24242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34.2 </w:t>
            </w:r>
          </w:p>
        </w:tc>
      </w:tr>
    </w:tbl>
    <w:p>
      <w:pPr>
        <w:spacing w:line="594" w:lineRule="exact"/>
        <w:rPr>
          <w:rFonts w:ascii="方正小标宋_GBK" w:hAnsi="方正小标宋_GBK" w:eastAsia="方正小标宋_GBK" w:cs="方正小标宋_GBK"/>
          <w:color w:val="000000"/>
          <w:sz w:val="44"/>
          <w:szCs w:val="44"/>
        </w:rPr>
      </w:pPr>
      <w:r>
        <w:rPr>
          <w:rFonts w:ascii="方正黑体_GBK" w:hAnsi="方正黑体_GBK" w:eastAsia="方正黑体_GBK" w:cs="方正黑体_GBK"/>
          <w:color w:val="000000"/>
        </w:rPr>
        <w:t>附件3</w:t>
      </w:r>
    </w:p>
    <w:p>
      <w:pPr>
        <w:spacing w:line="594" w:lineRule="exact"/>
        <w:jc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t>2018年区级一般公共预算收支执行表</w:t>
      </w:r>
    </w:p>
    <w:p>
      <w:pPr>
        <w:spacing w:line="594" w:lineRule="exact"/>
        <w:jc w:val="right"/>
        <w:rPr>
          <w:rFonts w:ascii="方正小标宋_GBK" w:hAnsi="方正小标宋_GBK" w:eastAsia="方正小标宋_GBK" w:cs="方正小标宋_GBK"/>
          <w:color w:val="000000"/>
          <w:sz w:val="44"/>
          <w:szCs w:val="44"/>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3664"/>
        <w:gridCol w:w="1133"/>
        <w:gridCol w:w="959"/>
        <w:gridCol w:w="959"/>
        <w:gridCol w:w="960"/>
        <w:gridCol w:w="1199"/>
      </w:tblGrid>
      <w:tr>
        <w:tblPrEx>
          <w:tblCellMar>
            <w:top w:w="15" w:type="dxa"/>
            <w:left w:w="15" w:type="dxa"/>
            <w:bottom w:w="15" w:type="dxa"/>
            <w:right w:w="15" w:type="dxa"/>
          </w:tblCellMar>
        </w:tblPrEx>
        <w:trPr>
          <w:trHeight w:val="1431" w:hRule="exact"/>
          <w:tblHeader/>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收    入</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lang w:bidi="ar"/>
              </w:rPr>
            </w:pPr>
            <w:r>
              <w:rPr>
                <w:rFonts w:ascii="方正黑体_GBK" w:hAnsi="方正黑体_GBK" w:eastAsia="方正黑体_GBK" w:cs="方正黑体_GBK"/>
                <w:color w:val="000000"/>
                <w:sz w:val="28"/>
                <w:szCs w:val="28"/>
                <w:lang w:bidi="ar"/>
              </w:rPr>
              <w:t>调整</w:t>
            </w:r>
          </w:p>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执行数</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执行数为调整预算%</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执行数比上年决算数增长%</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总    计</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303257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318724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322259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101.1 </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-19.7 </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本级收入合计</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126374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115885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116046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100.1 </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-4.0 </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一、税收收入</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83374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82885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83033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100.2 </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7.8 </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增值税</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25848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22725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24335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107.1 </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5.8 </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企业所得税</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7918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10280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9863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95.9 </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36.9 </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个人所得税</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2017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2405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2413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100.3 </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26.6 </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资源税</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2633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2850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2980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104.6 </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19.7 </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城市维护建设税</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5641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6750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6391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94.7 </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19.9 </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房产税</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3878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3950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3934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99.6 </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7.4 </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印花税</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1204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2600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2571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98.9 </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126.1 </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城镇土地使用税</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11716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11750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11681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99.4 </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 </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土地增值税</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3493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4400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4163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94.6 </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26.3 </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耕地占用税</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8071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3300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3252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98.5 </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-57.3 </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契税</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9955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11400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10978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96.3 </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16.8 </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环境保护税</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475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472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99.4 </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1"/>
                <w:rFonts w:hint="default" w:ascii="Times New Roman" w:hAnsi="Times New Roman" w:eastAsia="方正仿宋_GBK" w:cs="Times New Roman"/>
                <w:b w:val="0"/>
                <w:sz w:val="28"/>
                <w:szCs w:val="28"/>
                <w:lang w:bidi="ar"/>
              </w:rPr>
              <w:t>—</w:t>
            </w:r>
            <w:r>
              <w:rPr>
                <w:rFonts w:hint="default" w:ascii="Times New Roman" w:hAnsi="Times New Roman"/>
                <w:color w:val="FFFFFF"/>
                <w:sz w:val="28"/>
                <w:szCs w:val="28"/>
                <w:lang w:bidi="ar"/>
              </w:rPr>
              <w:t>0</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二、非税收入</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43000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33000 </w:t>
            </w:r>
          </w:p>
        </w:tc>
        <w:tc>
          <w:tcPr>
            <w:tcW w:w="959" w:type="dxa"/>
            <w:tcBorders>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33013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100.0 </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-24.6 </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专项收入</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3100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2911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3441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118.2 </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7.3 </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行政事业性收费收入</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23000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13660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14890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109.0 </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-40.2 </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罚没收入</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2000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2150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2644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123.0 </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81.3 </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国有资源(资产)有偿使用收入</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13600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13308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11047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83.0 </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-21.3 </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捐赠收入</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117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117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1571.4 </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其他收入</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1300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854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874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102.3 </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471.2 </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cs="方正仿宋_GBK"/>
                <w:color w:val="000000"/>
                <w:sz w:val="28"/>
                <w:szCs w:val="28"/>
              </w:rPr>
            </w:pP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转移性收入合计</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176883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202839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206213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Style w:val="11"/>
                <w:rFonts w:ascii="方正黑体_GBK" w:hAnsi="方正黑体_GBK" w:eastAsia="方正黑体_GBK" w:cs="方正黑体_GBK"/>
                <w:b w:val="0"/>
                <w:sz w:val="28"/>
                <w:szCs w:val="28"/>
                <w:lang w:bidi="ar"/>
              </w:rPr>
              <w:t>—</w:t>
            </w:r>
            <w:r>
              <w:rPr>
                <w:rFonts w:ascii="方正黑体_GBK" w:hAnsi="方正黑体_GBK" w:eastAsia="方正黑体_GBK" w:cs="方正黑体_GBK"/>
                <w:color w:val="FFFFFF"/>
                <w:sz w:val="28"/>
                <w:szCs w:val="28"/>
                <w:lang w:bidi="ar"/>
              </w:rPr>
              <w:t>0</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Style w:val="11"/>
                <w:rFonts w:ascii="方正黑体_GBK" w:hAnsi="方正黑体_GBK" w:eastAsia="方正黑体_GBK" w:cs="方正黑体_GBK"/>
                <w:b w:val="0"/>
                <w:sz w:val="28"/>
                <w:szCs w:val="28"/>
                <w:lang w:bidi="ar"/>
              </w:rPr>
              <w:t>—</w:t>
            </w:r>
            <w:r>
              <w:rPr>
                <w:rFonts w:ascii="方正黑体_GBK" w:hAnsi="方正黑体_GBK" w:eastAsia="方正黑体_GBK" w:cs="方正黑体_GBK"/>
                <w:color w:val="FFFFFF"/>
                <w:sz w:val="28"/>
                <w:szCs w:val="28"/>
                <w:lang w:bidi="ar"/>
              </w:rPr>
              <w:t>0</w:t>
            </w: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一、上级补助收入</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157969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153343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156717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二、镇街上解收入</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642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642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三、动用预算稳定调节基金</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346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346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346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四、调入资金</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10000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五、地方政府债券收入 </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20000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20000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地方政府债券收入(新增）</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59" w:type="dxa"/>
            <w:tcBorders>
              <w:top w:val="single" w:color="000000" w:sz="4" w:space="0"/>
              <w:left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10000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地方政府债券收入(置换）</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10000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10000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60" w:hRule="atLeast"/>
        </w:trPr>
        <w:tc>
          <w:tcPr>
            <w:tcW w:w="3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六、上年结转</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18508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18508 </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18508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bl>
    <w:p>
      <w:pPr>
        <w:spacing w:line="594" w:lineRule="exact"/>
        <w:jc w:val="center"/>
        <w:rPr>
          <w:rFonts w:ascii="方正小标宋_GBK" w:hAnsi="方正小标宋_GBK" w:eastAsia="方正小标宋_GBK" w:cs="方正小标宋_GBK"/>
          <w:color w:val="000000"/>
          <w:sz w:val="44"/>
          <w:szCs w:val="44"/>
        </w:rPr>
      </w:pPr>
    </w:p>
    <w:p>
      <w:pPr>
        <w:spacing w:line="594" w:lineRule="exact"/>
        <w:jc w:val="center"/>
        <w:rPr>
          <w:rFonts w:ascii="方正小标宋_GBK" w:hAnsi="方正小标宋_GBK" w:eastAsia="方正小标宋_GBK" w:cs="方正小标宋_GBK"/>
          <w:color w:val="000000"/>
          <w:sz w:val="44"/>
          <w:szCs w:val="44"/>
        </w:rPr>
      </w:pPr>
    </w:p>
    <w:p>
      <w:pPr>
        <w:spacing w:line="594" w:lineRule="exact"/>
        <w:jc w:val="center"/>
        <w:rPr>
          <w:rFonts w:ascii="方正小标宋_GBK" w:hAnsi="方正小标宋_GBK" w:eastAsia="方正小标宋_GBK" w:cs="方正小标宋_GBK"/>
          <w:color w:val="000000"/>
          <w:sz w:val="44"/>
          <w:szCs w:val="44"/>
        </w:rPr>
      </w:pPr>
    </w:p>
    <w:p>
      <w:pPr>
        <w:spacing w:line="594" w:lineRule="exact"/>
        <w:jc w:val="center"/>
        <w:rPr>
          <w:rFonts w:ascii="方正小标宋_GBK" w:hAnsi="方正小标宋_GBK" w:eastAsia="方正小标宋_GBK" w:cs="方正小标宋_GBK"/>
          <w:color w:val="000000"/>
          <w:sz w:val="44"/>
          <w:szCs w:val="44"/>
        </w:rPr>
      </w:pPr>
    </w:p>
    <w:p>
      <w:pPr>
        <w:spacing w:line="594" w:lineRule="exact"/>
        <w:jc w:val="center"/>
        <w:rPr>
          <w:rFonts w:ascii="方正小标宋_GBK" w:hAnsi="方正小标宋_GBK" w:eastAsia="方正小标宋_GBK" w:cs="方正小标宋_GBK"/>
          <w:color w:val="000000"/>
          <w:sz w:val="44"/>
          <w:szCs w:val="44"/>
        </w:rPr>
      </w:pPr>
    </w:p>
    <w:p>
      <w:pPr>
        <w:spacing w:line="594" w:lineRule="exact"/>
        <w:jc w:val="center"/>
        <w:rPr>
          <w:rFonts w:ascii="方正小标宋_GBK" w:hAnsi="方正小标宋_GBK" w:eastAsia="方正小标宋_GBK" w:cs="方正小标宋_GBK"/>
          <w:color w:val="000000"/>
          <w:sz w:val="44"/>
          <w:szCs w:val="44"/>
        </w:rPr>
      </w:pPr>
    </w:p>
    <w:p>
      <w:pPr>
        <w:spacing w:line="594" w:lineRule="exact"/>
        <w:jc w:val="center"/>
        <w:rPr>
          <w:rFonts w:ascii="方正小标宋_GBK" w:hAnsi="方正小标宋_GBK" w:eastAsia="方正小标宋_GBK" w:cs="方正小标宋_GBK"/>
          <w:color w:val="000000"/>
          <w:sz w:val="44"/>
          <w:szCs w:val="44"/>
        </w:rPr>
      </w:pPr>
    </w:p>
    <w:p>
      <w:pPr>
        <w:spacing w:line="594" w:lineRule="exact"/>
        <w:jc w:val="center"/>
        <w:rPr>
          <w:rFonts w:ascii="方正小标宋_GBK" w:hAnsi="方正小标宋_GBK" w:eastAsia="方正小标宋_GBK" w:cs="方正小标宋_GBK"/>
          <w:color w:val="000000"/>
          <w:sz w:val="44"/>
          <w:szCs w:val="44"/>
        </w:rPr>
      </w:pPr>
    </w:p>
    <w:p>
      <w:pPr>
        <w:spacing w:line="594" w:lineRule="exact"/>
        <w:jc w:val="center"/>
        <w:rPr>
          <w:rFonts w:ascii="方正小标宋_GBK" w:hAnsi="方正小标宋_GBK" w:eastAsia="方正小标宋_GBK" w:cs="方正小标宋_GBK"/>
          <w:color w:val="000000"/>
          <w:sz w:val="44"/>
          <w:szCs w:val="44"/>
        </w:rPr>
      </w:pPr>
    </w:p>
    <w:p>
      <w:pPr>
        <w:spacing w:line="594" w:lineRule="exact"/>
        <w:jc w:val="center"/>
        <w:rPr>
          <w:rFonts w:ascii="方正小标宋_GBK" w:hAnsi="方正小标宋_GBK" w:eastAsia="方正小标宋_GBK" w:cs="方正小标宋_GBK"/>
          <w:color w:val="000000"/>
          <w:sz w:val="44"/>
          <w:szCs w:val="44"/>
        </w:rPr>
      </w:pPr>
    </w:p>
    <w:p>
      <w:pPr>
        <w:spacing w:line="594" w:lineRule="exact"/>
        <w:jc w:val="center"/>
        <w:rPr>
          <w:rFonts w:ascii="方正小标宋_GBK" w:hAnsi="方正小标宋_GBK" w:eastAsia="方正小标宋_GBK" w:cs="方正小标宋_GBK"/>
          <w:color w:val="000000"/>
          <w:sz w:val="44"/>
          <w:szCs w:val="44"/>
        </w:rPr>
      </w:pPr>
    </w:p>
    <w:p>
      <w:pPr>
        <w:spacing w:line="594" w:lineRule="exact"/>
        <w:jc w:val="center"/>
        <w:rPr>
          <w:rFonts w:ascii="方正小标宋_GBK" w:hAnsi="方正小标宋_GBK" w:eastAsia="方正小标宋_GBK" w:cs="方正小标宋_GBK"/>
          <w:color w:val="000000"/>
          <w:sz w:val="44"/>
          <w:szCs w:val="44"/>
        </w:rPr>
      </w:pPr>
    </w:p>
    <w:p>
      <w:pPr>
        <w:spacing w:line="594" w:lineRule="exact"/>
        <w:rPr>
          <w:rFonts w:ascii="方正小标宋_GBK" w:hAnsi="方正小标宋_GBK" w:eastAsia="方正小标宋_GBK" w:cs="方正小标宋_GBK"/>
          <w:color w:val="000000"/>
          <w:sz w:val="44"/>
          <w:szCs w:val="44"/>
        </w:rPr>
      </w:pPr>
      <w:r>
        <w:rPr>
          <w:rFonts w:ascii="方正黑体_GBK" w:hAnsi="方正黑体_GBK" w:eastAsia="方正黑体_GBK" w:cs="方正黑体_GBK"/>
          <w:color w:val="000000"/>
        </w:rPr>
        <w:t>附件4</w:t>
      </w:r>
    </w:p>
    <w:p>
      <w:pPr>
        <w:spacing w:line="594" w:lineRule="exact"/>
        <w:jc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t>2018年区级一般公共预算收支执行表（续表）</w:t>
      </w:r>
    </w:p>
    <w:p>
      <w:pPr>
        <w:spacing w:line="594" w:lineRule="exact"/>
        <w:jc w:val="right"/>
        <w:rPr>
          <w:rFonts w:ascii="方正小标宋_GBK" w:hAnsi="方正小标宋_GBK" w:eastAsia="方正小标宋_GBK" w:cs="方正小标宋_GBK"/>
          <w:color w:val="000000"/>
          <w:sz w:val="44"/>
          <w:szCs w:val="44"/>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3626"/>
        <w:gridCol w:w="1107"/>
        <w:gridCol w:w="975"/>
        <w:gridCol w:w="974"/>
        <w:gridCol w:w="974"/>
        <w:gridCol w:w="1218"/>
      </w:tblGrid>
      <w:tr>
        <w:tblPrEx>
          <w:tblCellMar>
            <w:top w:w="15" w:type="dxa"/>
            <w:left w:w="15" w:type="dxa"/>
            <w:bottom w:w="15" w:type="dxa"/>
            <w:right w:w="15" w:type="dxa"/>
          </w:tblCellMar>
        </w:tblPrEx>
        <w:trPr>
          <w:trHeight w:val="1199" w:hRule="exact"/>
          <w:tblHeader/>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支    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lang w:bidi="ar"/>
              </w:rPr>
            </w:pPr>
            <w:r>
              <w:rPr>
                <w:rFonts w:ascii="方正黑体_GBK" w:hAnsi="方正黑体_GBK" w:eastAsia="方正黑体_GBK" w:cs="方正黑体_GBK"/>
                <w:color w:val="000000"/>
                <w:sz w:val="28"/>
                <w:szCs w:val="28"/>
                <w:lang w:bidi="ar"/>
              </w:rPr>
              <w:t>调整</w:t>
            </w:r>
          </w:p>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执行数</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执行数为调整预算%</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执行数比上年决算数增长%</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总    计</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303257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318724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322259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101.1 </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-16.7 </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本级支出合计</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280160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262813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267034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101.6 </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1.7 </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一、一般公共服务支出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39839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28256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21213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75.1 </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11.6 </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二、外交支出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2"/>
                <w:rFonts w:hint="default" w:ascii="Times New Roman" w:hAnsi="Times New Roman" w:eastAsia="方正仿宋_GBK" w:cs="Times New Roman"/>
                <w:b w:val="0"/>
                <w:sz w:val="28"/>
                <w:szCs w:val="28"/>
                <w:lang w:bidi="ar"/>
              </w:rPr>
              <w:t>—</w:t>
            </w:r>
            <w:r>
              <w:rPr>
                <w:rStyle w:val="13"/>
                <w:rFonts w:hint="default" w:ascii="Times New Roman" w:hAnsi="Times New Roman" w:eastAsia="方正仿宋_GBK" w:cs="Times New Roman"/>
                <w:b w:val="0"/>
                <w:sz w:val="28"/>
                <w:szCs w:val="28"/>
                <w:lang w:bidi="ar"/>
              </w:rPr>
              <w:t>0</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2"/>
                <w:rFonts w:hint="default" w:ascii="Times New Roman" w:hAnsi="Times New Roman" w:eastAsia="方正仿宋_GBK" w:cs="Times New Roman"/>
                <w:b w:val="0"/>
                <w:sz w:val="28"/>
                <w:szCs w:val="28"/>
                <w:lang w:bidi="ar"/>
              </w:rPr>
              <w:t>—</w:t>
            </w:r>
            <w:r>
              <w:rPr>
                <w:rStyle w:val="13"/>
                <w:rFonts w:hint="default" w:ascii="Times New Roman" w:hAnsi="Times New Roman" w:eastAsia="方正仿宋_GBK" w:cs="Times New Roman"/>
                <w:b w:val="0"/>
                <w:sz w:val="28"/>
                <w:szCs w:val="28"/>
                <w:lang w:bidi="ar"/>
              </w:rPr>
              <w:t>0</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三、国防支出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1012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106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10.6 </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-91.2 </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四、公共安全支出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12870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15549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16718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107.5 </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-13.5 </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五、教育支出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42524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44577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46144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103.5 </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3.9 </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六、科学技术支出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650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1365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1254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91.9 </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 </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七、文化体育与传媒支出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2857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4694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4120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87.8 </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-11.0 </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八、社会保障和就业支出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27913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34427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33850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98.3 </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-0.4 </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九、医疗卫生与计划生育支出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22527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25981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30130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116.0 </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15.6 </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十、节能环保支出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8057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10592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14283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134.8 </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7.1 </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十一、城乡社区支出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15856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19718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13706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69.5 </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-27.4 </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十二、农林水支出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17400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17708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18597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105.0 </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-3.3 </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十三、交通运输支出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28807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21909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19321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88.2 </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-15.2 </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十四、资源勘探信息等支出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25341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12916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15452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119.6 </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98.7 </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十五、商业服务业等支出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1464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2950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2817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95.5 </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-64.7 </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十六、金融支出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2"/>
                <w:rFonts w:hint="default" w:ascii="Times New Roman" w:hAnsi="Times New Roman" w:eastAsia="方正仿宋_GBK" w:cs="Times New Roman"/>
                <w:b w:val="0"/>
                <w:sz w:val="28"/>
                <w:szCs w:val="28"/>
                <w:lang w:bidi="ar"/>
              </w:rPr>
              <w:t>—</w:t>
            </w:r>
            <w:r>
              <w:rPr>
                <w:rStyle w:val="13"/>
                <w:rFonts w:hint="default" w:ascii="Times New Roman" w:hAnsi="Times New Roman" w:eastAsia="方正仿宋_GBK" w:cs="Times New Roman"/>
                <w:b w:val="0"/>
                <w:sz w:val="28"/>
                <w:szCs w:val="28"/>
                <w:lang w:bidi="ar"/>
              </w:rPr>
              <w:t>0</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2"/>
                <w:rFonts w:hint="default" w:ascii="Times New Roman" w:hAnsi="Times New Roman" w:eastAsia="方正仿宋_GBK" w:cs="Times New Roman"/>
                <w:b w:val="0"/>
                <w:sz w:val="28"/>
                <w:szCs w:val="28"/>
                <w:lang w:bidi="ar"/>
              </w:rPr>
              <w:t>—</w:t>
            </w:r>
            <w:r>
              <w:rPr>
                <w:rStyle w:val="13"/>
                <w:rFonts w:hint="default" w:ascii="Times New Roman" w:hAnsi="Times New Roman" w:eastAsia="方正仿宋_GBK" w:cs="Times New Roman"/>
                <w:b w:val="0"/>
                <w:sz w:val="28"/>
                <w:szCs w:val="28"/>
                <w:lang w:bidi="ar"/>
              </w:rPr>
              <w:t>0</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十七、援助其他地区支出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2"/>
                <w:rFonts w:hint="default" w:ascii="Times New Roman" w:hAnsi="Times New Roman" w:eastAsia="方正仿宋_GBK" w:cs="Times New Roman"/>
                <w:b w:val="0"/>
                <w:sz w:val="28"/>
                <w:szCs w:val="28"/>
                <w:lang w:bidi="ar"/>
              </w:rPr>
              <w:t>—</w:t>
            </w:r>
            <w:r>
              <w:rPr>
                <w:rStyle w:val="13"/>
                <w:rFonts w:hint="default" w:ascii="Times New Roman" w:hAnsi="Times New Roman" w:eastAsia="方正仿宋_GBK" w:cs="Times New Roman"/>
                <w:b w:val="0"/>
                <w:sz w:val="28"/>
                <w:szCs w:val="28"/>
                <w:lang w:bidi="ar"/>
              </w:rPr>
              <w:t>0</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2"/>
                <w:rFonts w:hint="default" w:ascii="Times New Roman" w:hAnsi="Times New Roman" w:eastAsia="方正仿宋_GBK" w:cs="Times New Roman"/>
                <w:b w:val="0"/>
                <w:sz w:val="28"/>
                <w:szCs w:val="28"/>
                <w:lang w:bidi="ar"/>
              </w:rPr>
              <w:t>—</w:t>
            </w:r>
            <w:r>
              <w:rPr>
                <w:rStyle w:val="13"/>
                <w:rFonts w:hint="default" w:ascii="Times New Roman" w:hAnsi="Times New Roman" w:eastAsia="方正仿宋_GBK" w:cs="Times New Roman"/>
                <w:b w:val="0"/>
                <w:sz w:val="28"/>
                <w:szCs w:val="28"/>
                <w:lang w:bidi="ar"/>
              </w:rPr>
              <w:t>0</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十八、国土海洋气象等支出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6829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3018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3281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108.7 </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-65.7 </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十九、住房保障支出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12214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11186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16243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145.2 </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80.8 </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二十、粮油物资储备支出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2"/>
                <w:rFonts w:hint="default" w:ascii="Times New Roman" w:hAnsi="Times New Roman" w:eastAsia="方正仿宋_GBK" w:cs="Times New Roman"/>
                <w:b w:val="0"/>
                <w:sz w:val="28"/>
                <w:szCs w:val="28"/>
                <w:lang w:bidi="ar"/>
              </w:rPr>
              <w:t>—</w:t>
            </w:r>
            <w:r>
              <w:rPr>
                <w:rStyle w:val="13"/>
                <w:rFonts w:hint="default" w:ascii="Times New Roman" w:hAnsi="Times New Roman" w:eastAsia="方正仿宋_GBK" w:cs="Times New Roman"/>
                <w:b w:val="0"/>
                <w:sz w:val="28"/>
                <w:szCs w:val="28"/>
                <w:lang w:bidi="ar"/>
              </w:rPr>
              <w:t>0</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-99.3 </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二十一、预备费</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5000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2"/>
                <w:rFonts w:hint="default" w:ascii="Times New Roman" w:hAnsi="Times New Roman" w:eastAsia="方正仿宋_GBK" w:cs="Times New Roman"/>
                <w:b w:val="0"/>
                <w:sz w:val="28"/>
                <w:szCs w:val="28"/>
                <w:lang w:bidi="ar"/>
              </w:rPr>
              <w:t>—</w:t>
            </w:r>
            <w:r>
              <w:rPr>
                <w:rStyle w:val="13"/>
                <w:rFonts w:hint="default" w:ascii="Times New Roman" w:hAnsi="Times New Roman" w:eastAsia="方正仿宋_GBK" w:cs="Times New Roman"/>
                <w:b w:val="0"/>
                <w:sz w:val="28"/>
                <w:szCs w:val="28"/>
                <w:lang w:bidi="ar"/>
              </w:rPr>
              <w:t>0</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2"/>
                <w:rFonts w:hint="default" w:ascii="Times New Roman" w:hAnsi="Times New Roman" w:eastAsia="方正仿宋_GBK" w:cs="Times New Roman"/>
                <w:b w:val="0"/>
                <w:sz w:val="28"/>
                <w:szCs w:val="28"/>
                <w:lang w:bidi="ar"/>
              </w:rPr>
              <w:t>—</w:t>
            </w:r>
            <w:r>
              <w:rPr>
                <w:rStyle w:val="13"/>
                <w:rFonts w:hint="default" w:ascii="Times New Roman" w:hAnsi="Times New Roman" w:eastAsia="方正仿宋_GBK" w:cs="Times New Roman"/>
                <w:b w:val="0"/>
                <w:sz w:val="28"/>
                <w:szCs w:val="28"/>
                <w:lang w:bidi="ar"/>
              </w:rPr>
              <w:t>0</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二十二、其他支出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503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3333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662.6 </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5455.0 </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二十三、债务付息支出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9000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6463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6463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66.0 </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二十四、债务发行费用支出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2"/>
                <w:rFonts w:hint="default" w:ascii="Times New Roman" w:hAnsi="Times New Roman" w:eastAsia="方正仿宋_GBK" w:cs="Times New Roman"/>
                <w:b w:val="0"/>
                <w:sz w:val="28"/>
                <w:szCs w:val="28"/>
                <w:lang w:bidi="ar"/>
              </w:rPr>
              <w:t>—</w:t>
            </w:r>
            <w:r>
              <w:rPr>
                <w:rStyle w:val="13"/>
                <w:rFonts w:hint="default" w:ascii="Times New Roman" w:hAnsi="Times New Roman" w:eastAsia="方正仿宋_GBK" w:cs="Times New Roman"/>
                <w:b w:val="0"/>
                <w:sz w:val="28"/>
                <w:szCs w:val="28"/>
                <w:lang w:bidi="ar"/>
              </w:rPr>
              <w:t>0</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cs="方正仿宋_GBK"/>
                <w:color w:val="000000"/>
                <w:sz w:val="28"/>
                <w:szCs w:val="28"/>
              </w:rPr>
            </w:pP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转移性支出合计</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23097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55911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55225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Style w:val="12"/>
                <w:rFonts w:ascii="方正黑体_GBK" w:hAnsi="方正黑体_GBK" w:eastAsia="方正黑体_GBK" w:cs="方正黑体_GBK"/>
                <w:b w:val="0"/>
                <w:sz w:val="28"/>
                <w:szCs w:val="28"/>
                <w:lang w:bidi="ar"/>
              </w:rPr>
              <w:t>—</w:t>
            </w:r>
            <w:r>
              <w:rPr>
                <w:rStyle w:val="13"/>
                <w:rFonts w:ascii="方正黑体_GBK" w:hAnsi="方正黑体_GBK" w:eastAsia="方正黑体_GBK" w:cs="方正黑体_GBK"/>
                <w:b w:val="0"/>
                <w:sz w:val="28"/>
                <w:szCs w:val="28"/>
                <w:lang w:bidi="ar"/>
              </w:rPr>
              <w:t>0</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Style w:val="12"/>
                <w:rFonts w:ascii="方正黑体_GBK" w:hAnsi="方正黑体_GBK" w:eastAsia="方正黑体_GBK" w:cs="方正黑体_GBK"/>
                <w:b w:val="0"/>
                <w:sz w:val="28"/>
                <w:szCs w:val="28"/>
                <w:lang w:bidi="ar"/>
              </w:rPr>
              <w:t>—</w:t>
            </w:r>
            <w:r>
              <w:rPr>
                <w:rStyle w:val="13"/>
                <w:rFonts w:ascii="方正黑体_GBK" w:hAnsi="方正黑体_GBK" w:eastAsia="方正黑体_GBK" w:cs="方正黑体_GBK"/>
                <w:b w:val="0"/>
                <w:sz w:val="28"/>
                <w:szCs w:val="28"/>
                <w:lang w:bidi="ar"/>
              </w:rPr>
              <w:t>0</w:t>
            </w: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一、上解上级支出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8823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8823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8235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二、补助镇街支出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14274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19588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19696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三、地方政府债务还本支出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10000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10000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地方政府债券还本支出</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10000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10000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四、安排预算稳定调节基金</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161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五、地方政府债券转贷支出 </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763"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地方政府债券转贷支出（新增）</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739"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地方政府债券转贷支出（置换）</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54" w:hRule="exact"/>
        </w:trPr>
        <w:tc>
          <w:tcPr>
            <w:tcW w:w="3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六、结转下年</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17500</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17133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bl>
    <w:p>
      <w:pPr>
        <w:spacing w:line="360" w:lineRule="exact"/>
        <w:rPr>
          <w:rFonts w:hint="default" w:ascii="Times New Roman" w:hAnsi="Times New Roman"/>
          <w:color w:val="000000"/>
          <w:sz w:val="28"/>
          <w:szCs w:val="28"/>
        </w:rPr>
      </w:pPr>
      <w:r>
        <w:rPr>
          <w:rFonts w:hint="default" w:ascii="Times New Roman" w:hAnsi="Times New Roman"/>
          <w:color w:val="000000"/>
          <w:sz w:val="28"/>
          <w:szCs w:val="28"/>
        </w:rPr>
        <w:t>注：1.</w:t>
      </w:r>
      <w:r>
        <w:rPr>
          <w:rFonts w:ascii="Times New Roman" w:hAnsi="Times New Roman"/>
          <w:color w:val="000000"/>
          <w:sz w:val="28"/>
          <w:szCs w:val="28"/>
        </w:rPr>
        <w:t xml:space="preserve"> </w:t>
      </w:r>
      <w:r>
        <w:rPr>
          <w:rFonts w:hint="default" w:ascii="Times New Roman" w:hAnsi="Times New Roman"/>
          <w:color w:val="000000"/>
          <w:sz w:val="28"/>
          <w:szCs w:val="28"/>
        </w:rPr>
        <w:t>本表直观反映2018年一般公共预算收入与支出的平衡关系。</w:t>
      </w:r>
    </w:p>
    <w:p>
      <w:pPr>
        <w:spacing w:line="360" w:lineRule="exact"/>
        <w:ind w:firstLine="560"/>
        <w:rPr>
          <w:rFonts w:hint="default" w:ascii="Times New Roman" w:hAnsi="Times New Roman"/>
          <w:color w:val="000000"/>
          <w:sz w:val="28"/>
          <w:szCs w:val="28"/>
        </w:rPr>
      </w:pPr>
      <w:r>
        <w:rPr>
          <w:rFonts w:hint="default" w:ascii="Times New Roman" w:hAnsi="Times New Roman"/>
          <w:color w:val="000000"/>
          <w:sz w:val="28"/>
          <w:szCs w:val="28"/>
        </w:rPr>
        <w:t>2.</w:t>
      </w:r>
      <w:r>
        <w:rPr>
          <w:rFonts w:ascii="Times New Roman" w:hAnsi="Times New Roman"/>
          <w:color w:val="000000"/>
          <w:sz w:val="28"/>
          <w:szCs w:val="28"/>
        </w:rPr>
        <w:t xml:space="preserve"> </w:t>
      </w:r>
      <w:r>
        <w:rPr>
          <w:rFonts w:hint="default" w:ascii="Times New Roman" w:hAnsi="Times New Roman"/>
          <w:color w:val="000000"/>
          <w:sz w:val="28"/>
          <w:szCs w:val="28"/>
        </w:rPr>
        <w:t>收入总计（本级收入合计+转移性收入合计）=支出总计（本级支出合计+转移性支出合计）。</w:t>
      </w:r>
    </w:p>
    <w:p>
      <w:pPr>
        <w:spacing w:line="360" w:lineRule="exact"/>
        <w:ind w:firstLine="560"/>
        <w:rPr>
          <w:rFonts w:cs="方正仿宋_GBK"/>
          <w:color w:val="000000"/>
          <w:szCs w:val="32"/>
        </w:rPr>
      </w:pPr>
      <w:r>
        <w:rPr>
          <w:rFonts w:hint="default" w:ascii="Times New Roman" w:hAnsi="Times New Roman"/>
          <w:color w:val="000000"/>
          <w:sz w:val="28"/>
          <w:szCs w:val="28"/>
        </w:rPr>
        <w:t>3.</w:t>
      </w:r>
      <w:r>
        <w:rPr>
          <w:rFonts w:ascii="Times New Roman" w:hAnsi="Times New Roman"/>
          <w:color w:val="000000"/>
          <w:sz w:val="28"/>
          <w:szCs w:val="28"/>
        </w:rPr>
        <w:t xml:space="preserve"> </w:t>
      </w:r>
      <w:r>
        <w:rPr>
          <w:rFonts w:hint="default" w:ascii="Times New Roman" w:hAnsi="Times New Roman"/>
          <w:color w:val="000000"/>
          <w:sz w:val="28"/>
          <w:szCs w:val="28"/>
        </w:rPr>
        <w:t>调整预算数是指根据预算法规定，经市人大常委会审查批准对年初预算进行调整后形成的预算数，下同。</w:t>
      </w:r>
    </w:p>
    <w:p>
      <w:pPr>
        <w:spacing w:line="594" w:lineRule="exact"/>
        <w:rPr>
          <w:rFonts w:cs="方正仿宋_GBK"/>
          <w:color w:val="000000"/>
          <w:szCs w:val="32"/>
        </w:rPr>
      </w:pPr>
    </w:p>
    <w:p>
      <w:pPr>
        <w:spacing w:line="594" w:lineRule="exact"/>
        <w:rPr>
          <w:rFonts w:ascii="方正小标宋_GBK" w:hAnsi="方正小标宋_GBK" w:eastAsia="方正小标宋_GBK" w:cs="方正小标宋_GBK"/>
          <w:color w:val="000000"/>
          <w:sz w:val="44"/>
          <w:szCs w:val="44"/>
        </w:rPr>
      </w:pPr>
      <w:r>
        <w:rPr>
          <w:rFonts w:ascii="方正黑体_GBK" w:hAnsi="方正黑体_GBK" w:eastAsia="方正黑体_GBK" w:cs="方正黑体_GBK"/>
          <w:color w:val="000000"/>
        </w:rPr>
        <w:t>附件5</w:t>
      </w:r>
    </w:p>
    <w:p>
      <w:pPr>
        <w:spacing w:line="594" w:lineRule="exact"/>
        <w:jc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t>2018年区级一般公共预算本级支出执行表</w:t>
      </w:r>
    </w:p>
    <w:p>
      <w:pPr>
        <w:spacing w:line="594" w:lineRule="exact"/>
        <w:jc w:val="right"/>
        <w:rPr>
          <w:rFonts w:ascii="方正小标宋_GBK" w:hAnsi="方正小标宋_GBK" w:eastAsia="方正小标宋_GBK" w:cs="方正小标宋_GBK"/>
          <w:color w:val="000000"/>
          <w:sz w:val="44"/>
          <w:szCs w:val="44"/>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6077"/>
        <w:gridCol w:w="2797"/>
      </w:tblGrid>
      <w:tr>
        <w:tblPrEx>
          <w:tblCellMar>
            <w:top w:w="15" w:type="dxa"/>
            <w:left w:w="15" w:type="dxa"/>
            <w:bottom w:w="15" w:type="dxa"/>
            <w:right w:w="15" w:type="dxa"/>
          </w:tblCellMar>
        </w:tblPrEx>
        <w:trPr>
          <w:trHeight w:val="425" w:hRule="exact"/>
          <w:tblHeader/>
        </w:trPr>
        <w:tc>
          <w:tcPr>
            <w:tcW w:w="6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支        出</w:t>
            </w:r>
          </w:p>
        </w:tc>
        <w:tc>
          <w:tcPr>
            <w:tcW w:w="27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执行数</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本级支出合计</w:t>
            </w:r>
          </w:p>
        </w:tc>
        <w:tc>
          <w:tcPr>
            <w:tcW w:w="27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267034</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一般公共服务支出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21213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政协事务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参政议政</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政府办公厅(室)及相关机构事务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3377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1637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411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政务公开审批</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信访事务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512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732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其他政府办公厅(室)及相关机构事务支出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发展与改革事务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1681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650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719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其他发展与改革事务支出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统计信息事务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656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282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专项统计业务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专项普查活动</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统计抽样调查</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财政事务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1395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899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预算改革业务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财政国库业务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财政监察</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信息化建设</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财政委托业务支出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其他财政事务支出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税收事务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其他税收事务支出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审计事务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审计业务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223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信息化建设</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人力资源事务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390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军队转业干部安置</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引进人才费用</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公务员招考</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其他人力资源事务支出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纪检监察事务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668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商贸事务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3300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招商引资</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3300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工商行政管理事务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其他工商行政管理事务支出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质量技术监督与检验检疫事务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其他质量技术监督与检验检疫事务支出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民族事务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宗教事务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其他宗教事务支出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档案事务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档案馆</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民主党派及工商联事务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参政议政</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群众团体事务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761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371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其他群众团体事务支出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党委办公厅(室)及相关机构事务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1345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656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450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组织事务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1114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375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宣传事务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1838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426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540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其他宣传事务支出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统战事务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399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其他共产党事务支出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470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1187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国防支出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国防动员</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人民防空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公共安全支出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16718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武装警察</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1404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内卫</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消防</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1304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其他武装警察支出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公安</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14272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12080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治安管理</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392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刑事侦查</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禁毒管理</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道路交通管理</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拘押收教场所管理</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警犬繁育及训养</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信息化建设</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624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司法</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1042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713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基层司法业务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普法宣传</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律师公证管理</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法律援助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社区矫正</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其他司法支出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教育支出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46144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教育管理事务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808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390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其他教育管理事务支出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普通教育</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37876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学前教育</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小学教育</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18522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初中教育</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10557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高中教育</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6483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其他普通教育支出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职业教育</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4453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中专教育</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职业高中教育</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2548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其他职业教育支出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特殊教育</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其他特殊教育支出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进修及培训</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1232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教师进修</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834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干部教育</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培训支出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教育费附加安排的支出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1722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其他教育费附加安排的支出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1722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科学技术支出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1254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科学技术管理事务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221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其他科学技术管理事务支出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技术研究与开发</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产业技术研究与开发</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科学技术普及</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科技馆站</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其他科学技术普及支出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其他科学技术支出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其他科学技术支出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文化体育与传媒支出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4120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文化</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957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图书馆</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文化活动</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群众文化</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文化交流与合作</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文化创作与保护</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其他文化支出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文物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博物馆</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体育</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1290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体育场馆</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946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群众体育</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其他体育支出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新闻出版广播影视</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1580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广播</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电视</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1460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其他新闻出版广播影视支出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其他文化体育与传媒支出(款)</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221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其他文化体育与传媒支出(项)</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221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社会保障和就业支出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33850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人力资源和社会保障管理事务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2480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1566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社会保险业务管理事务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社会保险经办机构</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劳动关系和维权</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劳动人事争议调解仲裁</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其他人力资源和社会保障管理事务支出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594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民政管理事务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1207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453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拥军优属</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行政区划和地名管理</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基层政权和社区建设</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其他民政管理事务支出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550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行政事业单位离退休</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15524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归口管理的行政单位离退休</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225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事业单位离退休</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机关事业单位基本养老保险缴费支出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7843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机关事业单位职业年金缴费支出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2922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其他行政事业单位离退休支出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4484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就业补助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1831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就业创业服务补贴</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职业培训补贴</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社会保险补贴</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公益性岗位补贴</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就业见习补贴</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其他就业补助支出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431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抚恤</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1110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死亡抚恤</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528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伤残抚恤</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在乡复员、退伍军人生活补助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其他优抚支出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退役安置</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367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退役士兵安置</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军队移交政府的离退休人员安置</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军队移交政府离退休干部管理机构</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退役士兵管理教育</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社会福利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3784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儿童福利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老年福利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3684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残疾人事业</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1566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残疾人就业和扶贫</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残疾人生活和护理补贴</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其他残疾人事业支出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1298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最低生活保障</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4601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城市最低生活保障金支出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2801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农村最低生活保障金支出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临时救助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流浪乞讨人员救助支出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特困人员救助供养</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420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城市特困人员救助供养支出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320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农村特困人员救助供养支出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其他生活救助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487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其他城市生活救助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401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其他农村生活救助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其他社会保障和就业支出(款)</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373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其他社会保障和就业支出(项)</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373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医疗卫生与计划生育支出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30130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医疗卫生与计划生育管理事务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1310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345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其他医疗卫生与计划生育管理事务支出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965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公立医院</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877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综合医院</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中医(民族)医院</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其他公立医院支出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基层医疗卫生机构</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2317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城市社区卫生机构</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438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乡镇卫生院</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1559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其他基层医疗卫生机构支出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320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公共卫生</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5109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疾病预防控制机构</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825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卫生监督机构</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妇幼保健机构</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1995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采供血机构</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402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基本公共卫生服务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1419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重大公共卫生专项</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突发公共卫生事件应急处理</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其他公共卫生支出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中医药</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中医(民族医)药专项</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计划生育事务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1221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计划生育机构</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计划生育服务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816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其他计划生育事务支出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368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食品和药品监督管理事务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其他食品和药品监督管理事务支出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行政事业单位医疗</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6165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行政单位医疗</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1878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事业单位医疗</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3767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公务员医疗补助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520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财政对基本医疗保险基金的补助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9413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财政对城乡居民基本医疗保险基金的补助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9395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财政对其他基本医疗保险基金的补助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医疗救助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3238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城乡医疗救助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3223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其他医疗救助支出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优抚对象医疗</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优抚对象医疗补助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其他医疗卫生与计划生育支出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其他医疗卫生与计划生育支出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节能环保支出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14283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环境保护管理事务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518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518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环境监测与监察</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471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建设项目环评审查与监督</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其他环境监测与监察支出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464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污染防治</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6303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水体</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1683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其他污染防治支出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4620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自然生态保护</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农村环境保护</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天然林保护</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社会保险补助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政策性社会性支出补助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其他天然林保护支出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退耕还林</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1598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退耕现金</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其他退耕还林支出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1448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能源节约利用(款)</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能源节能利用(项)</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污染减排</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环境监测与信息</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其他节能环保支出(款)</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5061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其他节能环保支出(项)</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5061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城乡社区支出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13706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城乡社区管理事务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2805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2048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城管执法</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327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其他城乡社区管理事务支出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430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城乡社区规划与管理(款)</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2849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城乡社区规划与管理(项)</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2849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城乡社区公共设施</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3279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其他城乡社区公共设施支出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3279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城乡社区环境卫生(款)</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1474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城乡社区环境卫生(项)</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1474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建设市场管理与监督(款)</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786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建设市场管理与监督(项)</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786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其他城乡社区支出(款)</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2513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其他城乡社区支出(项)</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2513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农林水支出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18597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农业</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4037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895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576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病虫害控制</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222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防灾救灾</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农业生产支持补贴</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1187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农业组织化与产业化经营</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农业资源保护修复与利用</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其他农业支出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868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林业</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2782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林业事业机构</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森林培育</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553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森林资源管理</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森林生态效益补偿</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林业执法与监督</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林业产业化</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林业防灾减灾</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其他林业支出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1348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水利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5004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水利工程运行与维护</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水利前期工作</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369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水文测报</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防汛</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农田水利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627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水利技术推广</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325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江河湖库水系综合整治</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2058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大中型水库移民后期扶持专项支出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444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其他水利支出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547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扶贫</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1684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其他扶贫支出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1684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农业综合开发</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2131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土地治理</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1620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产业化发展</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511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农村综合改革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2735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对村级一事一议的补助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2235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对村集体经济组织的补助</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普惠金融发展支出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农业保险保费补贴</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其他农林水事务支出(款)</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其他农林水事务支出(项)</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交通运输支出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19321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公路水路运输</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3345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369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公路建设</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公路养护</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1179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公路运输管理</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927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其他公路水路运输支出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成品油价格改革对交通运输的补贴</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451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成品油价格改革补贴其他支出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451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车辆购置税支出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15521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车辆购置税用于公路等基础设施建设支出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1175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车辆购置税用于农村公路建设支出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14346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其他交通运输支出(款)</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其他交通运输支出(项)</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资源勘探信息等支出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15452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资源勘探开发</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煤炭勘探开采和洗选</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工业和信息产业监管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2978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784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其他工业和信息产业监管支出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2027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安全生产监管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1154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625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其他安全生产监管支出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493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国有资产监管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408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其他国有资产监管支出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支持中小企业发展和管理支出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3289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中小企业发展专项</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其他支持中小企业发展和管理支出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2789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其他资源勘探信息等支出(款)</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7573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其他资源勘探信息等支出(项)</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7573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商业服务业等支出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2817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商业流通事务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1934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433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220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其他商业流通事务支出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1257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旅游业管理与服务支出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856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439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旅游行业业务管理</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其他旅游业管理与服务支出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涉外发展服务支出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其他涉外发展服务支出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国土海洋气象等支出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3281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国土资源事务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3135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555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国土资源规划及管理</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土地资源调查</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土地资源利用与保护</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国土资源行业业务管理</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地质矿产资源与环境调查</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地质矿产资源利用与保护</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1651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其他国土资源事务支出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596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地震事务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地震监测</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气象事务</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气象事业机构</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88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其他气象事务支出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住房保障支出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16243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保障性安居工程支出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9776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廉租住房</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3314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棚户区改造</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3041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保障性住房租金补贴</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其他保障性安居工程支出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3360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住房改革支出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6467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住房公积金</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6467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粮油物资储备支出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重要商品储备</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肉类储备</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其他支出(类)</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3333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其他支出(款)</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3333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其他支出(项)</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3333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债务付息支出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6463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地方政府一般债务付息支出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6463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地方政府一般债券付息支出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6463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债务发行费用支出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 </w:t>
            </w:r>
          </w:p>
        </w:tc>
      </w:tr>
      <w:tr>
        <w:tblPrEx>
          <w:tblCellMar>
            <w:top w:w="15" w:type="dxa"/>
            <w:left w:w="15" w:type="dxa"/>
            <w:bottom w:w="15" w:type="dxa"/>
            <w:right w:w="15" w:type="dxa"/>
          </w:tblCellMar>
        </w:tblPrEx>
        <w:trPr>
          <w:trHeight w:val="425" w:hRule="exact"/>
        </w:trPr>
        <w:tc>
          <w:tcPr>
            <w:tcW w:w="60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地方政府一般债务发行费用支出</w:t>
            </w:r>
          </w:p>
        </w:tc>
        <w:tc>
          <w:tcPr>
            <w:tcW w:w="2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 </w:t>
            </w:r>
          </w:p>
        </w:tc>
      </w:tr>
    </w:tbl>
    <w:p>
      <w:pPr>
        <w:spacing w:line="360" w:lineRule="exact"/>
        <w:rPr>
          <w:rFonts w:hint="default" w:ascii="Times New Roman" w:hAnsi="Times New Roman"/>
          <w:color w:val="000000"/>
          <w:sz w:val="28"/>
          <w:szCs w:val="28"/>
        </w:rPr>
      </w:pPr>
      <w:r>
        <w:rPr>
          <w:rFonts w:hint="default" w:ascii="Times New Roman" w:hAnsi="Times New Roman"/>
          <w:color w:val="000000"/>
          <w:sz w:val="28"/>
          <w:szCs w:val="28"/>
        </w:rPr>
        <w:t>注：本表详细反映2018年一般公共预算本级支出情况，按《预算法》要求细化到功能分类项级科目。</w:t>
      </w:r>
    </w:p>
    <w:p>
      <w:pPr>
        <w:spacing w:line="594" w:lineRule="exact"/>
        <w:rPr>
          <w:rFonts w:ascii="方正黑体_GBK" w:hAnsi="方正黑体_GBK" w:eastAsia="方正黑体_GBK" w:cs="方正黑体_GBK"/>
          <w:color w:val="000000"/>
          <w:szCs w:val="32"/>
        </w:rPr>
      </w:pPr>
      <w:r>
        <w:rPr>
          <w:rFonts w:hint="default" w:cs="方正仿宋_GBK"/>
          <w:color w:val="000000"/>
          <w:szCs w:val="32"/>
        </w:rPr>
        <w:br w:type="page"/>
      </w:r>
      <w:r>
        <w:rPr>
          <w:rFonts w:ascii="方正黑体_GBK" w:hAnsi="方正黑体_GBK" w:eastAsia="方正黑体_GBK" w:cs="方正黑体_GBK"/>
          <w:color w:val="000000"/>
          <w:szCs w:val="32"/>
        </w:rPr>
        <w:t>附件6</w:t>
      </w:r>
    </w:p>
    <w:p>
      <w:pPr>
        <w:spacing w:line="594" w:lineRule="exact"/>
        <w:jc w:val="center"/>
        <w:rPr>
          <w:rFonts w:ascii="方正小标宋_GBK" w:hAnsi="方正小标宋_GBK" w:eastAsia="方正小标宋_GBK" w:cs="方正小标宋_GBK"/>
          <w:color w:val="000000"/>
          <w:spacing w:val="-6"/>
          <w:sz w:val="44"/>
          <w:szCs w:val="44"/>
        </w:rPr>
      </w:pPr>
      <w:r>
        <w:rPr>
          <w:rFonts w:ascii="方正小标宋_GBK" w:hAnsi="方正小标宋_GBK" w:eastAsia="方正小标宋_GBK" w:cs="方正小标宋_GBK"/>
          <w:color w:val="000000"/>
          <w:spacing w:val="-6"/>
          <w:sz w:val="44"/>
          <w:szCs w:val="44"/>
        </w:rPr>
        <w:t>2018年区级一般公共预算转移性收支执行表</w:t>
      </w:r>
    </w:p>
    <w:p>
      <w:pPr>
        <w:spacing w:line="594" w:lineRule="exact"/>
        <w:jc w:val="right"/>
        <w:rPr>
          <w:rFonts w:cs="方正仿宋_GBK"/>
          <w:color w:val="000000"/>
          <w:szCs w:val="32"/>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3629"/>
        <w:gridCol w:w="824"/>
        <w:gridCol w:w="3526"/>
        <w:gridCol w:w="895"/>
      </w:tblGrid>
      <w:tr>
        <w:tblPrEx>
          <w:tblCellMar>
            <w:top w:w="15" w:type="dxa"/>
            <w:left w:w="15" w:type="dxa"/>
            <w:bottom w:w="15" w:type="dxa"/>
            <w:right w:w="15" w:type="dxa"/>
          </w:tblCellMar>
        </w:tblPrEx>
        <w:trPr>
          <w:trHeight w:val="454" w:hRule="exact"/>
          <w:tblHeader/>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收        入</w:t>
            </w:r>
          </w:p>
        </w:tc>
        <w:tc>
          <w:tcPr>
            <w:tcW w:w="824" w:type="dxa"/>
            <w:tcBorders>
              <w:top w:val="single" w:color="000000" w:sz="4" w:space="0"/>
              <w:left w:val="single" w:color="000000" w:sz="4" w:space="0"/>
              <w:bottom w:val="single" w:color="000000" w:sz="4" w:space="0"/>
            </w:tcBorders>
            <w:noWrap w:val="0"/>
            <w:vAlign w:val="bottom"/>
          </w:tcPr>
          <w:p>
            <w:pPr>
              <w:widowControl/>
              <w:spacing w:line="320" w:lineRule="exact"/>
              <w:jc w:val="center"/>
              <w:textAlignment w:val="bottom"/>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执行数</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支        出</w:t>
            </w:r>
          </w:p>
        </w:tc>
        <w:tc>
          <w:tcPr>
            <w:tcW w:w="89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执行数</w:t>
            </w: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转移性收入合计</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 xml:space="preserve">206213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转移性支出合计</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 xml:space="preserve">55225 </w:t>
            </w: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一、上级补助收入</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156717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一、上解上级支出</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8235 </w:t>
            </w: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（一）一般性转移支付收入</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81346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（一）体制上解</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8235 </w:t>
            </w:r>
          </w:p>
        </w:tc>
      </w:tr>
      <w:tr>
        <w:tblPrEx>
          <w:tblCellMar>
            <w:top w:w="15" w:type="dxa"/>
            <w:left w:w="15" w:type="dxa"/>
            <w:bottom w:w="15" w:type="dxa"/>
            <w:right w:w="15" w:type="dxa"/>
          </w:tblCellMar>
        </w:tblPrEx>
        <w:trPr>
          <w:trHeight w:val="476"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增值税和消费税税收返还 </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1330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（二）专项上解</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562"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增值税五五分享税收返还收入</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3979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二、补助镇街支出</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19696 </w:t>
            </w: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所得税基数返还</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1128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（一）一般性转移支付支出</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18994 </w:t>
            </w:r>
          </w:p>
        </w:tc>
      </w:tr>
      <w:tr>
        <w:tblPrEx>
          <w:tblCellMar>
            <w:top w:w="15" w:type="dxa"/>
            <w:left w:w="15" w:type="dxa"/>
            <w:bottom w:w="15" w:type="dxa"/>
            <w:right w:w="15" w:type="dxa"/>
          </w:tblCellMar>
        </w:tblPrEx>
        <w:trPr>
          <w:trHeight w:val="444"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体制补助</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728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增值税和消费税税收返还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均衡性转移支付</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15647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所得税基数返还</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608"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县级基本财力保障机制奖补资金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5956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体制补助</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13674 </w:t>
            </w: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结算补助</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3247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均衡性转移支付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1197 </w:t>
            </w:r>
          </w:p>
        </w:tc>
      </w:tr>
      <w:tr>
        <w:tblPrEx>
          <w:tblCellMar>
            <w:top w:w="15" w:type="dxa"/>
            <w:left w:w="15" w:type="dxa"/>
            <w:bottom w:w="15" w:type="dxa"/>
            <w:right w:w="15" w:type="dxa"/>
          </w:tblCellMar>
        </w:tblPrEx>
        <w:trPr>
          <w:trHeight w:val="639"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资源枯竭型城市转移支付补助</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13920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老少边穷转移支付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599"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基层公检法司转移支付</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1099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县级基本财力保障机制奖补资金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城乡义务教育转移支付</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3234 </w:t>
            </w:r>
          </w:p>
        </w:tc>
        <w:tc>
          <w:tcPr>
            <w:tcW w:w="35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结算补助 </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4123 </w:t>
            </w:r>
          </w:p>
        </w:tc>
      </w:tr>
      <w:tr>
        <w:tblPrEx>
          <w:tblCellMar>
            <w:top w:w="15" w:type="dxa"/>
            <w:left w:w="15" w:type="dxa"/>
            <w:bottom w:w="15" w:type="dxa"/>
            <w:right w:w="15" w:type="dxa"/>
          </w:tblCellMar>
        </w:tblPrEx>
        <w:trPr>
          <w:trHeight w:val="763"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城乡基本居民医疗保险转移支付</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8756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资源枯竭型城市转移支付补助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560"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农村综合改革转移支付</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2150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农村综合改革转移支付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558"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重点生态功能区转移支付</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2557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产粮（油）大县奖励资金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480"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固定数额补助</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5416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重点生态功能区转移支付</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贫困地区转移支付</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867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固定数额补助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502"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其他一般性转移支付</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11332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公共安全</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231" w:hRule="exact"/>
        </w:trPr>
        <w:tc>
          <w:tcPr>
            <w:tcW w:w="362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right"/>
              <w:rPr>
                <w:rFonts w:cs="方正仿宋_GBK"/>
                <w:color w:val="000000"/>
                <w:sz w:val="24"/>
                <w:szCs w:val="24"/>
              </w:rPr>
            </w:pPr>
          </w:p>
        </w:tc>
        <w:tc>
          <w:tcPr>
            <w:tcW w:w="8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right"/>
              <w:rPr>
                <w:rFonts w:hint="default" w:ascii="Times New Roman" w:hAnsi="Times New Roman"/>
                <w:color w:val="000000"/>
                <w:sz w:val="24"/>
                <w:szCs w:val="24"/>
              </w:rPr>
            </w:pP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教育</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286"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cs="方正仿宋_GBK"/>
                <w:color w:val="000000"/>
                <w:sz w:val="24"/>
                <w:szCs w:val="24"/>
              </w:rPr>
            </w:pP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社会保障和就业</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581"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（二）专项转移支付收入</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75371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医疗卫生与计划生育</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527"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一般公共服务</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140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其他一般性转移支付</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国防</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（二）专项转移支付支出</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702 </w:t>
            </w: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公共安全</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一般公共服务</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15 </w:t>
            </w: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教育</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4106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国防</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科学技术</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600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公共安全</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518"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文化旅游体育与传媒</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762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教育</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社会保障和就业</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8147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科学技术</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医卫生健康</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4799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文化体育与传媒</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节能环保</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3790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社会保障和就业</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15 </w:t>
            </w:r>
          </w:p>
        </w:tc>
      </w:tr>
      <w:tr>
        <w:tblPrEx>
          <w:tblCellMar>
            <w:top w:w="15" w:type="dxa"/>
            <w:left w:w="15" w:type="dxa"/>
            <w:bottom w:w="15" w:type="dxa"/>
            <w:right w:w="15" w:type="dxa"/>
          </w:tblCellMar>
        </w:tblPrEx>
        <w:trPr>
          <w:trHeight w:val="472"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城乡社区</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604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医疗卫生与计划生育</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72 </w:t>
            </w: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农林水</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10996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节能环保</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交通运输</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16495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城乡社区</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600 </w:t>
            </w: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资源勘探信息等</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2861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农林水</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商业服务业等</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154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交通运输</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528"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自然资源海洋气象等</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897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资源勘探信息等</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住房保障</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7327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商业服务业等</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粮油物资储备</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国土海洋气象等</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其他 </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13693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住房保障</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right"/>
              <w:rPr>
                <w:rFonts w:cs="方正仿宋_GBK"/>
                <w:color w:val="000000"/>
                <w:sz w:val="24"/>
                <w:szCs w:val="24"/>
              </w:rPr>
            </w:pP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粮油物资储备</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right"/>
              <w:rPr>
                <w:rFonts w:cs="方正仿宋_GBK"/>
                <w:color w:val="000000"/>
                <w:sz w:val="24"/>
                <w:szCs w:val="24"/>
              </w:rPr>
            </w:pP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其他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right"/>
              <w:rPr>
                <w:rFonts w:cs="方正仿宋_GBK"/>
                <w:color w:val="000000"/>
                <w:sz w:val="24"/>
                <w:szCs w:val="24"/>
              </w:rPr>
            </w:pPr>
          </w:p>
        </w:tc>
        <w:tc>
          <w:tcPr>
            <w:tcW w:w="8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right"/>
              <w:rPr>
                <w:rFonts w:hint="default" w:ascii="Times New Roman" w:hAnsi="Times New Roman"/>
                <w:color w:val="000000"/>
                <w:sz w:val="24"/>
                <w:szCs w:val="24"/>
              </w:rPr>
            </w:pP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cs="方正仿宋_GBK"/>
                <w:color w:val="000000"/>
                <w:sz w:val="24"/>
                <w:szCs w:val="24"/>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二、镇街上解收入</w:t>
            </w:r>
          </w:p>
        </w:tc>
        <w:tc>
          <w:tcPr>
            <w:tcW w:w="8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642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三、地方政府债务还本支出</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10000 </w:t>
            </w:r>
          </w:p>
        </w:tc>
      </w:tr>
      <w:tr>
        <w:tblPrEx>
          <w:tblCellMar>
            <w:top w:w="15" w:type="dxa"/>
            <w:left w:w="15" w:type="dxa"/>
            <w:bottom w:w="15" w:type="dxa"/>
            <w:right w:w="15" w:type="dxa"/>
          </w:tblCellMar>
        </w:tblPrEx>
        <w:trPr>
          <w:trHeight w:val="495"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三、调入预算稳定调节基金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346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地方政府债券还本支出</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10000 </w:t>
            </w:r>
          </w:p>
        </w:tc>
      </w:tr>
      <w:tr>
        <w:tblPrEx>
          <w:tblCellMar>
            <w:top w:w="15" w:type="dxa"/>
            <w:left w:w="15" w:type="dxa"/>
            <w:bottom w:w="15" w:type="dxa"/>
            <w:right w:w="15" w:type="dxa"/>
          </w:tblCellMar>
        </w:tblPrEx>
        <w:trPr>
          <w:trHeight w:val="542"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四、调入资金</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10000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地方政府其他债务还本支出</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五、地方政府债券收入 </w:t>
            </w:r>
          </w:p>
        </w:tc>
        <w:tc>
          <w:tcPr>
            <w:tcW w:w="8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20000 </w:t>
            </w:r>
          </w:p>
        </w:tc>
        <w:tc>
          <w:tcPr>
            <w:tcW w:w="35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四、补充预算稳定调节基金</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161 </w:t>
            </w:r>
          </w:p>
        </w:tc>
      </w:tr>
      <w:tr>
        <w:tblPrEx>
          <w:tblCellMar>
            <w:top w:w="15" w:type="dxa"/>
            <w:left w:w="15" w:type="dxa"/>
            <w:bottom w:w="15" w:type="dxa"/>
            <w:right w:w="15" w:type="dxa"/>
          </w:tblCellMar>
        </w:tblPrEx>
        <w:trPr>
          <w:trHeight w:val="476" w:hRule="exact"/>
        </w:trPr>
        <w:tc>
          <w:tcPr>
            <w:tcW w:w="36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地方政府债券收入(新增）</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10000 </w:t>
            </w:r>
          </w:p>
        </w:tc>
        <w:tc>
          <w:tcPr>
            <w:tcW w:w="35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五、地方政府债券转贷支出 </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0 </w:t>
            </w:r>
          </w:p>
        </w:tc>
      </w:tr>
      <w:tr>
        <w:tblPrEx>
          <w:tblCellMar>
            <w:top w:w="15" w:type="dxa"/>
            <w:left w:w="15" w:type="dxa"/>
            <w:bottom w:w="15" w:type="dxa"/>
            <w:right w:w="15" w:type="dxa"/>
          </w:tblCellMar>
        </w:tblPrEx>
        <w:trPr>
          <w:trHeight w:val="749"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地方政府债券收入(置换）</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10000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地方政府债券转贷支出（新增）</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768" w:hRule="exact"/>
        </w:trPr>
        <w:tc>
          <w:tcPr>
            <w:tcW w:w="3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六、上年结转</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18508 </w:t>
            </w: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 xml:space="preserve">    地方政府债券转贷支出（置换）</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454" w:hRule="exact"/>
        </w:trPr>
        <w:tc>
          <w:tcPr>
            <w:tcW w:w="362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right"/>
              <w:rPr>
                <w:rFonts w:cs="方正仿宋_GBK"/>
                <w:color w:val="000000"/>
                <w:sz w:val="24"/>
                <w:szCs w:val="24"/>
              </w:rPr>
            </w:pPr>
          </w:p>
        </w:tc>
        <w:tc>
          <w:tcPr>
            <w:tcW w:w="8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right"/>
              <w:rPr>
                <w:rFonts w:cs="方正仿宋_GBK"/>
                <w:color w:val="000000"/>
                <w:sz w:val="24"/>
                <w:szCs w:val="24"/>
              </w:rPr>
            </w:pPr>
          </w:p>
        </w:tc>
        <w:tc>
          <w:tcPr>
            <w:tcW w:w="3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cs="方正仿宋_GBK"/>
                <w:color w:val="000000"/>
                <w:sz w:val="24"/>
                <w:szCs w:val="24"/>
              </w:rPr>
            </w:pPr>
            <w:r>
              <w:rPr>
                <w:rFonts w:cs="方正仿宋_GBK"/>
                <w:color w:val="000000"/>
                <w:sz w:val="24"/>
                <w:szCs w:val="24"/>
                <w:lang w:bidi="ar"/>
              </w:rPr>
              <w:t>六、结转下年</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17133 </w:t>
            </w:r>
          </w:p>
        </w:tc>
      </w:tr>
    </w:tbl>
    <w:p>
      <w:pPr>
        <w:spacing w:line="360" w:lineRule="exact"/>
        <w:rPr>
          <w:rFonts w:hint="default" w:ascii="Times New Roman" w:hAnsi="Times New Roman"/>
          <w:color w:val="000000"/>
          <w:sz w:val="28"/>
          <w:szCs w:val="28"/>
        </w:rPr>
      </w:pPr>
      <w:r>
        <w:rPr>
          <w:rFonts w:hint="default" w:ascii="Times New Roman" w:hAnsi="Times New Roman"/>
          <w:color w:val="000000"/>
          <w:sz w:val="28"/>
          <w:szCs w:val="28"/>
        </w:rPr>
        <w:t>注</w:t>
      </w:r>
      <w:r>
        <w:rPr>
          <w:rFonts w:ascii="Times New Roman" w:hAnsi="Times New Roman"/>
          <w:color w:val="000000"/>
          <w:sz w:val="28"/>
          <w:szCs w:val="28"/>
        </w:rPr>
        <w:t>：</w:t>
      </w:r>
      <w:r>
        <w:rPr>
          <w:rFonts w:hint="default" w:ascii="Times New Roman" w:hAnsi="Times New Roman"/>
          <w:color w:val="000000"/>
          <w:sz w:val="28"/>
          <w:szCs w:val="28"/>
        </w:rPr>
        <w:t>本表详细反映2018年一般公共预算转移支付收入和转移支付支出情况。</w:t>
      </w:r>
    </w:p>
    <w:p>
      <w:pPr>
        <w:spacing w:line="594" w:lineRule="exact"/>
        <w:rPr>
          <w:rFonts w:cs="方正仿宋_GBK"/>
          <w:color w:val="000000"/>
          <w:szCs w:val="32"/>
        </w:rPr>
      </w:pPr>
    </w:p>
    <w:p>
      <w:pPr>
        <w:spacing w:line="594" w:lineRule="exact"/>
        <w:rPr>
          <w:rFonts w:ascii="方正黑体_GBK" w:hAnsi="方正黑体_GBK" w:eastAsia="方正黑体_GBK" w:cs="方正黑体_GBK"/>
          <w:color w:val="000000"/>
          <w:szCs w:val="32"/>
        </w:rPr>
      </w:pPr>
      <w:r>
        <w:rPr>
          <w:rFonts w:hint="default" w:cs="方正仿宋_GBK"/>
          <w:color w:val="000000"/>
          <w:szCs w:val="32"/>
        </w:rPr>
        <w:br w:type="page"/>
      </w:r>
      <w:r>
        <w:rPr>
          <w:rFonts w:ascii="方正黑体_GBK" w:hAnsi="方正黑体_GBK" w:eastAsia="方正黑体_GBK" w:cs="方正黑体_GBK"/>
          <w:color w:val="000000"/>
          <w:szCs w:val="32"/>
        </w:rPr>
        <w:t>附件7</w:t>
      </w:r>
    </w:p>
    <w:p>
      <w:pPr>
        <w:spacing w:line="594" w:lineRule="exact"/>
        <w:jc w:val="center"/>
        <w:rPr>
          <w:rFonts w:cs="方正仿宋_GBK"/>
          <w:color w:val="000000"/>
          <w:spacing w:val="-23"/>
          <w:szCs w:val="32"/>
        </w:rPr>
      </w:pPr>
      <w:r>
        <w:rPr>
          <w:rFonts w:ascii="方正小标宋_GBK" w:hAnsi="方正小标宋_GBK" w:eastAsia="方正小标宋_GBK" w:cs="方正小标宋_GBK"/>
          <w:color w:val="000000"/>
          <w:spacing w:val="-23"/>
          <w:sz w:val="44"/>
          <w:szCs w:val="44"/>
        </w:rPr>
        <w:t>2018年区级一般公共预算转移支付支出执行表</w:t>
      </w:r>
    </w:p>
    <w:p>
      <w:pPr>
        <w:spacing w:line="594" w:lineRule="exact"/>
        <w:jc w:val="center"/>
        <w:rPr>
          <w:rFonts w:ascii="方正楷体_GBK" w:hAnsi="方正楷体_GBK" w:eastAsia="方正楷体_GBK" w:cs="方正楷体_GBK"/>
          <w:color w:val="000000"/>
          <w:sz w:val="32"/>
          <w:szCs w:val="32"/>
        </w:rPr>
      </w:pPr>
      <w:r>
        <w:rPr>
          <w:rFonts w:ascii="方正楷体_GBK" w:hAnsi="方正楷体_GBK" w:eastAsia="方正楷体_GBK" w:cs="方正楷体_GBK"/>
          <w:color w:val="000000"/>
          <w:sz w:val="32"/>
          <w:szCs w:val="32"/>
        </w:rPr>
        <w:t>（分地区）</w:t>
      </w:r>
    </w:p>
    <w:p>
      <w:pPr>
        <w:spacing w:line="594" w:lineRule="exact"/>
        <w:jc w:val="right"/>
        <w:rPr>
          <w:rFonts w:cs="方正仿宋_GBK"/>
          <w:color w:val="000000"/>
          <w:szCs w:val="32"/>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3543"/>
        <w:gridCol w:w="2856"/>
        <w:gridCol w:w="2475"/>
      </w:tblGrid>
      <w:tr>
        <w:tblPrEx>
          <w:tblCellMar>
            <w:top w:w="15" w:type="dxa"/>
            <w:left w:w="15" w:type="dxa"/>
            <w:bottom w:w="15" w:type="dxa"/>
            <w:right w:w="15" w:type="dxa"/>
          </w:tblCellMar>
        </w:tblPrEx>
        <w:trPr>
          <w:trHeight w:val="454" w:hRule="exact"/>
        </w:trPr>
        <w:tc>
          <w:tcPr>
            <w:tcW w:w="3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支      出</w:t>
            </w:r>
          </w:p>
        </w:tc>
        <w:tc>
          <w:tcPr>
            <w:tcW w:w="2856" w:type="dxa"/>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执行数</w:t>
            </w:r>
          </w:p>
        </w:tc>
      </w:tr>
      <w:tr>
        <w:tblPrEx>
          <w:tblCellMar>
            <w:top w:w="15" w:type="dxa"/>
            <w:left w:w="15" w:type="dxa"/>
            <w:bottom w:w="15" w:type="dxa"/>
            <w:right w:w="15" w:type="dxa"/>
          </w:tblCellMar>
        </w:tblPrEx>
        <w:trPr>
          <w:trHeight w:val="454" w:hRule="exact"/>
        </w:trPr>
        <w:tc>
          <w:tcPr>
            <w:tcW w:w="3543" w:type="dxa"/>
            <w:tcBorders>
              <w:top w:val="single" w:color="000000" w:sz="4" w:space="0"/>
              <w:left w:val="single" w:color="000000" w:sz="4" w:space="0"/>
              <w:bottom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补助镇街合计</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14274 </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19696 </w:t>
            </w:r>
          </w:p>
        </w:tc>
      </w:tr>
      <w:tr>
        <w:tblPrEx>
          <w:tblCellMar>
            <w:top w:w="15" w:type="dxa"/>
            <w:left w:w="15" w:type="dxa"/>
            <w:bottom w:w="15" w:type="dxa"/>
            <w:right w:w="15" w:type="dxa"/>
          </w:tblCellMar>
        </w:tblPrEx>
        <w:trPr>
          <w:trHeight w:val="454" w:hRule="exact"/>
        </w:trPr>
        <w:tc>
          <w:tcPr>
            <w:tcW w:w="35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cs="方正仿宋_GBK"/>
                <w:color w:val="000000"/>
                <w:sz w:val="28"/>
                <w:szCs w:val="28"/>
              </w:rPr>
            </w:pPr>
            <w:r>
              <w:rPr>
                <w:rFonts w:cs="方正仿宋_GBK"/>
                <w:color w:val="000000"/>
                <w:sz w:val="28"/>
                <w:szCs w:val="28"/>
                <w:lang w:bidi="ar"/>
              </w:rPr>
              <w:t>万盛街道</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1137 </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1825 </w:t>
            </w:r>
          </w:p>
        </w:tc>
      </w:tr>
      <w:tr>
        <w:tblPrEx>
          <w:tblCellMar>
            <w:top w:w="15" w:type="dxa"/>
            <w:left w:w="15" w:type="dxa"/>
            <w:bottom w:w="15" w:type="dxa"/>
            <w:right w:w="15" w:type="dxa"/>
          </w:tblCellMar>
        </w:tblPrEx>
        <w:trPr>
          <w:trHeight w:val="454" w:hRule="exact"/>
        </w:trPr>
        <w:tc>
          <w:tcPr>
            <w:tcW w:w="35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cs="方正仿宋_GBK"/>
                <w:color w:val="000000"/>
                <w:sz w:val="28"/>
                <w:szCs w:val="28"/>
              </w:rPr>
            </w:pPr>
            <w:r>
              <w:rPr>
                <w:rFonts w:cs="方正仿宋_GBK"/>
                <w:color w:val="000000"/>
                <w:sz w:val="28"/>
                <w:szCs w:val="28"/>
                <w:lang w:bidi="ar"/>
              </w:rPr>
              <w:t>东林街道</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1222 </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1597 </w:t>
            </w:r>
          </w:p>
        </w:tc>
      </w:tr>
      <w:tr>
        <w:tblPrEx>
          <w:tblCellMar>
            <w:top w:w="15" w:type="dxa"/>
            <w:left w:w="15" w:type="dxa"/>
            <w:bottom w:w="15" w:type="dxa"/>
            <w:right w:w="15" w:type="dxa"/>
          </w:tblCellMar>
        </w:tblPrEx>
        <w:trPr>
          <w:trHeight w:val="454" w:hRule="exact"/>
        </w:trPr>
        <w:tc>
          <w:tcPr>
            <w:tcW w:w="35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cs="方正仿宋_GBK"/>
                <w:color w:val="000000"/>
                <w:sz w:val="28"/>
                <w:szCs w:val="28"/>
              </w:rPr>
            </w:pPr>
            <w:r>
              <w:rPr>
                <w:rFonts w:cs="方正仿宋_GBK"/>
                <w:color w:val="000000"/>
                <w:sz w:val="28"/>
                <w:szCs w:val="28"/>
                <w:lang w:bidi="ar"/>
              </w:rPr>
              <w:t>万东镇</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1607 </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2979 </w:t>
            </w:r>
          </w:p>
        </w:tc>
      </w:tr>
      <w:tr>
        <w:tblPrEx>
          <w:tblCellMar>
            <w:top w:w="15" w:type="dxa"/>
            <w:left w:w="15" w:type="dxa"/>
            <w:bottom w:w="15" w:type="dxa"/>
            <w:right w:w="15" w:type="dxa"/>
          </w:tblCellMar>
        </w:tblPrEx>
        <w:trPr>
          <w:trHeight w:val="454" w:hRule="exact"/>
        </w:trPr>
        <w:tc>
          <w:tcPr>
            <w:tcW w:w="35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cs="方正仿宋_GBK"/>
                <w:color w:val="000000"/>
                <w:sz w:val="28"/>
                <w:szCs w:val="28"/>
              </w:rPr>
            </w:pPr>
            <w:r>
              <w:rPr>
                <w:rFonts w:cs="方正仿宋_GBK"/>
                <w:color w:val="000000"/>
                <w:sz w:val="28"/>
                <w:szCs w:val="28"/>
                <w:lang w:bidi="ar"/>
              </w:rPr>
              <w:t>南桐镇</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1958 </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2359 </w:t>
            </w:r>
          </w:p>
        </w:tc>
      </w:tr>
      <w:tr>
        <w:tblPrEx>
          <w:tblCellMar>
            <w:top w:w="15" w:type="dxa"/>
            <w:left w:w="15" w:type="dxa"/>
            <w:bottom w:w="15" w:type="dxa"/>
            <w:right w:w="15" w:type="dxa"/>
          </w:tblCellMar>
        </w:tblPrEx>
        <w:trPr>
          <w:trHeight w:val="454" w:hRule="exact"/>
        </w:trPr>
        <w:tc>
          <w:tcPr>
            <w:tcW w:w="35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cs="方正仿宋_GBK"/>
                <w:color w:val="000000"/>
                <w:sz w:val="28"/>
                <w:szCs w:val="28"/>
              </w:rPr>
            </w:pPr>
            <w:r>
              <w:rPr>
                <w:rFonts w:cs="方正仿宋_GBK"/>
                <w:color w:val="000000"/>
                <w:sz w:val="28"/>
                <w:szCs w:val="28"/>
                <w:lang w:bidi="ar"/>
              </w:rPr>
              <w:t>关坝镇</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1302 </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2671 </w:t>
            </w:r>
          </w:p>
        </w:tc>
      </w:tr>
      <w:tr>
        <w:tblPrEx>
          <w:tblCellMar>
            <w:top w:w="15" w:type="dxa"/>
            <w:left w:w="15" w:type="dxa"/>
            <w:bottom w:w="15" w:type="dxa"/>
            <w:right w:w="15" w:type="dxa"/>
          </w:tblCellMar>
        </w:tblPrEx>
        <w:trPr>
          <w:trHeight w:val="454" w:hRule="exact"/>
        </w:trPr>
        <w:tc>
          <w:tcPr>
            <w:tcW w:w="35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cs="方正仿宋_GBK"/>
                <w:color w:val="000000"/>
                <w:sz w:val="28"/>
                <w:szCs w:val="28"/>
              </w:rPr>
            </w:pPr>
            <w:r>
              <w:rPr>
                <w:rFonts w:cs="方正仿宋_GBK"/>
                <w:color w:val="000000"/>
                <w:sz w:val="28"/>
                <w:szCs w:val="28"/>
                <w:lang w:bidi="ar"/>
              </w:rPr>
              <w:t>青年镇</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2002 </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2155 </w:t>
            </w:r>
          </w:p>
        </w:tc>
      </w:tr>
      <w:tr>
        <w:tblPrEx>
          <w:tblCellMar>
            <w:top w:w="15" w:type="dxa"/>
            <w:left w:w="15" w:type="dxa"/>
            <w:bottom w:w="15" w:type="dxa"/>
            <w:right w:w="15" w:type="dxa"/>
          </w:tblCellMar>
        </w:tblPrEx>
        <w:trPr>
          <w:trHeight w:val="454" w:hRule="exact"/>
        </w:trPr>
        <w:tc>
          <w:tcPr>
            <w:tcW w:w="35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cs="方正仿宋_GBK"/>
                <w:color w:val="000000"/>
                <w:sz w:val="28"/>
                <w:szCs w:val="28"/>
              </w:rPr>
            </w:pPr>
            <w:r>
              <w:rPr>
                <w:rFonts w:cs="方正仿宋_GBK"/>
                <w:color w:val="000000"/>
                <w:sz w:val="28"/>
                <w:szCs w:val="28"/>
                <w:lang w:bidi="ar"/>
              </w:rPr>
              <w:t>丛林镇</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1290 </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1477 </w:t>
            </w:r>
          </w:p>
        </w:tc>
      </w:tr>
      <w:tr>
        <w:tblPrEx>
          <w:tblCellMar>
            <w:top w:w="15" w:type="dxa"/>
            <w:left w:w="15" w:type="dxa"/>
            <w:bottom w:w="15" w:type="dxa"/>
            <w:right w:w="15" w:type="dxa"/>
          </w:tblCellMar>
        </w:tblPrEx>
        <w:trPr>
          <w:trHeight w:val="454" w:hRule="exact"/>
        </w:trPr>
        <w:tc>
          <w:tcPr>
            <w:tcW w:w="35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cs="方正仿宋_GBK"/>
                <w:color w:val="000000"/>
                <w:sz w:val="28"/>
                <w:szCs w:val="28"/>
              </w:rPr>
            </w:pPr>
            <w:r>
              <w:rPr>
                <w:rFonts w:cs="方正仿宋_GBK"/>
                <w:color w:val="000000"/>
                <w:sz w:val="28"/>
                <w:szCs w:val="28"/>
                <w:lang w:bidi="ar"/>
              </w:rPr>
              <w:t>黑山镇</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1270 </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1481 </w:t>
            </w:r>
          </w:p>
        </w:tc>
      </w:tr>
      <w:tr>
        <w:tblPrEx>
          <w:tblCellMar>
            <w:top w:w="15" w:type="dxa"/>
            <w:left w:w="15" w:type="dxa"/>
            <w:bottom w:w="15" w:type="dxa"/>
            <w:right w:w="15" w:type="dxa"/>
          </w:tblCellMar>
        </w:tblPrEx>
        <w:trPr>
          <w:trHeight w:val="454" w:hRule="exact"/>
        </w:trPr>
        <w:tc>
          <w:tcPr>
            <w:tcW w:w="35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cs="方正仿宋_GBK"/>
                <w:color w:val="000000"/>
                <w:sz w:val="28"/>
                <w:szCs w:val="28"/>
              </w:rPr>
            </w:pPr>
            <w:r>
              <w:rPr>
                <w:rFonts w:cs="方正仿宋_GBK"/>
                <w:color w:val="000000"/>
                <w:sz w:val="28"/>
                <w:szCs w:val="28"/>
                <w:lang w:bidi="ar"/>
              </w:rPr>
              <w:t>石林镇</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1222 </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1668 </w:t>
            </w:r>
          </w:p>
        </w:tc>
      </w:tr>
      <w:tr>
        <w:tblPrEx>
          <w:tblCellMar>
            <w:top w:w="15" w:type="dxa"/>
            <w:left w:w="15" w:type="dxa"/>
            <w:bottom w:w="15" w:type="dxa"/>
            <w:right w:w="15" w:type="dxa"/>
          </w:tblCellMar>
        </w:tblPrEx>
        <w:trPr>
          <w:trHeight w:val="454" w:hRule="exact"/>
        </w:trPr>
        <w:tc>
          <w:tcPr>
            <w:tcW w:w="35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cs="方正仿宋_GBK"/>
                <w:color w:val="000000"/>
                <w:sz w:val="28"/>
                <w:szCs w:val="28"/>
              </w:rPr>
            </w:pPr>
            <w:r>
              <w:rPr>
                <w:rFonts w:cs="方正仿宋_GBK"/>
                <w:color w:val="000000"/>
                <w:sz w:val="28"/>
                <w:szCs w:val="28"/>
                <w:lang w:bidi="ar"/>
              </w:rPr>
              <w:t>金桥镇</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1264 </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1484 </w:t>
            </w:r>
          </w:p>
        </w:tc>
      </w:tr>
    </w:tbl>
    <w:p>
      <w:pPr>
        <w:spacing w:line="594" w:lineRule="exact"/>
        <w:rPr>
          <w:rFonts w:cs="方正仿宋_GBK"/>
          <w:color w:val="000000"/>
          <w:szCs w:val="32"/>
        </w:rPr>
      </w:pPr>
    </w:p>
    <w:p>
      <w:pPr>
        <w:spacing w:line="594" w:lineRule="exact"/>
        <w:rPr>
          <w:rFonts w:ascii="方正黑体_GBK" w:hAnsi="方正黑体_GBK" w:eastAsia="方正黑体_GBK" w:cs="方正黑体_GBK"/>
          <w:color w:val="000000"/>
          <w:szCs w:val="32"/>
        </w:rPr>
      </w:pPr>
      <w:r>
        <w:rPr>
          <w:rFonts w:hint="default" w:cs="方正仿宋_GBK"/>
          <w:color w:val="000000"/>
          <w:szCs w:val="32"/>
        </w:rPr>
        <w:br w:type="page"/>
      </w:r>
      <w:r>
        <w:rPr>
          <w:rFonts w:ascii="方正黑体_GBK" w:hAnsi="方正黑体_GBK" w:eastAsia="方正黑体_GBK" w:cs="方正黑体_GBK"/>
          <w:color w:val="000000"/>
          <w:szCs w:val="32"/>
        </w:rPr>
        <w:t>附件8</w:t>
      </w:r>
    </w:p>
    <w:p>
      <w:pPr>
        <w:spacing w:line="594" w:lineRule="exact"/>
        <w:jc w:val="center"/>
        <w:rPr>
          <w:rFonts w:ascii="方正小标宋_GBK" w:hAnsi="方正小标宋_GBK" w:eastAsia="方正小标宋_GBK" w:cs="方正小标宋_GBK"/>
          <w:color w:val="000000"/>
          <w:spacing w:val="-23"/>
          <w:sz w:val="44"/>
          <w:szCs w:val="44"/>
        </w:rPr>
      </w:pPr>
      <w:r>
        <w:rPr>
          <w:rFonts w:ascii="方正小标宋_GBK" w:hAnsi="方正小标宋_GBK" w:eastAsia="方正小标宋_GBK" w:cs="方正小标宋_GBK"/>
          <w:color w:val="000000"/>
          <w:spacing w:val="-23"/>
          <w:sz w:val="44"/>
          <w:szCs w:val="44"/>
        </w:rPr>
        <w:t>2018年区级一般公共预算转移支付支出执行表</w:t>
      </w:r>
    </w:p>
    <w:p>
      <w:pPr>
        <w:spacing w:line="594" w:lineRule="exact"/>
        <w:jc w:val="center"/>
        <w:rPr>
          <w:rFonts w:ascii="方正楷体_GBK" w:hAnsi="方正楷体_GBK" w:eastAsia="方正楷体_GBK" w:cs="方正楷体_GBK"/>
          <w:color w:val="000000"/>
          <w:sz w:val="32"/>
          <w:szCs w:val="32"/>
        </w:rPr>
      </w:pPr>
      <w:r>
        <w:rPr>
          <w:rFonts w:ascii="方正楷体_GBK" w:hAnsi="方正楷体_GBK" w:eastAsia="方正楷体_GBK" w:cs="方正楷体_GBK"/>
          <w:color w:val="000000"/>
          <w:sz w:val="32"/>
          <w:szCs w:val="32"/>
        </w:rPr>
        <w:t>（分项目）</w:t>
      </w:r>
    </w:p>
    <w:p>
      <w:pPr>
        <w:spacing w:line="594" w:lineRule="exact"/>
        <w:jc w:val="right"/>
        <w:rPr>
          <w:rFonts w:cs="方正仿宋_GBK"/>
          <w:color w:val="000000"/>
          <w:szCs w:val="32"/>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5937"/>
        <w:gridCol w:w="1928"/>
        <w:gridCol w:w="1009"/>
      </w:tblGrid>
      <w:tr>
        <w:tblPrEx>
          <w:tblCellMar>
            <w:top w:w="15" w:type="dxa"/>
            <w:left w:w="15" w:type="dxa"/>
            <w:bottom w:w="15" w:type="dxa"/>
            <w:right w:w="15" w:type="dxa"/>
          </w:tblCellMar>
        </w:tblPrEx>
        <w:trPr>
          <w:trHeight w:val="454" w:hRule="exact"/>
        </w:trPr>
        <w:tc>
          <w:tcPr>
            <w:tcW w:w="5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支      出</w:t>
            </w:r>
          </w:p>
        </w:tc>
        <w:tc>
          <w:tcPr>
            <w:tcW w:w="1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执行数</w:t>
            </w:r>
          </w:p>
        </w:tc>
      </w:tr>
      <w:tr>
        <w:tblPrEx>
          <w:tblCellMar>
            <w:top w:w="15" w:type="dxa"/>
            <w:left w:w="15" w:type="dxa"/>
            <w:bottom w:w="15" w:type="dxa"/>
            <w:right w:w="15" w:type="dxa"/>
          </w:tblCellMar>
        </w:tblPrEx>
        <w:trPr>
          <w:trHeight w:val="454" w:hRule="exact"/>
        </w:trPr>
        <w:tc>
          <w:tcPr>
            <w:tcW w:w="5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补助镇街合计</w:t>
            </w:r>
          </w:p>
        </w:tc>
        <w:tc>
          <w:tcPr>
            <w:tcW w:w="1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14274 </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19696 </w:t>
            </w:r>
          </w:p>
        </w:tc>
      </w:tr>
      <w:tr>
        <w:tblPrEx>
          <w:tblCellMar>
            <w:top w:w="15" w:type="dxa"/>
            <w:left w:w="15" w:type="dxa"/>
            <w:bottom w:w="15" w:type="dxa"/>
            <w:right w:w="15" w:type="dxa"/>
          </w:tblCellMar>
        </w:tblPrEx>
        <w:trPr>
          <w:trHeight w:val="454" w:hRule="exact"/>
        </w:trPr>
        <w:tc>
          <w:tcPr>
            <w:tcW w:w="5937" w:type="dxa"/>
            <w:tcBorders>
              <w:top w:val="single" w:color="000000" w:sz="4" w:space="0"/>
              <w:left w:val="single" w:color="000000" w:sz="4" w:space="0"/>
              <w:bottom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一、一般性转移支付</w:t>
            </w:r>
          </w:p>
        </w:tc>
        <w:tc>
          <w:tcPr>
            <w:tcW w:w="1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13674 </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18994 </w:t>
            </w:r>
          </w:p>
        </w:tc>
      </w:tr>
      <w:tr>
        <w:tblPrEx>
          <w:tblCellMar>
            <w:top w:w="15" w:type="dxa"/>
            <w:left w:w="15" w:type="dxa"/>
            <w:bottom w:w="15" w:type="dxa"/>
            <w:right w:w="15" w:type="dxa"/>
          </w:tblCellMar>
        </w:tblPrEx>
        <w:trPr>
          <w:trHeight w:val="454" w:hRule="exact"/>
        </w:trPr>
        <w:tc>
          <w:tcPr>
            <w:tcW w:w="5937" w:type="dxa"/>
            <w:tcBorders>
              <w:top w:val="single" w:color="000000" w:sz="4" w:space="0"/>
              <w:left w:val="single" w:color="000000" w:sz="4" w:space="0"/>
              <w:bottom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1.体制补助</w:t>
            </w:r>
          </w:p>
        </w:tc>
        <w:tc>
          <w:tcPr>
            <w:tcW w:w="1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13674 </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13674 </w:t>
            </w:r>
          </w:p>
        </w:tc>
      </w:tr>
      <w:tr>
        <w:tblPrEx>
          <w:tblCellMar>
            <w:top w:w="15" w:type="dxa"/>
            <w:left w:w="15" w:type="dxa"/>
            <w:bottom w:w="15" w:type="dxa"/>
            <w:right w:w="15" w:type="dxa"/>
          </w:tblCellMar>
        </w:tblPrEx>
        <w:trPr>
          <w:trHeight w:val="454" w:hRule="exact"/>
        </w:trPr>
        <w:tc>
          <w:tcPr>
            <w:tcW w:w="5937" w:type="dxa"/>
            <w:tcBorders>
              <w:top w:val="single" w:color="000000" w:sz="4" w:space="0"/>
              <w:left w:val="single" w:color="000000" w:sz="4" w:space="0"/>
              <w:bottom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2.均衡性转移支付</w:t>
            </w:r>
          </w:p>
        </w:tc>
        <w:tc>
          <w:tcPr>
            <w:tcW w:w="1928" w:type="dxa"/>
            <w:tcBorders>
              <w:top w:val="single" w:color="000000" w:sz="4" w:space="0"/>
              <w:left w:val="single" w:color="000000" w:sz="4" w:space="0"/>
              <w:bottom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1197 </w:t>
            </w:r>
          </w:p>
        </w:tc>
      </w:tr>
      <w:tr>
        <w:tblPrEx>
          <w:tblCellMar>
            <w:top w:w="15" w:type="dxa"/>
            <w:left w:w="15" w:type="dxa"/>
            <w:bottom w:w="15" w:type="dxa"/>
            <w:right w:w="15" w:type="dxa"/>
          </w:tblCellMar>
        </w:tblPrEx>
        <w:trPr>
          <w:trHeight w:val="454" w:hRule="exact"/>
        </w:trPr>
        <w:tc>
          <w:tcPr>
            <w:tcW w:w="5937" w:type="dxa"/>
            <w:tcBorders>
              <w:top w:val="single" w:color="000000" w:sz="4" w:space="0"/>
              <w:left w:val="single" w:color="000000" w:sz="4" w:space="0"/>
              <w:bottom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3.结算补助</w:t>
            </w:r>
          </w:p>
        </w:tc>
        <w:tc>
          <w:tcPr>
            <w:tcW w:w="1928" w:type="dxa"/>
            <w:tcBorders>
              <w:top w:val="single" w:color="000000" w:sz="4" w:space="0"/>
              <w:left w:val="single" w:color="000000" w:sz="4" w:space="0"/>
              <w:bottom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4123 </w:t>
            </w:r>
          </w:p>
        </w:tc>
      </w:tr>
      <w:tr>
        <w:tblPrEx>
          <w:tblCellMar>
            <w:top w:w="15" w:type="dxa"/>
            <w:left w:w="15" w:type="dxa"/>
            <w:bottom w:w="15" w:type="dxa"/>
            <w:right w:w="15" w:type="dxa"/>
          </w:tblCellMar>
        </w:tblPrEx>
        <w:trPr>
          <w:trHeight w:val="454" w:hRule="exact"/>
        </w:trPr>
        <w:tc>
          <w:tcPr>
            <w:tcW w:w="5937" w:type="dxa"/>
            <w:tcBorders>
              <w:top w:val="single" w:color="000000" w:sz="4" w:space="0"/>
              <w:left w:val="single" w:color="000000" w:sz="4" w:space="0"/>
              <w:bottom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二、专项转移支付</w:t>
            </w:r>
          </w:p>
        </w:tc>
        <w:tc>
          <w:tcPr>
            <w:tcW w:w="1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600 </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702 </w:t>
            </w:r>
          </w:p>
        </w:tc>
      </w:tr>
      <w:tr>
        <w:tblPrEx>
          <w:tblCellMar>
            <w:top w:w="15" w:type="dxa"/>
            <w:left w:w="15" w:type="dxa"/>
            <w:bottom w:w="15" w:type="dxa"/>
            <w:right w:w="15" w:type="dxa"/>
          </w:tblCellMar>
        </w:tblPrEx>
        <w:trPr>
          <w:trHeight w:val="454" w:hRule="exact"/>
        </w:trPr>
        <w:tc>
          <w:tcPr>
            <w:tcW w:w="5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1.特色小镇城镇建设</w:t>
            </w:r>
          </w:p>
        </w:tc>
        <w:tc>
          <w:tcPr>
            <w:tcW w:w="1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600 </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600 </w:t>
            </w:r>
          </w:p>
        </w:tc>
      </w:tr>
      <w:tr>
        <w:tblPrEx>
          <w:tblCellMar>
            <w:top w:w="15" w:type="dxa"/>
            <w:left w:w="15" w:type="dxa"/>
            <w:bottom w:w="15" w:type="dxa"/>
            <w:right w:w="15" w:type="dxa"/>
          </w:tblCellMar>
        </w:tblPrEx>
        <w:trPr>
          <w:trHeight w:val="454" w:hRule="exact"/>
        </w:trPr>
        <w:tc>
          <w:tcPr>
            <w:tcW w:w="5937" w:type="dxa"/>
            <w:tcBorders>
              <w:top w:val="single" w:color="000000" w:sz="4" w:space="0"/>
              <w:left w:val="single" w:color="000000" w:sz="4" w:space="0"/>
              <w:bottom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2.2018年村社食品药品监管协管员经费</w:t>
            </w:r>
          </w:p>
        </w:tc>
        <w:tc>
          <w:tcPr>
            <w:tcW w:w="1928" w:type="dxa"/>
            <w:tcBorders>
              <w:top w:val="single" w:color="000000" w:sz="4" w:space="0"/>
              <w:left w:val="single" w:color="000000" w:sz="4" w:space="0"/>
              <w:bottom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36 </w:t>
            </w:r>
          </w:p>
        </w:tc>
      </w:tr>
      <w:tr>
        <w:tblPrEx>
          <w:tblCellMar>
            <w:top w:w="15" w:type="dxa"/>
            <w:left w:w="15" w:type="dxa"/>
            <w:bottom w:w="15" w:type="dxa"/>
            <w:right w:w="15" w:type="dxa"/>
          </w:tblCellMar>
        </w:tblPrEx>
        <w:trPr>
          <w:trHeight w:val="454" w:hRule="exact"/>
        </w:trPr>
        <w:tc>
          <w:tcPr>
            <w:tcW w:w="5937" w:type="dxa"/>
            <w:tcBorders>
              <w:top w:val="single" w:color="000000" w:sz="4" w:space="0"/>
              <w:left w:val="single" w:color="000000" w:sz="4" w:space="0"/>
              <w:bottom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3.2019年村社食品药品协管员经费</w:t>
            </w:r>
          </w:p>
        </w:tc>
        <w:tc>
          <w:tcPr>
            <w:tcW w:w="1928" w:type="dxa"/>
            <w:tcBorders>
              <w:top w:val="single" w:color="000000" w:sz="4" w:space="0"/>
              <w:left w:val="single" w:color="000000" w:sz="4" w:space="0"/>
              <w:bottom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36 </w:t>
            </w:r>
          </w:p>
        </w:tc>
      </w:tr>
      <w:tr>
        <w:tblPrEx>
          <w:tblCellMar>
            <w:top w:w="15" w:type="dxa"/>
            <w:left w:w="15" w:type="dxa"/>
            <w:bottom w:w="15" w:type="dxa"/>
            <w:right w:w="15" w:type="dxa"/>
          </w:tblCellMar>
        </w:tblPrEx>
        <w:trPr>
          <w:trHeight w:val="454" w:hRule="exact"/>
        </w:trPr>
        <w:tc>
          <w:tcPr>
            <w:tcW w:w="5937" w:type="dxa"/>
            <w:tcBorders>
              <w:top w:val="single" w:color="000000" w:sz="4" w:space="0"/>
              <w:left w:val="single" w:color="000000" w:sz="4" w:space="0"/>
              <w:bottom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4.区监察室派出机构</w:t>
            </w:r>
          </w:p>
        </w:tc>
        <w:tc>
          <w:tcPr>
            <w:tcW w:w="1928" w:type="dxa"/>
            <w:tcBorders>
              <w:top w:val="single" w:color="000000" w:sz="4" w:space="0"/>
              <w:left w:val="single" w:color="000000" w:sz="4" w:space="0"/>
              <w:bottom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 </w:t>
            </w:r>
          </w:p>
        </w:tc>
      </w:tr>
      <w:tr>
        <w:tblPrEx>
          <w:tblCellMar>
            <w:top w:w="15" w:type="dxa"/>
            <w:left w:w="15" w:type="dxa"/>
            <w:bottom w:w="15" w:type="dxa"/>
            <w:right w:w="15" w:type="dxa"/>
          </w:tblCellMar>
        </w:tblPrEx>
        <w:trPr>
          <w:trHeight w:val="454" w:hRule="exact"/>
        </w:trPr>
        <w:tc>
          <w:tcPr>
            <w:tcW w:w="5937" w:type="dxa"/>
            <w:tcBorders>
              <w:top w:val="single" w:color="000000" w:sz="4" w:space="0"/>
              <w:left w:val="single" w:color="000000" w:sz="4" w:space="0"/>
              <w:bottom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5.大学生村官社保经费补助</w:t>
            </w:r>
          </w:p>
        </w:tc>
        <w:tc>
          <w:tcPr>
            <w:tcW w:w="1928" w:type="dxa"/>
            <w:tcBorders>
              <w:top w:val="single" w:color="000000" w:sz="4" w:space="0"/>
              <w:left w:val="single" w:color="000000" w:sz="4" w:space="0"/>
              <w:bottom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 </w:t>
            </w:r>
          </w:p>
        </w:tc>
      </w:tr>
    </w:tbl>
    <w:p>
      <w:pPr>
        <w:spacing w:line="594" w:lineRule="exact"/>
        <w:rPr>
          <w:rFonts w:cs="方正仿宋_GBK"/>
          <w:color w:val="000000"/>
          <w:szCs w:val="32"/>
        </w:rPr>
      </w:pPr>
    </w:p>
    <w:p>
      <w:pPr>
        <w:spacing w:line="594" w:lineRule="exact"/>
        <w:rPr>
          <w:rFonts w:cs="方正仿宋_GBK"/>
          <w:color w:val="000000"/>
          <w:szCs w:val="32"/>
        </w:rPr>
      </w:pPr>
    </w:p>
    <w:p>
      <w:pPr>
        <w:spacing w:line="594" w:lineRule="exact"/>
        <w:rPr>
          <w:rFonts w:ascii="方正黑体_GBK" w:hAnsi="方正黑体_GBK" w:eastAsia="方正黑体_GBK" w:cs="方正黑体_GBK"/>
          <w:color w:val="000000"/>
          <w:szCs w:val="32"/>
        </w:rPr>
      </w:pPr>
      <w:r>
        <w:rPr>
          <w:rFonts w:hint="default" w:cs="方正仿宋_GBK"/>
          <w:color w:val="000000"/>
          <w:szCs w:val="32"/>
        </w:rPr>
        <w:br w:type="page"/>
      </w:r>
      <w:r>
        <w:rPr>
          <w:rFonts w:ascii="方正黑体_GBK" w:hAnsi="方正黑体_GBK" w:eastAsia="方正黑体_GBK" w:cs="方正黑体_GBK"/>
          <w:color w:val="000000"/>
          <w:szCs w:val="32"/>
        </w:rPr>
        <w:t>附件9</w:t>
      </w:r>
    </w:p>
    <w:p>
      <w:pPr>
        <w:spacing w:line="594" w:lineRule="exact"/>
        <w:jc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t>2018年区级政府性基金预算收支执行表</w:t>
      </w:r>
    </w:p>
    <w:p>
      <w:pPr>
        <w:spacing w:line="594" w:lineRule="exact"/>
        <w:jc w:val="right"/>
        <w:rPr>
          <w:rFonts w:cs="方正仿宋_GBK"/>
          <w:color w:val="000000"/>
          <w:szCs w:val="32"/>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4060"/>
        <w:gridCol w:w="1055"/>
        <w:gridCol w:w="970"/>
        <w:gridCol w:w="877"/>
        <w:gridCol w:w="1018"/>
        <w:gridCol w:w="894"/>
      </w:tblGrid>
      <w:tr>
        <w:tblPrEx>
          <w:tblCellMar>
            <w:top w:w="15" w:type="dxa"/>
            <w:left w:w="15" w:type="dxa"/>
            <w:bottom w:w="15" w:type="dxa"/>
            <w:right w:w="15" w:type="dxa"/>
          </w:tblCellMar>
        </w:tblPrEx>
        <w:trPr>
          <w:trHeight w:val="1468" w:hRule="exact"/>
          <w:tblHeader/>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收        入</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lang w:bidi="ar"/>
              </w:rPr>
            </w:pPr>
            <w:r>
              <w:rPr>
                <w:rFonts w:ascii="方正黑体_GBK" w:hAnsi="方正黑体_GBK" w:eastAsia="方正黑体_GBK" w:cs="方正黑体_GBK"/>
                <w:color w:val="000000"/>
                <w:sz w:val="28"/>
                <w:szCs w:val="28"/>
                <w:lang w:bidi="ar"/>
              </w:rPr>
              <w:t>调整</w:t>
            </w:r>
          </w:p>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执行数</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执行数为调整预算%</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执行数比上年决算数增长%</w:t>
            </w:r>
          </w:p>
        </w:tc>
      </w:tr>
      <w:tr>
        <w:tblPrEx>
          <w:tblCellMar>
            <w:top w:w="15" w:type="dxa"/>
            <w:left w:w="15" w:type="dxa"/>
            <w:bottom w:w="15" w:type="dxa"/>
            <w:right w:w="15" w:type="dxa"/>
          </w:tblCellMar>
        </w:tblPrEx>
        <w:trPr>
          <w:trHeight w:val="454"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总         计</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33350 </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76831 </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77359 </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100.7 </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163.6 </w:t>
            </w:r>
          </w:p>
        </w:tc>
      </w:tr>
      <w:tr>
        <w:tblPrEx>
          <w:tblCellMar>
            <w:top w:w="15" w:type="dxa"/>
            <w:left w:w="15" w:type="dxa"/>
            <w:bottom w:w="15" w:type="dxa"/>
            <w:right w:w="15" w:type="dxa"/>
          </w:tblCellMar>
        </w:tblPrEx>
        <w:trPr>
          <w:trHeight w:val="454"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本级收入合计</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30000 </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30000 </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30000 </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100.0 </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25.7 </w:t>
            </w:r>
          </w:p>
        </w:tc>
      </w:tr>
      <w:tr>
        <w:tblPrEx>
          <w:tblCellMar>
            <w:top w:w="15" w:type="dxa"/>
            <w:left w:w="15" w:type="dxa"/>
            <w:bottom w:w="15" w:type="dxa"/>
            <w:right w:w="15" w:type="dxa"/>
          </w:tblCellMar>
        </w:tblPrEx>
        <w:trPr>
          <w:trHeight w:val="454"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一、农网还贷资金收入</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4"/>
                <w:rFonts w:hint="default" w:ascii="Times New Roman" w:hAnsi="Times New Roman" w:eastAsia="方正仿宋_GBK" w:cs="Times New Roman"/>
                <w:sz w:val="28"/>
                <w:szCs w:val="28"/>
                <w:lang w:bidi="ar"/>
              </w:rPr>
              <w:t>—</w:t>
            </w:r>
            <w:r>
              <w:rPr>
                <w:rStyle w:val="15"/>
                <w:rFonts w:hint="default" w:ascii="Times New Roman" w:hAnsi="Times New Roman" w:eastAsia="方正仿宋_GBK" w:cs="Times New Roman"/>
                <w:sz w:val="28"/>
                <w:szCs w:val="28"/>
                <w:lang w:bidi="ar"/>
              </w:rPr>
              <w:t>0</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4"/>
                <w:rFonts w:hint="default" w:ascii="Times New Roman" w:hAnsi="Times New Roman" w:eastAsia="方正仿宋_GBK" w:cs="Times New Roman"/>
                <w:sz w:val="28"/>
                <w:szCs w:val="28"/>
                <w:lang w:bidi="ar"/>
              </w:rPr>
              <w:t>—</w:t>
            </w:r>
            <w:r>
              <w:rPr>
                <w:rStyle w:val="15"/>
                <w:rFonts w:hint="default" w:ascii="Times New Roman" w:hAnsi="Times New Roman" w:eastAsia="方正仿宋_GBK" w:cs="Times New Roman"/>
                <w:sz w:val="28"/>
                <w:szCs w:val="28"/>
                <w:lang w:bidi="ar"/>
              </w:rPr>
              <w:t>0</w:t>
            </w:r>
          </w:p>
        </w:tc>
      </w:tr>
      <w:tr>
        <w:tblPrEx>
          <w:tblCellMar>
            <w:top w:w="15" w:type="dxa"/>
            <w:left w:w="15" w:type="dxa"/>
            <w:bottom w:w="15" w:type="dxa"/>
            <w:right w:w="15" w:type="dxa"/>
          </w:tblCellMar>
        </w:tblPrEx>
        <w:trPr>
          <w:trHeight w:val="454"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二、港口建设费收入</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4"/>
                <w:rFonts w:hint="default" w:ascii="Times New Roman" w:hAnsi="Times New Roman" w:eastAsia="方正仿宋_GBK" w:cs="Times New Roman"/>
                <w:sz w:val="28"/>
                <w:szCs w:val="28"/>
                <w:lang w:bidi="ar"/>
              </w:rPr>
              <w:t>—</w:t>
            </w:r>
            <w:r>
              <w:rPr>
                <w:rStyle w:val="15"/>
                <w:rFonts w:hint="default" w:ascii="Times New Roman" w:hAnsi="Times New Roman" w:eastAsia="方正仿宋_GBK" w:cs="Times New Roman"/>
                <w:sz w:val="28"/>
                <w:szCs w:val="28"/>
                <w:lang w:bidi="ar"/>
              </w:rPr>
              <w:t>0</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4"/>
                <w:rFonts w:hint="default" w:ascii="Times New Roman" w:hAnsi="Times New Roman" w:eastAsia="方正仿宋_GBK" w:cs="Times New Roman"/>
                <w:sz w:val="28"/>
                <w:szCs w:val="28"/>
                <w:lang w:bidi="ar"/>
              </w:rPr>
              <w:t>—</w:t>
            </w:r>
            <w:r>
              <w:rPr>
                <w:rStyle w:val="15"/>
                <w:rFonts w:hint="default" w:ascii="Times New Roman" w:hAnsi="Times New Roman" w:eastAsia="方正仿宋_GBK" w:cs="Times New Roman"/>
                <w:sz w:val="28"/>
                <w:szCs w:val="28"/>
                <w:lang w:bidi="ar"/>
              </w:rPr>
              <w:t>0</w:t>
            </w:r>
          </w:p>
        </w:tc>
      </w:tr>
      <w:tr>
        <w:tblPrEx>
          <w:tblCellMar>
            <w:top w:w="15" w:type="dxa"/>
            <w:left w:w="15" w:type="dxa"/>
            <w:bottom w:w="15" w:type="dxa"/>
            <w:right w:w="15" w:type="dxa"/>
          </w:tblCellMar>
        </w:tblPrEx>
        <w:trPr>
          <w:trHeight w:val="806"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三、国家电影事业发展专项资金收入</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4"/>
                <w:rFonts w:hint="default" w:ascii="Times New Roman" w:hAnsi="Times New Roman" w:eastAsia="方正仿宋_GBK" w:cs="Times New Roman"/>
                <w:sz w:val="28"/>
                <w:szCs w:val="28"/>
                <w:lang w:bidi="ar"/>
              </w:rPr>
              <w:t>—</w:t>
            </w:r>
            <w:r>
              <w:rPr>
                <w:rStyle w:val="15"/>
                <w:rFonts w:hint="default" w:ascii="Times New Roman" w:hAnsi="Times New Roman" w:eastAsia="方正仿宋_GBK" w:cs="Times New Roman"/>
                <w:sz w:val="28"/>
                <w:szCs w:val="28"/>
                <w:lang w:bidi="ar"/>
              </w:rPr>
              <w:t>0</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4"/>
                <w:rFonts w:hint="default" w:ascii="Times New Roman" w:hAnsi="Times New Roman" w:eastAsia="方正仿宋_GBK" w:cs="Times New Roman"/>
                <w:sz w:val="28"/>
                <w:szCs w:val="28"/>
                <w:lang w:bidi="ar"/>
              </w:rPr>
              <w:t>—</w:t>
            </w:r>
            <w:r>
              <w:rPr>
                <w:rStyle w:val="15"/>
                <w:rFonts w:hint="default" w:ascii="Times New Roman" w:hAnsi="Times New Roman" w:eastAsia="方正仿宋_GBK" w:cs="Times New Roman"/>
                <w:sz w:val="28"/>
                <w:szCs w:val="28"/>
                <w:lang w:bidi="ar"/>
              </w:rPr>
              <w:t>0</w:t>
            </w:r>
          </w:p>
        </w:tc>
      </w:tr>
      <w:tr>
        <w:tblPrEx>
          <w:tblCellMar>
            <w:top w:w="15" w:type="dxa"/>
            <w:left w:w="15" w:type="dxa"/>
            <w:bottom w:w="15" w:type="dxa"/>
            <w:right w:w="15" w:type="dxa"/>
          </w:tblCellMar>
        </w:tblPrEx>
        <w:trPr>
          <w:trHeight w:val="454"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四、国有土地收益基金收入</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200 </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 </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 </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-80.0 </w:t>
            </w:r>
          </w:p>
        </w:tc>
      </w:tr>
      <w:tr>
        <w:tblPrEx>
          <w:tblCellMar>
            <w:top w:w="15" w:type="dxa"/>
            <w:left w:w="15" w:type="dxa"/>
            <w:bottom w:w="15" w:type="dxa"/>
            <w:right w:w="15" w:type="dxa"/>
          </w:tblCellMar>
        </w:tblPrEx>
        <w:trPr>
          <w:trHeight w:val="454"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五、农业土地开发资金收入</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600 </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 </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 </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-77.2 </w:t>
            </w:r>
          </w:p>
        </w:tc>
      </w:tr>
      <w:tr>
        <w:tblPrEx>
          <w:tblCellMar>
            <w:top w:w="15" w:type="dxa"/>
            <w:left w:w="15" w:type="dxa"/>
            <w:bottom w:w="15" w:type="dxa"/>
            <w:right w:w="15" w:type="dxa"/>
          </w:tblCellMar>
        </w:tblPrEx>
        <w:trPr>
          <w:trHeight w:val="454"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六、国有土地使用权出让收入</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29200 </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20568 </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20568 </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-11.4 </w:t>
            </w:r>
          </w:p>
        </w:tc>
      </w:tr>
      <w:tr>
        <w:tblPrEx>
          <w:tblCellMar>
            <w:top w:w="15" w:type="dxa"/>
            <w:left w:w="15" w:type="dxa"/>
            <w:bottom w:w="15" w:type="dxa"/>
            <w:right w:w="15" w:type="dxa"/>
          </w:tblCellMar>
        </w:tblPrEx>
        <w:trPr>
          <w:trHeight w:val="454"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七、大中型水库库区基金收入</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4"/>
                <w:rFonts w:hint="default" w:ascii="Times New Roman" w:hAnsi="Times New Roman" w:eastAsia="方正仿宋_GBK" w:cs="Times New Roman"/>
                <w:sz w:val="28"/>
                <w:szCs w:val="28"/>
                <w:lang w:bidi="ar"/>
              </w:rPr>
              <w:t>—</w:t>
            </w:r>
            <w:r>
              <w:rPr>
                <w:rStyle w:val="15"/>
                <w:rFonts w:hint="default" w:ascii="Times New Roman" w:hAnsi="Times New Roman" w:eastAsia="方正仿宋_GBK" w:cs="Times New Roman"/>
                <w:sz w:val="28"/>
                <w:szCs w:val="28"/>
                <w:lang w:bidi="ar"/>
              </w:rPr>
              <w:t>0</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4"/>
                <w:rFonts w:hint="default" w:ascii="Times New Roman" w:hAnsi="Times New Roman" w:eastAsia="方正仿宋_GBK" w:cs="Times New Roman"/>
                <w:sz w:val="28"/>
                <w:szCs w:val="28"/>
                <w:lang w:bidi="ar"/>
              </w:rPr>
              <w:t>—</w:t>
            </w:r>
            <w:r>
              <w:rPr>
                <w:rStyle w:val="15"/>
                <w:rFonts w:hint="default" w:ascii="Times New Roman" w:hAnsi="Times New Roman" w:eastAsia="方正仿宋_GBK" w:cs="Times New Roman"/>
                <w:sz w:val="28"/>
                <w:szCs w:val="28"/>
                <w:lang w:bidi="ar"/>
              </w:rPr>
              <w:t>0</w:t>
            </w:r>
          </w:p>
        </w:tc>
      </w:tr>
      <w:tr>
        <w:tblPrEx>
          <w:tblCellMar>
            <w:top w:w="15" w:type="dxa"/>
            <w:left w:w="15" w:type="dxa"/>
            <w:bottom w:w="15" w:type="dxa"/>
            <w:right w:w="15" w:type="dxa"/>
          </w:tblCellMar>
        </w:tblPrEx>
        <w:trPr>
          <w:trHeight w:val="454"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八、彩票公益金收入</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4"/>
                <w:rFonts w:hint="default" w:ascii="Times New Roman" w:hAnsi="Times New Roman" w:eastAsia="方正仿宋_GBK" w:cs="Times New Roman"/>
                <w:sz w:val="28"/>
                <w:szCs w:val="28"/>
                <w:lang w:bidi="ar"/>
              </w:rPr>
              <w:t>—</w:t>
            </w:r>
            <w:r>
              <w:rPr>
                <w:rStyle w:val="15"/>
                <w:rFonts w:hint="default" w:ascii="Times New Roman" w:hAnsi="Times New Roman" w:eastAsia="方正仿宋_GBK" w:cs="Times New Roman"/>
                <w:sz w:val="28"/>
                <w:szCs w:val="28"/>
                <w:lang w:bidi="ar"/>
              </w:rPr>
              <w:t>0</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4"/>
                <w:rFonts w:hint="default" w:ascii="Times New Roman" w:hAnsi="Times New Roman" w:eastAsia="方正仿宋_GBK" w:cs="Times New Roman"/>
                <w:sz w:val="28"/>
                <w:szCs w:val="28"/>
                <w:lang w:bidi="ar"/>
              </w:rPr>
              <w:t>—</w:t>
            </w:r>
            <w:r>
              <w:rPr>
                <w:rStyle w:val="15"/>
                <w:rFonts w:hint="default" w:ascii="Times New Roman" w:hAnsi="Times New Roman" w:eastAsia="方正仿宋_GBK" w:cs="Times New Roman"/>
                <w:sz w:val="28"/>
                <w:szCs w:val="28"/>
                <w:lang w:bidi="ar"/>
              </w:rPr>
              <w:t>0</w:t>
            </w:r>
          </w:p>
        </w:tc>
      </w:tr>
      <w:tr>
        <w:tblPrEx>
          <w:tblCellMar>
            <w:top w:w="15" w:type="dxa"/>
            <w:left w:w="15" w:type="dxa"/>
            <w:bottom w:w="15" w:type="dxa"/>
            <w:right w:w="15" w:type="dxa"/>
          </w:tblCellMar>
        </w:tblPrEx>
        <w:trPr>
          <w:trHeight w:val="454"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九、小型水库移民扶助基金收入</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4"/>
                <w:rFonts w:hint="default" w:ascii="Times New Roman" w:hAnsi="Times New Roman" w:eastAsia="方正仿宋_GBK" w:cs="Times New Roman"/>
                <w:sz w:val="28"/>
                <w:szCs w:val="28"/>
                <w:lang w:bidi="ar"/>
              </w:rPr>
              <w:t>—</w:t>
            </w:r>
            <w:r>
              <w:rPr>
                <w:rStyle w:val="15"/>
                <w:rFonts w:hint="default" w:ascii="Times New Roman" w:hAnsi="Times New Roman" w:eastAsia="方正仿宋_GBK" w:cs="Times New Roman"/>
                <w:sz w:val="28"/>
                <w:szCs w:val="28"/>
                <w:lang w:bidi="ar"/>
              </w:rPr>
              <w:t>0</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4"/>
                <w:rFonts w:hint="default" w:ascii="Times New Roman" w:hAnsi="Times New Roman" w:eastAsia="方正仿宋_GBK" w:cs="Times New Roman"/>
                <w:sz w:val="28"/>
                <w:szCs w:val="28"/>
                <w:lang w:bidi="ar"/>
              </w:rPr>
              <w:t>—</w:t>
            </w:r>
            <w:r>
              <w:rPr>
                <w:rStyle w:val="15"/>
                <w:rFonts w:hint="default" w:ascii="Times New Roman" w:hAnsi="Times New Roman" w:eastAsia="方正仿宋_GBK" w:cs="Times New Roman"/>
                <w:sz w:val="28"/>
                <w:szCs w:val="28"/>
                <w:lang w:bidi="ar"/>
              </w:rPr>
              <w:t>0</w:t>
            </w:r>
          </w:p>
        </w:tc>
      </w:tr>
      <w:tr>
        <w:tblPrEx>
          <w:tblCellMar>
            <w:top w:w="15" w:type="dxa"/>
            <w:left w:w="15" w:type="dxa"/>
            <w:bottom w:w="15" w:type="dxa"/>
            <w:right w:w="15" w:type="dxa"/>
          </w:tblCellMar>
        </w:tblPrEx>
        <w:trPr>
          <w:trHeight w:val="454"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十、污水处理费收入</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165 </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165 </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-64.9 </w:t>
            </w:r>
          </w:p>
        </w:tc>
      </w:tr>
      <w:tr>
        <w:tblPrEx>
          <w:tblCellMar>
            <w:top w:w="15" w:type="dxa"/>
            <w:left w:w="15" w:type="dxa"/>
            <w:bottom w:w="15" w:type="dxa"/>
            <w:right w:w="15" w:type="dxa"/>
          </w:tblCellMar>
        </w:tblPrEx>
        <w:trPr>
          <w:trHeight w:val="824"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十一、彩票发行机构和彩票销售机构的业务费用</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4"/>
                <w:rFonts w:hint="default" w:ascii="Times New Roman" w:hAnsi="Times New Roman" w:eastAsia="方正仿宋_GBK" w:cs="Times New Roman"/>
                <w:sz w:val="28"/>
                <w:szCs w:val="28"/>
                <w:lang w:bidi="ar"/>
              </w:rPr>
              <w:t>—</w:t>
            </w:r>
            <w:r>
              <w:rPr>
                <w:rStyle w:val="15"/>
                <w:rFonts w:hint="default" w:ascii="Times New Roman" w:hAnsi="Times New Roman" w:eastAsia="方正仿宋_GBK" w:cs="Times New Roman"/>
                <w:sz w:val="28"/>
                <w:szCs w:val="28"/>
                <w:lang w:bidi="ar"/>
              </w:rPr>
              <w:t>0</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4"/>
                <w:rFonts w:hint="default" w:ascii="Times New Roman" w:hAnsi="Times New Roman" w:eastAsia="方正仿宋_GBK" w:cs="Times New Roman"/>
                <w:sz w:val="28"/>
                <w:szCs w:val="28"/>
                <w:lang w:bidi="ar"/>
              </w:rPr>
              <w:t>—</w:t>
            </w:r>
            <w:r>
              <w:rPr>
                <w:rStyle w:val="15"/>
                <w:rFonts w:hint="default" w:ascii="Times New Roman" w:hAnsi="Times New Roman" w:eastAsia="方正仿宋_GBK" w:cs="Times New Roman"/>
                <w:sz w:val="28"/>
                <w:szCs w:val="28"/>
                <w:lang w:bidi="ar"/>
              </w:rPr>
              <w:t>0</w:t>
            </w:r>
          </w:p>
        </w:tc>
      </w:tr>
      <w:tr>
        <w:tblPrEx>
          <w:tblCellMar>
            <w:top w:w="15" w:type="dxa"/>
            <w:left w:w="15" w:type="dxa"/>
            <w:bottom w:w="15" w:type="dxa"/>
            <w:right w:w="15" w:type="dxa"/>
          </w:tblCellMar>
        </w:tblPrEx>
        <w:trPr>
          <w:trHeight w:val="454"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十二、城市基础设施配套费收入</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9227 </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9227 </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4"/>
                <w:rFonts w:hint="default" w:ascii="Times New Roman" w:hAnsi="Times New Roman" w:eastAsia="方正仿宋_GBK" w:cs="Times New Roman"/>
                <w:sz w:val="28"/>
                <w:szCs w:val="28"/>
                <w:lang w:bidi="ar"/>
              </w:rPr>
              <w:t>—</w:t>
            </w:r>
            <w:r>
              <w:rPr>
                <w:rStyle w:val="15"/>
                <w:rFonts w:hint="default" w:ascii="Times New Roman" w:hAnsi="Times New Roman" w:eastAsia="方正仿宋_GBK" w:cs="Times New Roman"/>
                <w:sz w:val="28"/>
                <w:szCs w:val="28"/>
                <w:lang w:bidi="ar"/>
              </w:rPr>
              <w:t>0</w:t>
            </w:r>
          </w:p>
        </w:tc>
      </w:tr>
      <w:tr>
        <w:tblPrEx>
          <w:tblCellMar>
            <w:top w:w="15" w:type="dxa"/>
            <w:left w:w="15" w:type="dxa"/>
            <w:bottom w:w="15" w:type="dxa"/>
            <w:right w:w="15" w:type="dxa"/>
          </w:tblCellMar>
        </w:tblPrEx>
        <w:trPr>
          <w:trHeight w:val="454"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十三、其他政府性基金预算收入</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4"/>
                <w:rFonts w:hint="default" w:ascii="Times New Roman" w:hAnsi="Times New Roman" w:eastAsia="方正仿宋_GBK" w:cs="Times New Roman"/>
                <w:sz w:val="28"/>
                <w:szCs w:val="28"/>
                <w:lang w:bidi="ar"/>
              </w:rPr>
              <w:t>—</w:t>
            </w:r>
            <w:r>
              <w:rPr>
                <w:rStyle w:val="15"/>
                <w:rFonts w:hint="default" w:ascii="Times New Roman" w:hAnsi="Times New Roman" w:eastAsia="方正仿宋_GBK" w:cs="Times New Roman"/>
                <w:sz w:val="28"/>
                <w:szCs w:val="28"/>
                <w:lang w:bidi="ar"/>
              </w:rPr>
              <w:t>0</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4"/>
                <w:rFonts w:hint="default" w:ascii="Times New Roman" w:hAnsi="Times New Roman" w:eastAsia="方正仿宋_GBK" w:cs="Times New Roman"/>
                <w:sz w:val="28"/>
                <w:szCs w:val="28"/>
                <w:lang w:bidi="ar"/>
              </w:rPr>
              <w:t>—</w:t>
            </w:r>
            <w:r>
              <w:rPr>
                <w:rStyle w:val="15"/>
                <w:rFonts w:hint="default" w:ascii="Times New Roman" w:hAnsi="Times New Roman" w:eastAsia="方正仿宋_GBK" w:cs="Times New Roman"/>
                <w:sz w:val="28"/>
                <w:szCs w:val="28"/>
                <w:lang w:bidi="ar"/>
              </w:rPr>
              <w:t>0</w:t>
            </w:r>
          </w:p>
        </w:tc>
      </w:tr>
      <w:tr>
        <w:tblPrEx>
          <w:tblCellMar>
            <w:top w:w="15" w:type="dxa"/>
            <w:left w:w="15" w:type="dxa"/>
            <w:bottom w:w="15" w:type="dxa"/>
            <w:right w:w="15" w:type="dxa"/>
          </w:tblCellMar>
        </w:tblPrEx>
        <w:trPr>
          <w:trHeight w:val="454"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cs="方正仿宋_GBK"/>
                <w:color w:val="000000"/>
                <w:sz w:val="28"/>
                <w:szCs w:val="28"/>
              </w:rPr>
            </w:pP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54"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转移性收入合计</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3350 </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46831 </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47359 </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Style w:val="16"/>
                <w:rFonts w:ascii="方正黑体_GBK" w:hAnsi="方正黑体_GBK" w:eastAsia="方正黑体_GBK" w:cs="方正黑体_GBK"/>
                <w:b w:val="0"/>
                <w:sz w:val="28"/>
                <w:szCs w:val="28"/>
                <w:lang w:bidi="ar"/>
              </w:rPr>
              <w:t>—</w:t>
            </w:r>
            <w:r>
              <w:rPr>
                <w:rFonts w:ascii="方正黑体_GBK" w:hAnsi="方正黑体_GBK" w:eastAsia="方正黑体_GBK" w:cs="方正黑体_GBK"/>
                <w:color w:val="FFFFFF"/>
                <w:sz w:val="28"/>
                <w:szCs w:val="28"/>
                <w:lang w:bidi="ar"/>
              </w:rPr>
              <w:t>0</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Style w:val="16"/>
                <w:rFonts w:ascii="方正黑体_GBK" w:hAnsi="方正黑体_GBK" w:eastAsia="方正黑体_GBK" w:cs="方正黑体_GBK"/>
                <w:b w:val="0"/>
                <w:sz w:val="28"/>
                <w:szCs w:val="28"/>
                <w:lang w:bidi="ar"/>
              </w:rPr>
              <w:t>—</w:t>
            </w:r>
            <w:r>
              <w:rPr>
                <w:rFonts w:ascii="方正黑体_GBK" w:hAnsi="方正黑体_GBK" w:eastAsia="方正黑体_GBK" w:cs="方正黑体_GBK"/>
                <w:color w:val="FFFFFF"/>
                <w:sz w:val="28"/>
                <w:szCs w:val="28"/>
                <w:lang w:bidi="ar"/>
              </w:rPr>
              <w:t>0</w:t>
            </w:r>
          </w:p>
        </w:tc>
      </w:tr>
      <w:tr>
        <w:tblPrEx>
          <w:tblCellMar>
            <w:top w:w="15" w:type="dxa"/>
            <w:left w:w="15" w:type="dxa"/>
            <w:bottom w:w="15" w:type="dxa"/>
            <w:right w:w="15" w:type="dxa"/>
          </w:tblCellMar>
        </w:tblPrEx>
        <w:trPr>
          <w:trHeight w:val="454"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一、上级补助收入</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3000 </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46481 </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47009 </w:t>
            </w:r>
          </w:p>
        </w:tc>
        <w:tc>
          <w:tcPr>
            <w:tcW w:w="1018"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c>
          <w:tcPr>
            <w:tcW w:w="89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54"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二、镇街上解收入</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18"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c>
          <w:tcPr>
            <w:tcW w:w="89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54"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三、地方政府债券收入 </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0</w:t>
            </w:r>
          </w:p>
        </w:tc>
        <w:tc>
          <w:tcPr>
            <w:tcW w:w="1018"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c>
          <w:tcPr>
            <w:tcW w:w="89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54"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地方政府债券收入(新增）</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18"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c>
          <w:tcPr>
            <w:tcW w:w="89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54"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地方政府债券收入(置换）</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18"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c>
          <w:tcPr>
            <w:tcW w:w="89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54" w:hRule="exact"/>
        </w:trPr>
        <w:tc>
          <w:tcPr>
            <w:tcW w:w="4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四、上年结转</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350 </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350 </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350 </w:t>
            </w:r>
          </w:p>
        </w:tc>
        <w:tc>
          <w:tcPr>
            <w:tcW w:w="1018"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c>
          <w:tcPr>
            <w:tcW w:w="89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r>
    </w:tbl>
    <w:p>
      <w:pPr>
        <w:spacing w:line="594" w:lineRule="exact"/>
        <w:rPr>
          <w:rFonts w:cs="方正仿宋_GBK"/>
          <w:color w:val="000000"/>
          <w:szCs w:val="32"/>
        </w:rPr>
      </w:pPr>
    </w:p>
    <w:p>
      <w:pPr>
        <w:spacing w:line="594" w:lineRule="exact"/>
        <w:rPr>
          <w:rFonts w:cs="方正仿宋_GBK"/>
          <w:color w:val="000000"/>
          <w:szCs w:val="32"/>
        </w:rPr>
      </w:pPr>
    </w:p>
    <w:p>
      <w:pPr>
        <w:spacing w:line="594" w:lineRule="exact"/>
        <w:rPr>
          <w:rFonts w:cs="方正仿宋_GBK"/>
          <w:color w:val="000000"/>
          <w:szCs w:val="32"/>
        </w:rPr>
      </w:pPr>
    </w:p>
    <w:p>
      <w:pPr>
        <w:spacing w:line="594" w:lineRule="exact"/>
        <w:rPr>
          <w:rFonts w:cs="方正仿宋_GBK"/>
          <w:color w:val="000000"/>
          <w:szCs w:val="32"/>
        </w:rPr>
      </w:pPr>
    </w:p>
    <w:p>
      <w:pPr>
        <w:spacing w:line="594" w:lineRule="exact"/>
        <w:rPr>
          <w:rFonts w:ascii="方正黑体_GBK" w:hAnsi="方正黑体_GBK" w:eastAsia="方正黑体_GBK" w:cs="方正黑体_GBK"/>
          <w:color w:val="000000"/>
          <w:szCs w:val="32"/>
        </w:rPr>
      </w:pPr>
      <w:r>
        <w:rPr>
          <w:rFonts w:hint="default" w:cs="方正仿宋_GBK"/>
          <w:color w:val="000000"/>
          <w:szCs w:val="32"/>
        </w:rPr>
        <w:br w:type="page"/>
      </w:r>
      <w:r>
        <w:rPr>
          <w:rFonts w:ascii="方正黑体_GBK" w:hAnsi="方正黑体_GBK" w:eastAsia="方正黑体_GBK" w:cs="方正黑体_GBK"/>
          <w:color w:val="000000"/>
          <w:szCs w:val="32"/>
        </w:rPr>
        <w:t>附件10</w:t>
      </w:r>
    </w:p>
    <w:p>
      <w:pPr>
        <w:spacing w:line="594" w:lineRule="exact"/>
        <w:jc w:val="center"/>
        <w:rPr>
          <w:rFonts w:ascii="方正小标宋_GBK" w:hAnsi="方正小标宋_GBK" w:eastAsia="方正小标宋_GBK" w:cs="方正小标宋_GBK"/>
          <w:color w:val="000000"/>
          <w:spacing w:val="-23"/>
          <w:sz w:val="44"/>
          <w:szCs w:val="44"/>
        </w:rPr>
      </w:pPr>
      <w:r>
        <w:rPr>
          <w:rFonts w:ascii="方正小标宋_GBK" w:hAnsi="方正小标宋_GBK" w:eastAsia="方正小标宋_GBK" w:cs="方正小标宋_GBK"/>
          <w:color w:val="000000"/>
          <w:spacing w:val="-23"/>
          <w:sz w:val="44"/>
          <w:szCs w:val="44"/>
        </w:rPr>
        <w:t>2018年区级政府性基金预算收支执行表（续表）</w:t>
      </w:r>
    </w:p>
    <w:p>
      <w:pPr>
        <w:spacing w:line="594" w:lineRule="exact"/>
        <w:jc w:val="right"/>
        <w:rPr>
          <w:rFonts w:cs="方正仿宋_GBK"/>
          <w:color w:val="000000"/>
          <w:szCs w:val="32"/>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4215"/>
        <w:gridCol w:w="867"/>
        <w:gridCol w:w="878"/>
        <w:gridCol w:w="878"/>
        <w:gridCol w:w="878"/>
        <w:gridCol w:w="1158"/>
      </w:tblGrid>
      <w:tr>
        <w:tblPrEx>
          <w:tblCellMar>
            <w:top w:w="15" w:type="dxa"/>
            <w:left w:w="15" w:type="dxa"/>
            <w:bottom w:w="15" w:type="dxa"/>
            <w:right w:w="15" w:type="dxa"/>
          </w:tblCellMar>
        </w:tblPrEx>
        <w:trPr>
          <w:trHeight w:val="1065" w:hRule="atLeast"/>
        </w:trPr>
        <w:tc>
          <w:tcPr>
            <w:tcW w:w="42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支        出</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预算数</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4"/>
                <w:szCs w:val="24"/>
                <w:lang w:bidi="ar"/>
              </w:rPr>
            </w:pPr>
            <w:r>
              <w:rPr>
                <w:rFonts w:ascii="方正黑体_GBK" w:hAnsi="方正黑体_GBK" w:eastAsia="方正黑体_GBK" w:cs="方正黑体_GBK"/>
                <w:color w:val="000000"/>
                <w:sz w:val="24"/>
                <w:szCs w:val="24"/>
                <w:lang w:bidi="ar"/>
              </w:rPr>
              <w:t>调整</w:t>
            </w:r>
          </w:p>
          <w:p>
            <w:pPr>
              <w:widowControl/>
              <w:spacing w:line="360" w:lineRule="exact"/>
              <w:jc w:val="center"/>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预算数</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执行数</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执行数为调整预算%</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执行数比上年决算数增长%</w:t>
            </w:r>
          </w:p>
        </w:tc>
      </w:tr>
      <w:tr>
        <w:tblPrEx>
          <w:tblCellMar>
            <w:top w:w="15" w:type="dxa"/>
            <w:left w:w="15" w:type="dxa"/>
            <w:bottom w:w="15" w:type="dxa"/>
            <w:right w:w="15" w:type="dxa"/>
          </w:tblCellMar>
        </w:tblPrEx>
        <w:trPr>
          <w:trHeight w:val="360" w:hRule="atLeast"/>
        </w:trPr>
        <w:tc>
          <w:tcPr>
            <w:tcW w:w="42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总        计</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 xml:space="preserve">33350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 xml:space="preserve">76831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 xml:space="preserve">77359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 xml:space="preserve">100.7 </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 xml:space="preserve">163.6 </w:t>
            </w:r>
          </w:p>
        </w:tc>
      </w:tr>
      <w:tr>
        <w:tblPrEx>
          <w:tblCellMar>
            <w:top w:w="15" w:type="dxa"/>
            <w:left w:w="15" w:type="dxa"/>
            <w:bottom w:w="15" w:type="dxa"/>
            <w:right w:w="15" w:type="dxa"/>
          </w:tblCellMar>
        </w:tblPrEx>
        <w:trPr>
          <w:trHeight w:val="360" w:hRule="atLeast"/>
        </w:trPr>
        <w:tc>
          <w:tcPr>
            <w:tcW w:w="42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本级支出合计</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 xml:space="preserve">32350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 xml:space="preserve">65431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 xml:space="preserve">65813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 xml:space="preserve">100.6 </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 xml:space="preserve">183.8 </w:t>
            </w:r>
          </w:p>
        </w:tc>
      </w:tr>
      <w:tr>
        <w:tblPrEx>
          <w:tblCellMar>
            <w:top w:w="15" w:type="dxa"/>
            <w:left w:w="15" w:type="dxa"/>
            <w:bottom w:w="15" w:type="dxa"/>
            <w:right w:w="15" w:type="dxa"/>
          </w:tblCellMar>
        </w:tblPrEx>
        <w:trPr>
          <w:trHeight w:val="360" w:hRule="atLeast"/>
        </w:trPr>
        <w:tc>
          <w:tcPr>
            <w:tcW w:w="42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一、文化体育与传媒支出</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w:t>
            </w:r>
            <w:r>
              <w:rPr>
                <w:rFonts w:hint="default" w:ascii="Times New Roman" w:hAnsi="Times New Roman"/>
                <w:color w:val="FFFFFF"/>
                <w:sz w:val="24"/>
                <w:szCs w:val="24"/>
                <w:lang w:bidi="ar"/>
              </w:rPr>
              <w:t>0</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w:t>
            </w:r>
            <w:r>
              <w:rPr>
                <w:rFonts w:hint="default" w:ascii="Times New Roman" w:hAnsi="Times New Roman"/>
                <w:color w:val="FFFFFF"/>
                <w:sz w:val="24"/>
                <w:szCs w:val="24"/>
                <w:lang w:bidi="ar"/>
              </w:rPr>
              <w:t>0</w:t>
            </w:r>
          </w:p>
        </w:tc>
      </w:tr>
      <w:tr>
        <w:tblPrEx>
          <w:tblCellMar>
            <w:top w:w="15" w:type="dxa"/>
            <w:left w:w="15" w:type="dxa"/>
            <w:bottom w:w="15" w:type="dxa"/>
            <w:right w:w="15" w:type="dxa"/>
          </w:tblCellMar>
        </w:tblPrEx>
        <w:trPr>
          <w:trHeight w:val="360" w:hRule="atLeast"/>
        </w:trPr>
        <w:tc>
          <w:tcPr>
            <w:tcW w:w="42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二、社会保障和就业支出</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729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151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151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100.0 </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-79.3 </w:t>
            </w:r>
          </w:p>
        </w:tc>
      </w:tr>
      <w:tr>
        <w:tblPrEx>
          <w:tblCellMar>
            <w:top w:w="15" w:type="dxa"/>
            <w:left w:w="15" w:type="dxa"/>
            <w:bottom w:w="15" w:type="dxa"/>
            <w:right w:w="15" w:type="dxa"/>
          </w:tblCellMar>
        </w:tblPrEx>
        <w:trPr>
          <w:trHeight w:val="360" w:hRule="atLeast"/>
        </w:trPr>
        <w:tc>
          <w:tcPr>
            <w:tcW w:w="42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三、城乡社区支出</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31136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58016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58398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100.7 </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203.7 </w:t>
            </w:r>
          </w:p>
        </w:tc>
      </w:tr>
      <w:tr>
        <w:tblPrEx>
          <w:tblCellMar>
            <w:top w:w="15" w:type="dxa"/>
            <w:left w:w="15" w:type="dxa"/>
            <w:bottom w:w="15" w:type="dxa"/>
            <w:right w:w="15" w:type="dxa"/>
          </w:tblCellMar>
        </w:tblPrEx>
        <w:trPr>
          <w:trHeight w:val="360" w:hRule="atLeast"/>
        </w:trPr>
        <w:tc>
          <w:tcPr>
            <w:tcW w:w="42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四、农林水支出</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135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30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30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100.0 </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-77.8 </w:t>
            </w:r>
          </w:p>
        </w:tc>
      </w:tr>
      <w:tr>
        <w:tblPrEx>
          <w:tblCellMar>
            <w:top w:w="15" w:type="dxa"/>
            <w:left w:w="15" w:type="dxa"/>
            <w:bottom w:w="15" w:type="dxa"/>
            <w:right w:w="15" w:type="dxa"/>
          </w:tblCellMar>
        </w:tblPrEx>
        <w:trPr>
          <w:trHeight w:val="360" w:hRule="atLeast"/>
        </w:trPr>
        <w:tc>
          <w:tcPr>
            <w:tcW w:w="42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五、商业服务业等支出</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350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777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777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100.0 </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4470.6 </w:t>
            </w:r>
          </w:p>
        </w:tc>
      </w:tr>
      <w:tr>
        <w:tblPrEx>
          <w:tblCellMar>
            <w:top w:w="15" w:type="dxa"/>
            <w:left w:w="15" w:type="dxa"/>
            <w:bottom w:w="15" w:type="dxa"/>
            <w:right w:w="15" w:type="dxa"/>
          </w:tblCellMar>
        </w:tblPrEx>
        <w:trPr>
          <w:trHeight w:val="360" w:hRule="atLeast"/>
        </w:trPr>
        <w:tc>
          <w:tcPr>
            <w:tcW w:w="42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六、交通运输支出</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w:t>
            </w:r>
            <w:r>
              <w:rPr>
                <w:rFonts w:hint="default" w:ascii="Times New Roman" w:hAnsi="Times New Roman"/>
                <w:color w:val="FFFFFF"/>
                <w:sz w:val="24"/>
                <w:szCs w:val="24"/>
                <w:lang w:bidi="ar"/>
              </w:rPr>
              <w:t>0</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w:t>
            </w:r>
            <w:r>
              <w:rPr>
                <w:rFonts w:hint="default" w:ascii="Times New Roman" w:hAnsi="Times New Roman"/>
                <w:color w:val="FFFFFF"/>
                <w:sz w:val="24"/>
                <w:szCs w:val="24"/>
                <w:lang w:bidi="ar"/>
              </w:rPr>
              <w:t>0</w:t>
            </w:r>
          </w:p>
        </w:tc>
      </w:tr>
      <w:tr>
        <w:tblPrEx>
          <w:tblCellMar>
            <w:top w:w="15" w:type="dxa"/>
            <w:left w:w="15" w:type="dxa"/>
            <w:bottom w:w="15" w:type="dxa"/>
            <w:right w:w="15" w:type="dxa"/>
          </w:tblCellMar>
        </w:tblPrEx>
        <w:trPr>
          <w:trHeight w:val="360" w:hRule="atLeast"/>
        </w:trPr>
        <w:tc>
          <w:tcPr>
            <w:tcW w:w="42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七、其他支出</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4746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4746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100.0 </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245.7 </w:t>
            </w:r>
          </w:p>
        </w:tc>
      </w:tr>
      <w:tr>
        <w:tblPrEx>
          <w:tblCellMar>
            <w:top w:w="15" w:type="dxa"/>
            <w:left w:w="15" w:type="dxa"/>
            <w:bottom w:w="15" w:type="dxa"/>
            <w:right w:w="15" w:type="dxa"/>
          </w:tblCellMar>
        </w:tblPrEx>
        <w:trPr>
          <w:trHeight w:val="360" w:hRule="atLeast"/>
        </w:trPr>
        <w:tc>
          <w:tcPr>
            <w:tcW w:w="42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八、债务付息支出</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1711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1711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100.0 </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w:t>
            </w:r>
            <w:r>
              <w:rPr>
                <w:rFonts w:hint="default" w:ascii="Times New Roman" w:hAnsi="Times New Roman"/>
                <w:color w:val="FFFFFF"/>
                <w:sz w:val="24"/>
                <w:szCs w:val="24"/>
                <w:lang w:bidi="ar"/>
              </w:rPr>
              <w:t>0</w:t>
            </w:r>
          </w:p>
        </w:tc>
      </w:tr>
      <w:tr>
        <w:tblPrEx>
          <w:tblCellMar>
            <w:top w:w="15" w:type="dxa"/>
            <w:left w:w="15" w:type="dxa"/>
            <w:bottom w:w="15" w:type="dxa"/>
            <w:right w:w="15" w:type="dxa"/>
          </w:tblCellMar>
        </w:tblPrEx>
        <w:trPr>
          <w:trHeight w:val="360" w:hRule="atLeast"/>
        </w:trPr>
        <w:tc>
          <w:tcPr>
            <w:tcW w:w="42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九、债务发行费用支出</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w:t>
            </w:r>
            <w:r>
              <w:rPr>
                <w:rFonts w:hint="default" w:ascii="Times New Roman" w:hAnsi="Times New Roman"/>
                <w:color w:val="FFFFFF"/>
                <w:sz w:val="24"/>
                <w:szCs w:val="24"/>
                <w:lang w:bidi="ar"/>
              </w:rPr>
              <w:t>0</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w:t>
            </w:r>
            <w:r>
              <w:rPr>
                <w:rFonts w:hint="default" w:ascii="Times New Roman" w:hAnsi="Times New Roman"/>
                <w:color w:val="FFFFFF"/>
                <w:sz w:val="24"/>
                <w:szCs w:val="24"/>
                <w:lang w:bidi="ar"/>
              </w:rPr>
              <w:t>0</w:t>
            </w:r>
          </w:p>
        </w:tc>
      </w:tr>
      <w:tr>
        <w:tblPrEx>
          <w:tblCellMar>
            <w:top w:w="15" w:type="dxa"/>
            <w:left w:w="15" w:type="dxa"/>
            <w:bottom w:w="15" w:type="dxa"/>
            <w:right w:w="15" w:type="dxa"/>
          </w:tblCellMar>
        </w:tblPrEx>
        <w:trPr>
          <w:trHeight w:val="360" w:hRule="atLeast"/>
        </w:trPr>
        <w:tc>
          <w:tcPr>
            <w:tcW w:w="42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color w:val="000000"/>
                <w:sz w:val="24"/>
                <w:szCs w:val="24"/>
              </w:rPr>
            </w:pP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1158"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360" w:hRule="atLeast"/>
        </w:trPr>
        <w:tc>
          <w:tcPr>
            <w:tcW w:w="42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转移性支出合计</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 xml:space="preserve">1000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 xml:space="preserve">11400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4"/>
                <w:szCs w:val="24"/>
              </w:rPr>
            </w:pPr>
            <w:r>
              <w:rPr>
                <w:rFonts w:ascii="方正黑体_GBK" w:hAnsi="方正黑体_GBK" w:eastAsia="方正黑体_GBK" w:cs="方正黑体_GBK"/>
                <w:color w:val="000000"/>
                <w:sz w:val="24"/>
                <w:szCs w:val="24"/>
                <w:lang w:bidi="ar"/>
              </w:rPr>
              <w:t xml:space="preserve">11546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4"/>
                <w:szCs w:val="24"/>
              </w:rPr>
            </w:pPr>
            <w:r>
              <w:rPr>
                <w:rStyle w:val="17"/>
                <w:rFonts w:ascii="方正黑体_GBK" w:hAnsi="方正黑体_GBK" w:eastAsia="方正黑体_GBK" w:cs="方正黑体_GBK"/>
                <w:b w:val="0"/>
                <w:sz w:val="24"/>
                <w:szCs w:val="24"/>
                <w:lang w:bidi="ar"/>
              </w:rPr>
              <w:t>—</w:t>
            </w:r>
            <w:r>
              <w:rPr>
                <w:rFonts w:ascii="方正黑体_GBK" w:hAnsi="方正黑体_GBK" w:eastAsia="方正黑体_GBK" w:cs="方正黑体_GBK"/>
                <w:color w:val="FFFFFF"/>
                <w:sz w:val="24"/>
                <w:szCs w:val="24"/>
                <w:lang w:bidi="ar"/>
              </w:rPr>
              <w:t>0</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4"/>
                <w:szCs w:val="24"/>
              </w:rPr>
            </w:pPr>
            <w:r>
              <w:rPr>
                <w:rStyle w:val="17"/>
                <w:rFonts w:ascii="方正黑体_GBK" w:hAnsi="方正黑体_GBK" w:eastAsia="方正黑体_GBK" w:cs="方正黑体_GBK"/>
                <w:b w:val="0"/>
                <w:sz w:val="24"/>
                <w:szCs w:val="24"/>
                <w:lang w:bidi="ar"/>
              </w:rPr>
              <w:t>—</w:t>
            </w:r>
            <w:r>
              <w:rPr>
                <w:rFonts w:ascii="方正黑体_GBK" w:hAnsi="方正黑体_GBK" w:eastAsia="方正黑体_GBK" w:cs="方正黑体_GBK"/>
                <w:color w:val="FFFFFF"/>
                <w:sz w:val="24"/>
                <w:szCs w:val="24"/>
                <w:lang w:bidi="ar"/>
              </w:rPr>
              <w:t>0</w:t>
            </w:r>
          </w:p>
        </w:tc>
      </w:tr>
      <w:tr>
        <w:tblPrEx>
          <w:tblCellMar>
            <w:top w:w="15" w:type="dxa"/>
            <w:left w:w="15" w:type="dxa"/>
            <w:bottom w:w="15" w:type="dxa"/>
            <w:right w:w="15" w:type="dxa"/>
          </w:tblCellMar>
        </w:tblPrEx>
        <w:trPr>
          <w:trHeight w:val="360" w:hRule="atLeast"/>
        </w:trPr>
        <w:tc>
          <w:tcPr>
            <w:tcW w:w="42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一、上解上级支出</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1000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1000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618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1158"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360" w:hRule="atLeast"/>
        </w:trPr>
        <w:tc>
          <w:tcPr>
            <w:tcW w:w="42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jc w:val="lef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二、调出资金</w:t>
            </w:r>
          </w:p>
        </w:tc>
        <w:tc>
          <w:tcPr>
            <w:tcW w:w="8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10000 </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10000 </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right"/>
              <w:rPr>
                <w:rFonts w:hint="default" w:ascii="Times New Roman" w:hAnsi="Times New Roman"/>
                <w:color w:val="000000"/>
                <w:sz w:val="24"/>
                <w:szCs w:val="24"/>
              </w:rPr>
            </w:pPr>
          </w:p>
        </w:tc>
        <w:tc>
          <w:tcPr>
            <w:tcW w:w="1158"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360" w:hRule="atLeast"/>
        </w:trPr>
        <w:tc>
          <w:tcPr>
            <w:tcW w:w="42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jc w:val="lef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三、补助镇街支出</w:t>
            </w:r>
          </w:p>
        </w:tc>
        <w:tc>
          <w:tcPr>
            <w:tcW w:w="8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400 </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400 </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right"/>
              <w:rPr>
                <w:rFonts w:hint="default" w:ascii="Times New Roman" w:hAnsi="Times New Roman"/>
                <w:color w:val="000000"/>
                <w:sz w:val="24"/>
                <w:szCs w:val="24"/>
              </w:rPr>
            </w:pPr>
          </w:p>
        </w:tc>
        <w:tc>
          <w:tcPr>
            <w:tcW w:w="1158"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360" w:hRule="atLeast"/>
        </w:trPr>
        <w:tc>
          <w:tcPr>
            <w:tcW w:w="42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四、地方政府债券转贷支出 </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0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1158"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360" w:hRule="atLeast"/>
        </w:trPr>
        <w:tc>
          <w:tcPr>
            <w:tcW w:w="42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    地方政府债券还本转贷支出（新增）</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1158"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360" w:hRule="atLeast"/>
        </w:trPr>
        <w:tc>
          <w:tcPr>
            <w:tcW w:w="42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    地方政府债券还本转贷支出（置换）</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1158"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4"/>
                <w:szCs w:val="24"/>
              </w:rPr>
            </w:pPr>
          </w:p>
        </w:tc>
      </w:tr>
      <w:tr>
        <w:tblPrEx>
          <w:tblCellMar>
            <w:top w:w="15" w:type="dxa"/>
            <w:left w:w="15" w:type="dxa"/>
            <w:bottom w:w="15" w:type="dxa"/>
            <w:right w:w="15" w:type="dxa"/>
          </w:tblCellMar>
        </w:tblPrEx>
        <w:trPr>
          <w:trHeight w:val="360" w:hRule="atLeast"/>
        </w:trPr>
        <w:tc>
          <w:tcPr>
            <w:tcW w:w="42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五、结转下年</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4"/>
                <w:szCs w:val="24"/>
              </w:rPr>
            </w:pPr>
            <w:r>
              <w:rPr>
                <w:rFonts w:hint="default" w:ascii="Times New Roman" w:hAnsi="Times New Roman"/>
                <w:color w:val="000000"/>
                <w:sz w:val="24"/>
                <w:szCs w:val="24"/>
                <w:lang w:bidi="ar"/>
              </w:rPr>
              <w:t xml:space="preserve">528 </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4"/>
                <w:szCs w:val="24"/>
              </w:rPr>
            </w:pPr>
          </w:p>
        </w:tc>
        <w:tc>
          <w:tcPr>
            <w:tcW w:w="1158"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4"/>
                <w:szCs w:val="24"/>
              </w:rPr>
            </w:pPr>
          </w:p>
        </w:tc>
      </w:tr>
    </w:tbl>
    <w:p>
      <w:pPr>
        <w:spacing w:line="360" w:lineRule="exact"/>
        <w:rPr>
          <w:rFonts w:hint="default" w:ascii="Times New Roman" w:hAnsi="Times New Roman"/>
          <w:color w:val="000000"/>
          <w:sz w:val="28"/>
          <w:szCs w:val="28"/>
        </w:rPr>
      </w:pPr>
      <w:r>
        <w:rPr>
          <w:rFonts w:hint="default" w:ascii="Times New Roman" w:hAnsi="Times New Roman"/>
          <w:color w:val="000000"/>
          <w:sz w:val="28"/>
          <w:szCs w:val="28"/>
        </w:rPr>
        <w:t>注：1.</w:t>
      </w:r>
      <w:r>
        <w:rPr>
          <w:rFonts w:ascii="Times New Roman" w:hAnsi="Times New Roman"/>
          <w:color w:val="000000"/>
          <w:sz w:val="28"/>
          <w:szCs w:val="28"/>
        </w:rPr>
        <w:t xml:space="preserve"> </w:t>
      </w:r>
      <w:r>
        <w:rPr>
          <w:rFonts w:hint="default" w:ascii="Times New Roman" w:hAnsi="Times New Roman"/>
          <w:color w:val="000000"/>
          <w:sz w:val="28"/>
          <w:szCs w:val="28"/>
        </w:rPr>
        <w:t>本表直观反映2018年政府性基金预算收入与支出的平衡关系。</w:t>
      </w:r>
    </w:p>
    <w:p>
      <w:pPr>
        <w:spacing w:line="360" w:lineRule="exact"/>
        <w:ind w:firstLine="560"/>
        <w:rPr>
          <w:rFonts w:hint="default" w:ascii="Times New Roman" w:hAnsi="Times New Roman"/>
          <w:color w:val="000000"/>
          <w:szCs w:val="32"/>
        </w:rPr>
      </w:pPr>
      <w:r>
        <w:rPr>
          <w:rFonts w:hint="default" w:ascii="Times New Roman" w:hAnsi="Times New Roman"/>
          <w:color w:val="000000"/>
          <w:sz w:val="28"/>
          <w:szCs w:val="28"/>
        </w:rPr>
        <w:t>2.</w:t>
      </w:r>
      <w:r>
        <w:rPr>
          <w:rFonts w:ascii="Times New Roman" w:hAnsi="Times New Roman"/>
          <w:color w:val="000000"/>
          <w:sz w:val="28"/>
          <w:szCs w:val="28"/>
        </w:rPr>
        <w:t xml:space="preserve"> </w:t>
      </w:r>
      <w:r>
        <w:rPr>
          <w:rFonts w:hint="default" w:ascii="Times New Roman" w:hAnsi="Times New Roman"/>
          <w:color w:val="000000"/>
          <w:sz w:val="28"/>
          <w:szCs w:val="28"/>
        </w:rPr>
        <w:t>收入总计（本级收入合计+转移性收入合计）=支出总计（本级支出合计+转移性支出合计）。</w:t>
      </w:r>
    </w:p>
    <w:p>
      <w:pPr>
        <w:spacing w:line="594" w:lineRule="exact"/>
        <w:rPr>
          <w:rFonts w:ascii="方正黑体_GBK" w:hAnsi="方正黑体_GBK" w:eastAsia="方正黑体_GBK" w:cs="方正黑体_GBK"/>
          <w:color w:val="000000"/>
          <w:szCs w:val="32"/>
        </w:rPr>
      </w:pPr>
    </w:p>
    <w:p>
      <w:pPr>
        <w:spacing w:line="594" w:lineRule="exact"/>
        <w:rPr>
          <w:rFonts w:ascii="方正黑体_GBK" w:hAnsi="方正黑体_GBK" w:eastAsia="方正黑体_GBK" w:cs="方正黑体_GBK"/>
          <w:color w:val="000000"/>
          <w:szCs w:val="32"/>
        </w:rPr>
      </w:pPr>
      <w:r>
        <w:rPr>
          <w:rFonts w:ascii="方正黑体_GBK" w:hAnsi="方正黑体_GBK" w:eastAsia="方正黑体_GBK" w:cs="方正黑体_GBK"/>
          <w:color w:val="000000"/>
          <w:szCs w:val="32"/>
        </w:rPr>
        <w:t>附件11</w:t>
      </w:r>
    </w:p>
    <w:p>
      <w:pPr>
        <w:spacing w:line="594" w:lineRule="exact"/>
        <w:jc w:val="center"/>
        <w:rPr>
          <w:rFonts w:ascii="方正小标宋_GBK" w:hAnsi="方正小标宋_GBK" w:eastAsia="方正小标宋_GBK" w:cs="方正小标宋_GBK"/>
          <w:color w:val="000000"/>
          <w:spacing w:val="-11"/>
          <w:sz w:val="44"/>
          <w:szCs w:val="44"/>
        </w:rPr>
      </w:pPr>
      <w:r>
        <w:rPr>
          <w:rFonts w:ascii="方正小标宋_GBK" w:hAnsi="方正小标宋_GBK" w:eastAsia="方正小标宋_GBK" w:cs="方正小标宋_GBK"/>
          <w:color w:val="000000"/>
          <w:spacing w:val="-11"/>
          <w:sz w:val="44"/>
          <w:szCs w:val="44"/>
        </w:rPr>
        <w:t>2018年区级政府性基金预算本级支出执行表</w:t>
      </w:r>
    </w:p>
    <w:p>
      <w:pPr>
        <w:spacing w:line="594" w:lineRule="exact"/>
        <w:jc w:val="right"/>
        <w:rPr>
          <w:rFonts w:cs="方正仿宋_GBK"/>
          <w:color w:val="000000"/>
          <w:szCs w:val="32"/>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7335"/>
        <w:gridCol w:w="1539"/>
      </w:tblGrid>
      <w:tr>
        <w:tblPrEx>
          <w:tblCellMar>
            <w:top w:w="15" w:type="dxa"/>
            <w:left w:w="15" w:type="dxa"/>
            <w:bottom w:w="15" w:type="dxa"/>
            <w:right w:w="15" w:type="dxa"/>
          </w:tblCellMar>
        </w:tblPrEx>
        <w:trPr>
          <w:trHeight w:val="363" w:hRule="atLeast"/>
          <w:tblHeader/>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支        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执行数</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本级支出合计</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65813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社会保障和就业支出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151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大中型水库移民后期扶持基金支出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127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移民补助</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127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小型水库移民扶助基金及对应专项债务收入安排的支出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基础设施建设和经济发展</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城乡社区支出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58398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国有土地使用权出让收入及对应专项债务收入安排的支出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58328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征地和拆迁补偿支出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14671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土地开发支出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97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城市建设支出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21455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农村基础设施建设支出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612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土地出让业务支出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棚户区改造支出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271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其他国有土地使用权出让收入安排的支出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21212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国有土地收益基金及对应专项债务收入安排的支出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征地和拆迁补偿支出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污水处理费及对应专项债务收入安排的支出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43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污水处理设施建设和运营</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43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农林水支出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三峡水库库区基金支出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其他三峡水库库区基金支出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商业服务业等支出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777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旅游发展基金支出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777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地方旅游开发项目补助</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777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其他支出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4746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彩票发行销售机构业务费安排的支出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其他彩票发行销售机构业务费安排的支出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彩票公益金及对应专项债务收入安排的支出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4723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用于社会福利的彩票公益金支出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1396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用于体育事业的彩票公益金支出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1381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用于教育事业的彩票公益金支出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1815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用于残疾人事业的彩票公益金支出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59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用于其他社会公益事业的彩票公益金支出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72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债务付息支出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1711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地方政府专项债务付息支出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1711 </w:t>
            </w:r>
          </w:p>
        </w:tc>
      </w:tr>
      <w:tr>
        <w:tblPrEx>
          <w:tblCellMar>
            <w:top w:w="15" w:type="dxa"/>
            <w:left w:w="15" w:type="dxa"/>
            <w:bottom w:w="15" w:type="dxa"/>
            <w:right w:w="15" w:type="dxa"/>
          </w:tblCellMar>
        </w:tblPrEx>
        <w:trPr>
          <w:trHeight w:val="360" w:hRule="atLeast"/>
        </w:trPr>
        <w:tc>
          <w:tcPr>
            <w:tcW w:w="7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cs="方正仿宋_GBK"/>
                <w:color w:val="000000"/>
                <w:sz w:val="28"/>
                <w:szCs w:val="28"/>
              </w:rPr>
            </w:pPr>
            <w:r>
              <w:rPr>
                <w:rFonts w:cs="方正仿宋_GBK"/>
                <w:color w:val="000000"/>
                <w:sz w:val="28"/>
                <w:szCs w:val="28"/>
                <w:lang w:bidi="ar"/>
              </w:rPr>
              <w:t xml:space="preserve">    国有土地使用权出让金债务付息支出</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1711 </w:t>
            </w:r>
          </w:p>
        </w:tc>
      </w:tr>
    </w:tbl>
    <w:p>
      <w:pPr>
        <w:spacing w:line="360" w:lineRule="exact"/>
        <w:rPr>
          <w:rFonts w:hint="default" w:ascii="Times New Roman" w:hAnsi="Times New Roman"/>
          <w:color w:val="000000"/>
          <w:sz w:val="28"/>
          <w:szCs w:val="28"/>
        </w:rPr>
      </w:pPr>
      <w:r>
        <w:rPr>
          <w:rFonts w:hint="default" w:ascii="Times New Roman" w:hAnsi="Times New Roman"/>
          <w:color w:val="000000"/>
          <w:sz w:val="28"/>
          <w:szCs w:val="28"/>
        </w:rPr>
        <w:t>注：本表详细反映2018年政府性基金预算本级支出情况,按《预算法》要求细化到功能分类项级科目。</w:t>
      </w:r>
    </w:p>
    <w:p>
      <w:pPr>
        <w:spacing w:line="594" w:lineRule="exact"/>
        <w:rPr>
          <w:rFonts w:cs="方正仿宋_GBK"/>
          <w:color w:val="000000"/>
          <w:szCs w:val="32"/>
        </w:rPr>
      </w:pPr>
    </w:p>
    <w:p>
      <w:pPr>
        <w:spacing w:line="594" w:lineRule="exact"/>
        <w:rPr>
          <w:rFonts w:ascii="方正黑体_GBK" w:hAnsi="方正黑体_GBK" w:eastAsia="方正黑体_GBK" w:cs="方正黑体_GBK"/>
          <w:color w:val="000000"/>
          <w:szCs w:val="32"/>
        </w:rPr>
      </w:pPr>
      <w:r>
        <w:rPr>
          <w:rFonts w:hint="default" w:cs="方正仿宋_GBK"/>
          <w:color w:val="000000"/>
          <w:szCs w:val="32"/>
        </w:rPr>
        <w:br w:type="page"/>
      </w:r>
      <w:r>
        <w:rPr>
          <w:rFonts w:ascii="方正黑体_GBK" w:hAnsi="方正黑体_GBK" w:eastAsia="方正黑体_GBK" w:cs="方正黑体_GBK"/>
          <w:color w:val="000000"/>
          <w:szCs w:val="32"/>
        </w:rPr>
        <w:t>附件12</w:t>
      </w:r>
    </w:p>
    <w:p>
      <w:pPr>
        <w:spacing w:line="594" w:lineRule="exact"/>
        <w:jc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t>2018年区级政府性基金预算转移性收支</w:t>
      </w:r>
    </w:p>
    <w:p>
      <w:pPr>
        <w:spacing w:line="594" w:lineRule="exact"/>
        <w:jc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t xml:space="preserve">执行表 </w:t>
      </w:r>
    </w:p>
    <w:p>
      <w:pPr>
        <w:spacing w:line="594" w:lineRule="exact"/>
        <w:jc w:val="right"/>
        <w:rPr>
          <w:rFonts w:cs="方正仿宋_GBK"/>
          <w:color w:val="000000"/>
          <w:szCs w:val="32"/>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3350"/>
        <w:gridCol w:w="1199"/>
        <w:gridCol w:w="3055"/>
        <w:gridCol w:w="1270"/>
      </w:tblGrid>
      <w:tr>
        <w:tblPrEx>
          <w:tblCellMar>
            <w:top w:w="15" w:type="dxa"/>
            <w:left w:w="15" w:type="dxa"/>
            <w:bottom w:w="15" w:type="dxa"/>
            <w:right w:w="15" w:type="dxa"/>
          </w:tblCellMar>
        </w:tblPrEx>
        <w:trPr>
          <w:trHeight w:val="480" w:hRule="atLeast"/>
        </w:trPr>
        <w:tc>
          <w:tcPr>
            <w:tcW w:w="3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收       入</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执行数</w:t>
            </w:r>
          </w:p>
        </w:tc>
        <w:tc>
          <w:tcPr>
            <w:tcW w:w="3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支        出</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执行数</w:t>
            </w:r>
          </w:p>
        </w:tc>
      </w:tr>
      <w:tr>
        <w:tblPrEx>
          <w:tblCellMar>
            <w:top w:w="15" w:type="dxa"/>
            <w:left w:w="15" w:type="dxa"/>
            <w:bottom w:w="15" w:type="dxa"/>
            <w:right w:w="15" w:type="dxa"/>
          </w:tblCellMar>
        </w:tblPrEx>
        <w:trPr>
          <w:trHeight w:val="480" w:hRule="atLeast"/>
        </w:trPr>
        <w:tc>
          <w:tcPr>
            <w:tcW w:w="3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上级补助收入</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0 </w:t>
            </w:r>
          </w:p>
        </w:tc>
        <w:tc>
          <w:tcPr>
            <w:tcW w:w="3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补助镇街支出</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400 </w:t>
            </w:r>
          </w:p>
        </w:tc>
      </w:tr>
      <w:tr>
        <w:tblPrEx>
          <w:tblCellMar>
            <w:top w:w="15" w:type="dxa"/>
            <w:left w:w="15" w:type="dxa"/>
            <w:bottom w:w="15" w:type="dxa"/>
            <w:right w:w="15" w:type="dxa"/>
          </w:tblCellMar>
        </w:tblPrEx>
        <w:trPr>
          <w:trHeight w:val="480" w:hRule="atLeast"/>
        </w:trPr>
        <w:tc>
          <w:tcPr>
            <w:tcW w:w="3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一、社会保障和就业支出</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color w:val="000000"/>
                <w:sz w:val="28"/>
                <w:szCs w:val="28"/>
              </w:rPr>
            </w:pPr>
          </w:p>
        </w:tc>
        <w:tc>
          <w:tcPr>
            <w:tcW w:w="3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一、社会保障和就业支出</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二、城乡社区</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color w:val="000000"/>
                <w:sz w:val="28"/>
                <w:szCs w:val="28"/>
              </w:rPr>
            </w:pPr>
          </w:p>
        </w:tc>
        <w:tc>
          <w:tcPr>
            <w:tcW w:w="3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二、城乡社区</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400 </w:t>
            </w:r>
          </w:p>
        </w:tc>
      </w:tr>
      <w:tr>
        <w:tblPrEx>
          <w:tblCellMar>
            <w:top w:w="15" w:type="dxa"/>
            <w:left w:w="15" w:type="dxa"/>
            <w:bottom w:w="15" w:type="dxa"/>
            <w:right w:w="15" w:type="dxa"/>
          </w:tblCellMar>
        </w:tblPrEx>
        <w:trPr>
          <w:trHeight w:val="420" w:hRule="atLeast"/>
        </w:trPr>
        <w:tc>
          <w:tcPr>
            <w:tcW w:w="3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三、农林水</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color w:val="000000"/>
                <w:sz w:val="28"/>
                <w:szCs w:val="28"/>
              </w:rPr>
            </w:pPr>
          </w:p>
        </w:tc>
        <w:tc>
          <w:tcPr>
            <w:tcW w:w="3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三、农林水</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四、商业服务业等支出</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color w:val="000000"/>
                <w:sz w:val="28"/>
                <w:szCs w:val="28"/>
              </w:rPr>
            </w:pPr>
          </w:p>
        </w:tc>
        <w:tc>
          <w:tcPr>
            <w:tcW w:w="3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四、商业服务业等支出</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五、其他支出</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color w:val="000000"/>
                <w:sz w:val="28"/>
                <w:szCs w:val="28"/>
              </w:rPr>
            </w:pPr>
          </w:p>
        </w:tc>
        <w:tc>
          <w:tcPr>
            <w:tcW w:w="3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五、其他支出</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color w:val="000000"/>
                <w:sz w:val="28"/>
                <w:szCs w:val="28"/>
              </w:rPr>
            </w:pPr>
          </w:p>
        </w:tc>
      </w:tr>
    </w:tbl>
    <w:p>
      <w:pPr>
        <w:spacing w:line="594" w:lineRule="exact"/>
        <w:rPr>
          <w:rFonts w:cs="方正仿宋_GBK"/>
          <w:color w:val="000000"/>
          <w:szCs w:val="32"/>
        </w:rPr>
      </w:pPr>
    </w:p>
    <w:p>
      <w:pPr>
        <w:spacing w:line="594" w:lineRule="exact"/>
        <w:rPr>
          <w:rFonts w:ascii="方正黑体_GBK" w:hAnsi="方正黑体_GBK" w:eastAsia="方正黑体_GBK" w:cs="方正黑体_GBK"/>
          <w:color w:val="000000"/>
          <w:szCs w:val="32"/>
        </w:rPr>
      </w:pPr>
      <w:r>
        <w:rPr>
          <w:rFonts w:hint="default" w:cs="方正仿宋_GBK"/>
          <w:color w:val="000000"/>
          <w:szCs w:val="32"/>
        </w:rPr>
        <w:br w:type="page"/>
      </w:r>
      <w:r>
        <w:rPr>
          <w:rFonts w:ascii="方正黑体_GBK" w:hAnsi="方正黑体_GBK" w:eastAsia="方正黑体_GBK" w:cs="方正黑体_GBK"/>
          <w:color w:val="000000"/>
          <w:szCs w:val="32"/>
        </w:rPr>
        <w:t>附件13</w:t>
      </w:r>
    </w:p>
    <w:p>
      <w:pPr>
        <w:spacing w:line="594" w:lineRule="exact"/>
        <w:jc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t>2018年区级国有资本经营预算收支执行表</w:t>
      </w:r>
    </w:p>
    <w:p>
      <w:pPr>
        <w:spacing w:line="594" w:lineRule="exact"/>
        <w:jc w:val="right"/>
        <w:rPr>
          <w:rFonts w:cs="方正仿宋_GBK"/>
          <w:color w:val="000000"/>
          <w:szCs w:val="32"/>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3532"/>
        <w:gridCol w:w="1067"/>
        <w:gridCol w:w="1097"/>
        <w:gridCol w:w="1067"/>
        <w:gridCol w:w="1044"/>
        <w:gridCol w:w="1067"/>
      </w:tblGrid>
      <w:tr>
        <w:tblPrEx>
          <w:tblCellMar>
            <w:top w:w="15" w:type="dxa"/>
            <w:left w:w="15" w:type="dxa"/>
            <w:bottom w:w="15" w:type="dxa"/>
            <w:right w:w="15" w:type="dxa"/>
          </w:tblCellMar>
        </w:tblPrEx>
        <w:trPr>
          <w:trHeight w:val="1080" w:hRule="atLeast"/>
        </w:trPr>
        <w:tc>
          <w:tcPr>
            <w:tcW w:w="3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收      入</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lang w:bidi="ar"/>
              </w:rPr>
            </w:pPr>
            <w:r>
              <w:rPr>
                <w:rFonts w:ascii="方正黑体_GBK" w:hAnsi="方正黑体_GBK" w:eastAsia="方正黑体_GBK" w:cs="方正黑体_GBK"/>
                <w:color w:val="000000"/>
                <w:sz w:val="28"/>
                <w:szCs w:val="28"/>
                <w:lang w:bidi="ar"/>
              </w:rPr>
              <w:t>调整</w:t>
            </w:r>
          </w:p>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执行数</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执行数为调整预算%</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执行数比上年决算数增长%</w:t>
            </w:r>
          </w:p>
        </w:tc>
      </w:tr>
      <w:tr>
        <w:tblPrEx>
          <w:tblCellMar>
            <w:top w:w="15" w:type="dxa"/>
            <w:left w:w="15" w:type="dxa"/>
            <w:bottom w:w="15" w:type="dxa"/>
            <w:right w:w="15" w:type="dxa"/>
          </w:tblCellMar>
        </w:tblPrEx>
        <w:trPr>
          <w:trHeight w:val="480" w:hRule="atLeast"/>
        </w:trPr>
        <w:tc>
          <w:tcPr>
            <w:tcW w:w="3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总      计</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38742 </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36391 </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36391 </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100.0 </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-13.0 </w:t>
            </w:r>
          </w:p>
        </w:tc>
      </w:tr>
      <w:tr>
        <w:tblPrEx>
          <w:tblCellMar>
            <w:top w:w="15" w:type="dxa"/>
            <w:left w:w="15" w:type="dxa"/>
            <w:bottom w:w="15" w:type="dxa"/>
            <w:right w:w="15" w:type="dxa"/>
          </w:tblCellMar>
        </w:tblPrEx>
        <w:trPr>
          <w:trHeight w:val="480" w:hRule="atLeast"/>
        </w:trPr>
        <w:tc>
          <w:tcPr>
            <w:tcW w:w="3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本级收入合计</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20000 </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5500 </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5500 </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100.0 </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-72.6 </w:t>
            </w:r>
          </w:p>
        </w:tc>
      </w:tr>
      <w:tr>
        <w:tblPrEx>
          <w:tblCellMar>
            <w:top w:w="15" w:type="dxa"/>
            <w:left w:w="15" w:type="dxa"/>
            <w:bottom w:w="15" w:type="dxa"/>
            <w:right w:w="15" w:type="dxa"/>
          </w:tblCellMar>
        </w:tblPrEx>
        <w:trPr>
          <w:trHeight w:val="450" w:hRule="atLeast"/>
        </w:trPr>
        <w:tc>
          <w:tcPr>
            <w:tcW w:w="3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一、利润收入</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r>
      <w:tr>
        <w:tblPrEx>
          <w:tblCellMar>
            <w:top w:w="15" w:type="dxa"/>
            <w:left w:w="15" w:type="dxa"/>
            <w:bottom w:w="15" w:type="dxa"/>
            <w:right w:w="15" w:type="dxa"/>
          </w:tblCellMar>
        </w:tblPrEx>
        <w:trPr>
          <w:trHeight w:val="450" w:hRule="atLeast"/>
        </w:trPr>
        <w:tc>
          <w:tcPr>
            <w:tcW w:w="3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二、股利、股息收入</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r>
      <w:tr>
        <w:tblPrEx>
          <w:tblCellMar>
            <w:top w:w="15" w:type="dxa"/>
            <w:left w:w="15" w:type="dxa"/>
            <w:bottom w:w="15" w:type="dxa"/>
            <w:right w:w="15" w:type="dxa"/>
          </w:tblCellMar>
        </w:tblPrEx>
        <w:trPr>
          <w:trHeight w:val="450" w:hRule="atLeast"/>
        </w:trPr>
        <w:tc>
          <w:tcPr>
            <w:tcW w:w="3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三、产权转让收入</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r>
      <w:tr>
        <w:tblPrEx>
          <w:tblCellMar>
            <w:top w:w="15" w:type="dxa"/>
            <w:left w:w="15" w:type="dxa"/>
            <w:bottom w:w="15" w:type="dxa"/>
            <w:right w:w="15" w:type="dxa"/>
          </w:tblCellMar>
        </w:tblPrEx>
        <w:trPr>
          <w:trHeight w:val="450" w:hRule="atLeast"/>
        </w:trPr>
        <w:tc>
          <w:tcPr>
            <w:tcW w:w="3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四、清算收入</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r>
      <w:tr>
        <w:tblPrEx>
          <w:tblCellMar>
            <w:top w:w="15" w:type="dxa"/>
            <w:left w:w="15" w:type="dxa"/>
            <w:bottom w:w="15" w:type="dxa"/>
            <w:right w:w="15" w:type="dxa"/>
          </w:tblCellMar>
        </w:tblPrEx>
        <w:trPr>
          <w:trHeight w:val="450" w:hRule="atLeast"/>
        </w:trPr>
        <w:tc>
          <w:tcPr>
            <w:tcW w:w="3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五、其他国有资本经营收入</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20000 </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5500 </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5500 </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-72.6 </w:t>
            </w:r>
          </w:p>
        </w:tc>
      </w:tr>
      <w:tr>
        <w:tblPrEx>
          <w:tblCellMar>
            <w:top w:w="15" w:type="dxa"/>
            <w:left w:w="15" w:type="dxa"/>
            <w:bottom w:w="15" w:type="dxa"/>
            <w:right w:w="15" w:type="dxa"/>
          </w:tblCellMar>
        </w:tblPrEx>
        <w:trPr>
          <w:trHeight w:val="450" w:hRule="atLeast"/>
        </w:trPr>
        <w:tc>
          <w:tcPr>
            <w:tcW w:w="3532" w:type="dxa"/>
            <w:tcBorders>
              <w:top w:val="single" w:color="000000" w:sz="4" w:space="0"/>
              <w:left w:val="single" w:color="000000" w:sz="4" w:space="0"/>
              <w:right w:val="single" w:color="000000" w:sz="4" w:space="0"/>
            </w:tcBorders>
            <w:noWrap w:val="0"/>
            <w:vAlign w:val="bottom"/>
          </w:tcPr>
          <w:p>
            <w:pPr>
              <w:widowControl/>
              <w:spacing w:line="360" w:lineRule="exact"/>
              <w:rPr>
                <w:rFonts w:cs="方正仿宋_GBK"/>
                <w:color w:val="000000"/>
                <w:sz w:val="28"/>
                <w:szCs w:val="28"/>
              </w:rPr>
            </w:pPr>
          </w:p>
        </w:tc>
        <w:tc>
          <w:tcPr>
            <w:tcW w:w="1067" w:type="dxa"/>
            <w:tcBorders>
              <w:top w:val="single" w:color="000000" w:sz="4" w:space="0"/>
              <w:left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97" w:type="dxa"/>
            <w:tcBorders>
              <w:top w:val="single" w:color="000000" w:sz="4" w:space="0"/>
              <w:left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67" w:type="dxa"/>
            <w:tcBorders>
              <w:top w:val="single" w:color="000000" w:sz="4" w:space="0"/>
              <w:left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44" w:type="dxa"/>
            <w:tcBorders>
              <w:top w:val="single" w:color="000000" w:sz="4" w:space="0"/>
              <w:left w:val="single" w:color="000000" w:sz="4" w:space="0"/>
            </w:tcBorders>
            <w:noWrap w:val="0"/>
            <w:vAlign w:val="center"/>
          </w:tcPr>
          <w:p>
            <w:pPr>
              <w:widowControl/>
              <w:spacing w:line="360" w:lineRule="exact"/>
              <w:jc w:val="center"/>
              <w:rPr>
                <w:rFonts w:hint="default" w:ascii="Times New Roman" w:hAnsi="Times New Roman"/>
                <w:color w:val="000000"/>
                <w:sz w:val="28"/>
                <w:szCs w:val="28"/>
              </w:rPr>
            </w:pPr>
          </w:p>
        </w:tc>
        <w:tc>
          <w:tcPr>
            <w:tcW w:w="1067"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50" w:hRule="atLeast"/>
        </w:trPr>
        <w:tc>
          <w:tcPr>
            <w:tcW w:w="3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转移性收入合计</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18742 </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30891 </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30891 </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w:t>
            </w:r>
            <w:r>
              <w:rPr>
                <w:rFonts w:ascii="方正黑体_GBK" w:hAnsi="方正黑体_GBK" w:eastAsia="方正黑体_GBK" w:cs="方正黑体_GBK"/>
                <w:color w:val="FFFFFF"/>
                <w:sz w:val="28"/>
                <w:szCs w:val="28"/>
                <w:lang w:bidi="ar"/>
              </w:rPr>
              <w:t>0</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w:t>
            </w:r>
            <w:r>
              <w:rPr>
                <w:rFonts w:ascii="方正黑体_GBK" w:hAnsi="方正黑体_GBK" w:eastAsia="方正黑体_GBK" w:cs="方正黑体_GBK"/>
                <w:color w:val="FFFFFF"/>
                <w:sz w:val="28"/>
                <w:szCs w:val="28"/>
                <w:lang w:bidi="ar"/>
              </w:rPr>
              <w:t>0</w:t>
            </w:r>
          </w:p>
        </w:tc>
      </w:tr>
      <w:tr>
        <w:tblPrEx>
          <w:tblCellMar>
            <w:top w:w="15" w:type="dxa"/>
            <w:left w:w="15" w:type="dxa"/>
            <w:bottom w:w="15" w:type="dxa"/>
            <w:right w:w="15" w:type="dxa"/>
          </w:tblCellMar>
        </w:tblPrEx>
        <w:trPr>
          <w:trHeight w:val="450" w:hRule="atLeast"/>
        </w:trPr>
        <w:tc>
          <w:tcPr>
            <w:tcW w:w="3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一、上级补助收入</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12149 </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12149 </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olor w:val="000000"/>
                <w:sz w:val="28"/>
                <w:szCs w:val="28"/>
              </w:rPr>
            </w:pPr>
          </w:p>
        </w:tc>
        <w:tc>
          <w:tcPr>
            <w:tcW w:w="1067"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50" w:hRule="atLeast"/>
        </w:trPr>
        <w:tc>
          <w:tcPr>
            <w:tcW w:w="3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二、上年结转</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18742 </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18742 </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18742 </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olor w:val="000000"/>
                <w:sz w:val="28"/>
                <w:szCs w:val="28"/>
              </w:rPr>
            </w:pPr>
          </w:p>
        </w:tc>
        <w:tc>
          <w:tcPr>
            <w:tcW w:w="1067"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rPr>
                <w:rFonts w:hint="default" w:ascii="Times New Roman" w:hAnsi="Times New Roman"/>
                <w:color w:val="000000"/>
                <w:sz w:val="28"/>
                <w:szCs w:val="28"/>
              </w:rPr>
            </w:pPr>
          </w:p>
        </w:tc>
      </w:tr>
    </w:tbl>
    <w:p>
      <w:pPr>
        <w:spacing w:line="594" w:lineRule="exact"/>
        <w:rPr>
          <w:rFonts w:cs="方正仿宋_GBK"/>
          <w:color w:val="000000"/>
          <w:szCs w:val="32"/>
        </w:rPr>
      </w:pPr>
    </w:p>
    <w:p>
      <w:pPr>
        <w:spacing w:line="594" w:lineRule="exact"/>
        <w:rPr>
          <w:rFonts w:ascii="方正黑体_GBK" w:hAnsi="方正黑体_GBK" w:eastAsia="方正黑体_GBK" w:cs="方正黑体_GBK"/>
          <w:color w:val="000000"/>
          <w:szCs w:val="32"/>
        </w:rPr>
      </w:pPr>
      <w:r>
        <w:rPr>
          <w:rFonts w:hint="default" w:cs="方正仿宋_GBK"/>
          <w:color w:val="000000"/>
          <w:szCs w:val="32"/>
        </w:rPr>
        <w:br w:type="page"/>
      </w:r>
      <w:r>
        <w:rPr>
          <w:rFonts w:ascii="方正黑体_GBK" w:hAnsi="方正黑体_GBK" w:eastAsia="方正黑体_GBK" w:cs="方正黑体_GBK"/>
          <w:color w:val="000000"/>
          <w:szCs w:val="32"/>
        </w:rPr>
        <w:t>附件14</w:t>
      </w:r>
    </w:p>
    <w:p>
      <w:pPr>
        <w:spacing w:line="594" w:lineRule="exact"/>
        <w:jc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t>2018年区级国有资本经营预算收支执行表</w:t>
      </w:r>
    </w:p>
    <w:p>
      <w:pPr>
        <w:spacing w:line="594" w:lineRule="exact"/>
        <w:jc w:val="center"/>
        <w:rPr>
          <w:rFonts w:ascii="方正楷体_GBK" w:hAnsi="方正楷体_GBK" w:eastAsia="方正楷体_GBK" w:cs="方正楷体_GBK"/>
          <w:color w:val="000000"/>
          <w:sz w:val="32"/>
          <w:szCs w:val="32"/>
        </w:rPr>
      </w:pPr>
      <w:r>
        <w:rPr>
          <w:rFonts w:ascii="方正楷体_GBK" w:hAnsi="方正楷体_GBK" w:eastAsia="方正楷体_GBK" w:cs="方正楷体_GBK"/>
          <w:color w:val="000000"/>
          <w:sz w:val="32"/>
          <w:szCs w:val="32"/>
        </w:rPr>
        <w:t>（续表）</w:t>
      </w:r>
    </w:p>
    <w:p>
      <w:pPr>
        <w:spacing w:line="594" w:lineRule="exact"/>
        <w:jc w:val="right"/>
        <w:rPr>
          <w:rFonts w:cs="方正仿宋_GBK"/>
          <w:color w:val="000000"/>
          <w:szCs w:val="32"/>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4116"/>
        <w:gridCol w:w="864"/>
        <w:gridCol w:w="956"/>
        <w:gridCol w:w="939"/>
        <w:gridCol w:w="940"/>
        <w:gridCol w:w="1059"/>
      </w:tblGrid>
      <w:tr>
        <w:tblPrEx>
          <w:tblCellMar>
            <w:top w:w="15" w:type="dxa"/>
            <w:left w:w="15" w:type="dxa"/>
            <w:bottom w:w="15" w:type="dxa"/>
            <w:right w:w="15" w:type="dxa"/>
          </w:tblCellMar>
        </w:tblPrEx>
        <w:trPr>
          <w:trHeight w:val="1066" w:hRule="atLeast"/>
          <w:tblHeader/>
        </w:trPr>
        <w:tc>
          <w:tcPr>
            <w:tcW w:w="41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支       出</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lang w:bidi="ar"/>
              </w:rPr>
            </w:pPr>
            <w:r>
              <w:rPr>
                <w:rFonts w:ascii="方正黑体_GBK" w:hAnsi="方正黑体_GBK" w:eastAsia="方正黑体_GBK" w:cs="方正黑体_GBK"/>
                <w:color w:val="000000"/>
                <w:sz w:val="28"/>
                <w:szCs w:val="28"/>
                <w:lang w:bidi="ar"/>
              </w:rPr>
              <w:t>调整</w:t>
            </w:r>
          </w:p>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执行数</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执行数为调整预算%</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执行数比上年决算数增长%</w:t>
            </w:r>
          </w:p>
        </w:tc>
      </w:tr>
      <w:tr>
        <w:tblPrEx>
          <w:tblCellMar>
            <w:top w:w="15" w:type="dxa"/>
            <w:left w:w="15" w:type="dxa"/>
            <w:bottom w:w="15" w:type="dxa"/>
            <w:right w:w="15" w:type="dxa"/>
          </w:tblCellMar>
        </w:tblPrEx>
        <w:trPr>
          <w:trHeight w:val="480" w:hRule="atLeast"/>
        </w:trPr>
        <w:tc>
          <w:tcPr>
            <w:tcW w:w="41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总       计</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38742 </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36391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36391 </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100.0 </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-13.0 </w:t>
            </w:r>
          </w:p>
        </w:tc>
      </w:tr>
      <w:tr>
        <w:tblPrEx>
          <w:tblCellMar>
            <w:top w:w="15" w:type="dxa"/>
            <w:left w:w="15" w:type="dxa"/>
            <w:bottom w:w="15" w:type="dxa"/>
            <w:right w:w="15" w:type="dxa"/>
          </w:tblCellMar>
        </w:tblPrEx>
        <w:trPr>
          <w:trHeight w:val="480" w:hRule="atLeast"/>
        </w:trPr>
        <w:tc>
          <w:tcPr>
            <w:tcW w:w="41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本级支出合计</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38742 </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24242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24242 </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100.0 </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34.2 </w:t>
            </w:r>
          </w:p>
        </w:tc>
      </w:tr>
      <w:tr>
        <w:tblPrEx>
          <w:tblCellMar>
            <w:top w:w="15" w:type="dxa"/>
            <w:left w:w="15" w:type="dxa"/>
            <w:bottom w:w="15" w:type="dxa"/>
            <w:right w:w="15" w:type="dxa"/>
          </w:tblCellMar>
        </w:tblPrEx>
        <w:trPr>
          <w:trHeight w:val="450" w:hRule="atLeast"/>
        </w:trPr>
        <w:tc>
          <w:tcPr>
            <w:tcW w:w="41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一、解决历史遗留问题及改革成本支出</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18742 </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18742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18742 </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524.7 </w:t>
            </w:r>
          </w:p>
        </w:tc>
      </w:tr>
      <w:tr>
        <w:tblPrEx>
          <w:tblCellMar>
            <w:top w:w="15" w:type="dxa"/>
            <w:left w:w="15" w:type="dxa"/>
            <w:bottom w:w="15" w:type="dxa"/>
            <w:right w:w="15" w:type="dxa"/>
          </w:tblCellMar>
        </w:tblPrEx>
        <w:trPr>
          <w:trHeight w:val="450" w:hRule="atLeast"/>
        </w:trPr>
        <w:tc>
          <w:tcPr>
            <w:tcW w:w="41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“三供一业”移交补助支出</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18742 </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18742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18742 </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524.7 </w:t>
            </w:r>
          </w:p>
        </w:tc>
      </w:tr>
      <w:tr>
        <w:tblPrEx>
          <w:tblCellMar>
            <w:top w:w="15" w:type="dxa"/>
            <w:left w:w="15" w:type="dxa"/>
            <w:bottom w:w="15" w:type="dxa"/>
            <w:right w:w="15" w:type="dxa"/>
          </w:tblCellMar>
        </w:tblPrEx>
        <w:trPr>
          <w:trHeight w:val="450" w:hRule="atLeast"/>
        </w:trPr>
        <w:tc>
          <w:tcPr>
            <w:tcW w:w="41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二、其他国有资本经营预算支出</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20000 </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5500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5500 </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-63.5 </w:t>
            </w:r>
          </w:p>
        </w:tc>
      </w:tr>
      <w:tr>
        <w:tblPrEx>
          <w:tblCellMar>
            <w:top w:w="15" w:type="dxa"/>
            <w:left w:w="15" w:type="dxa"/>
            <w:bottom w:w="15" w:type="dxa"/>
            <w:right w:w="15" w:type="dxa"/>
          </w:tblCellMar>
        </w:tblPrEx>
        <w:trPr>
          <w:trHeight w:val="450" w:hRule="atLeast"/>
        </w:trPr>
        <w:tc>
          <w:tcPr>
            <w:tcW w:w="41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其他国有资本经营预算支出</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20000 </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5500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5500 </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-63.5 </w:t>
            </w:r>
          </w:p>
        </w:tc>
      </w:tr>
      <w:tr>
        <w:tblPrEx>
          <w:tblCellMar>
            <w:top w:w="15" w:type="dxa"/>
            <w:left w:w="15" w:type="dxa"/>
            <w:bottom w:w="15" w:type="dxa"/>
            <w:right w:w="15" w:type="dxa"/>
          </w:tblCellMar>
        </w:tblPrEx>
        <w:trPr>
          <w:trHeight w:val="450" w:hRule="atLeast"/>
        </w:trPr>
        <w:tc>
          <w:tcPr>
            <w:tcW w:w="41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cs="方正仿宋_GBK"/>
                <w:color w:val="000000"/>
                <w:sz w:val="28"/>
                <w:szCs w:val="28"/>
              </w:rPr>
            </w:pP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50" w:hRule="atLeast"/>
        </w:trPr>
        <w:tc>
          <w:tcPr>
            <w:tcW w:w="41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转移性支出合计</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0 </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12149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12149 </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w:t>
            </w:r>
            <w:r>
              <w:rPr>
                <w:rFonts w:ascii="方正黑体_GBK" w:hAnsi="方正黑体_GBK" w:eastAsia="方正黑体_GBK" w:cs="方正黑体_GBK"/>
                <w:color w:val="FFFFFF"/>
                <w:sz w:val="28"/>
                <w:szCs w:val="28"/>
                <w:lang w:bidi="ar"/>
              </w:rPr>
              <w:t>0</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w:t>
            </w:r>
            <w:r>
              <w:rPr>
                <w:rFonts w:ascii="方正黑体_GBK" w:hAnsi="方正黑体_GBK" w:eastAsia="方正黑体_GBK" w:cs="方正黑体_GBK"/>
                <w:color w:val="FFFFFF"/>
                <w:sz w:val="28"/>
                <w:szCs w:val="28"/>
                <w:lang w:bidi="ar"/>
              </w:rPr>
              <w:t>0</w:t>
            </w:r>
          </w:p>
        </w:tc>
      </w:tr>
      <w:tr>
        <w:tblPrEx>
          <w:tblCellMar>
            <w:top w:w="15" w:type="dxa"/>
            <w:left w:w="15" w:type="dxa"/>
            <w:bottom w:w="15" w:type="dxa"/>
            <w:right w:w="15" w:type="dxa"/>
          </w:tblCellMar>
        </w:tblPrEx>
        <w:trPr>
          <w:trHeight w:val="390" w:hRule="atLeast"/>
        </w:trPr>
        <w:tc>
          <w:tcPr>
            <w:tcW w:w="41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结转下年</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12149 </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12149 </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r>
    </w:tbl>
    <w:p>
      <w:pPr>
        <w:spacing w:line="360" w:lineRule="exact"/>
        <w:rPr>
          <w:rFonts w:hint="default" w:ascii="Times New Roman" w:hAnsi="Times New Roman"/>
          <w:color w:val="000000"/>
          <w:sz w:val="28"/>
          <w:szCs w:val="28"/>
        </w:rPr>
      </w:pPr>
      <w:r>
        <w:rPr>
          <w:rFonts w:hint="default" w:ascii="Times New Roman" w:hAnsi="Times New Roman"/>
          <w:color w:val="000000"/>
          <w:sz w:val="28"/>
          <w:szCs w:val="28"/>
        </w:rPr>
        <w:t>注：1.</w:t>
      </w:r>
      <w:r>
        <w:rPr>
          <w:rFonts w:ascii="Times New Roman" w:hAnsi="Times New Roman"/>
          <w:color w:val="000000"/>
          <w:sz w:val="28"/>
          <w:szCs w:val="28"/>
        </w:rPr>
        <w:t xml:space="preserve"> </w:t>
      </w:r>
      <w:r>
        <w:rPr>
          <w:rFonts w:hint="default" w:ascii="Times New Roman" w:hAnsi="Times New Roman"/>
          <w:color w:val="000000"/>
          <w:sz w:val="28"/>
          <w:szCs w:val="28"/>
        </w:rPr>
        <w:t>本表直观反映2018年国有资本经营预算收入与支出的平衡关系。</w:t>
      </w:r>
    </w:p>
    <w:p>
      <w:pPr>
        <w:spacing w:line="360" w:lineRule="exact"/>
        <w:ind w:firstLine="560"/>
        <w:rPr>
          <w:rFonts w:hint="default" w:ascii="Times New Roman" w:hAnsi="Times New Roman"/>
          <w:color w:val="000000"/>
          <w:sz w:val="28"/>
          <w:szCs w:val="28"/>
        </w:rPr>
      </w:pPr>
      <w:r>
        <w:rPr>
          <w:rFonts w:hint="default" w:ascii="Times New Roman" w:hAnsi="Times New Roman"/>
          <w:color w:val="000000"/>
          <w:sz w:val="28"/>
          <w:szCs w:val="28"/>
        </w:rPr>
        <w:t>2.</w:t>
      </w:r>
      <w:r>
        <w:rPr>
          <w:rFonts w:ascii="Times New Roman" w:hAnsi="Times New Roman"/>
          <w:color w:val="000000"/>
          <w:sz w:val="28"/>
          <w:szCs w:val="28"/>
        </w:rPr>
        <w:t xml:space="preserve"> </w:t>
      </w:r>
      <w:r>
        <w:rPr>
          <w:rFonts w:hint="default" w:ascii="Times New Roman" w:hAnsi="Times New Roman"/>
          <w:color w:val="000000"/>
          <w:sz w:val="28"/>
          <w:szCs w:val="28"/>
        </w:rPr>
        <w:t>收入总计（本级收入合计+转移性收入合计）=支出总计（本级支出合计+转移性支出合计）。</w:t>
      </w:r>
    </w:p>
    <w:p>
      <w:pPr>
        <w:spacing w:line="594" w:lineRule="exact"/>
        <w:jc w:val="center"/>
        <w:rPr>
          <w:rFonts w:ascii="方正小标宋_GBK" w:hAnsi="方正小标宋_GBK" w:eastAsia="方正小标宋_GBK" w:cs="方正小标宋_GBK"/>
          <w:color w:val="000000"/>
          <w:sz w:val="44"/>
          <w:szCs w:val="44"/>
        </w:rPr>
      </w:pPr>
    </w:p>
    <w:p>
      <w:pPr>
        <w:spacing w:line="594" w:lineRule="exact"/>
        <w:rPr>
          <w:rFonts w:hint="eastAsia" w:ascii="方正黑体_GBK" w:hAnsi="方正黑体_GBK" w:eastAsia="方正黑体_GBK" w:cs="方正黑体_GBK"/>
        </w:rPr>
        <w:sectPr>
          <w:pgSz w:w="11906" w:h="16838"/>
          <w:pgMar w:top="2098" w:right="1531" w:bottom="2041" w:left="1531" w:header="851" w:footer="1474" w:gutter="0"/>
          <w:pgBorders>
            <w:top w:val="none" w:sz="0" w:space="0"/>
            <w:left w:val="none" w:sz="0" w:space="0"/>
            <w:bottom w:val="none" w:sz="0" w:space="0"/>
            <w:right w:val="none" w:sz="0" w:space="0"/>
          </w:pgBorders>
          <w:cols w:space="720" w:num="1"/>
          <w:docGrid w:type="lines" w:linePitch="577" w:charSpace="-849"/>
        </w:sectPr>
      </w:pPr>
      <w:r>
        <w:rPr>
          <w:rFonts w:hint="default" w:ascii="方正小标宋_GBK" w:hAnsi="方正小标宋_GBK" w:eastAsia="方正小标宋_GBK" w:cs="方正小标宋_GBK"/>
          <w:color w:val="000000"/>
          <w:sz w:val="44"/>
          <w:szCs w:val="44"/>
        </w:rPr>
        <w:br w:type="page"/>
      </w:r>
    </w:p>
    <w:p>
      <w:pPr>
        <w:rPr>
          <w:rFonts w:hint="eastAsia" w:ascii="方正黑体_GBK" w:hAnsi="方正黑体_GBK" w:eastAsia="方正黑体_GBK" w:cs="方正黑体_GBK"/>
          <w:lang w:eastAsia="zh-CN"/>
        </w:rPr>
      </w:pPr>
      <w:r>
        <w:rPr>
          <w:rFonts w:hint="eastAsia" w:ascii="方正黑体_GBK" w:hAnsi="方正黑体_GBK" w:eastAsia="方正黑体_GBK" w:cs="方正黑体_GBK"/>
        </w:rPr>
        <w:t>附件</w:t>
      </w:r>
      <w:r>
        <w:rPr>
          <w:rFonts w:hint="eastAsia" w:ascii="方正黑体_GBK" w:hAnsi="方正黑体_GBK" w:eastAsia="方正黑体_GBK" w:cs="方正黑体_GBK"/>
          <w:lang w:val="en-US" w:eastAsia="zh-CN"/>
        </w:rPr>
        <w:t>15</w:t>
      </w:r>
    </w:p>
    <w:p>
      <w:pPr>
        <w:spacing w:line="594"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2018年全区</w:t>
      </w:r>
      <w:r>
        <w:rPr>
          <w:rFonts w:hint="eastAsia" w:ascii="方正小标宋_GBK" w:hAnsi="方正小标宋_GBK" w:eastAsia="方正小标宋_GBK" w:cs="方正小标宋_GBK"/>
          <w:sz w:val="44"/>
          <w:szCs w:val="44"/>
          <w:lang w:eastAsia="zh-CN"/>
        </w:rPr>
        <w:t>社会保险基金</w:t>
      </w:r>
      <w:r>
        <w:rPr>
          <w:rFonts w:hint="eastAsia" w:ascii="方正小标宋_GBK" w:hAnsi="方正小标宋_GBK" w:eastAsia="方正小标宋_GBK" w:cs="方正小标宋_GBK"/>
          <w:sz w:val="44"/>
          <w:szCs w:val="44"/>
        </w:rPr>
        <w:t>预算</w:t>
      </w:r>
      <w:r>
        <w:rPr>
          <w:rFonts w:ascii="方正小标宋_GBK" w:hAnsi="方正小标宋_GBK" w:eastAsia="方正小标宋_GBK" w:cs="方正小标宋_GBK"/>
          <w:color w:val="000000"/>
          <w:sz w:val="44"/>
          <w:szCs w:val="44"/>
        </w:rPr>
        <w:t>收支执行表</w:t>
      </w:r>
    </w:p>
    <w:p>
      <w:pPr>
        <w:wordWrap w:val="0"/>
        <w:spacing w:line="594" w:lineRule="exact"/>
        <w:jc w:val="right"/>
        <w:rPr>
          <w:rFonts w:hint="eastAsia"/>
        </w:rPr>
      </w:pPr>
      <w:r>
        <w:rPr>
          <w:rFonts w:hint="eastAsia"/>
        </w:rPr>
        <w:t xml:space="preserve">单位：万元  </w:t>
      </w:r>
    </w:p>
    <w:tbl>
      <w:tblPr>
        <w:tblStyle w:val="6"/>
        <w:tblW w:w="12729" w:type="dxa"/>
        <w:tblInd w:w="0" w:type="dxa"/>
        <w:tblLayout w:type="fixed"/>
        <w:tblCellMar>
          <w:top w:w="15" w:type="dxa"/>
          <w:left w:w="15" w:type="dxa"/>
          <w:bottom w:w="15" w:type="dxa"/>
          <w:right w:w="15" w:type="dxa"/>
        </w:tblCellMar>
      </w:tblPr>
      <w:tblGrid>
        <w:gridCol w:w="2097"/>
        <w:gridCol w:w="778"/>
        <w:gridCol w:w="857"/>
        <w:gridCol w:w="778"/>
        <w:gridCol w:w="867"/>
        <w:gridCol w:w="828"/>
        <w:gridCol w:w="2276"/>
        <w:gridCol w:w="843"/>
        <w:gridCol w:w="825"/>
        <w:gridCol w:w="825"/>
        <w:gridCol w:w="936"/>
        <w:gridCol w:w="819"/>
      </w:tblGrid>
      <w:tr>
        <w:tblPrEx>
          <w:tblCellMar>
            <w:top w:w="15" w:type="dxa"/>
            <w:left w:w="15" w:type="dxa"/>
            <w:bottom w:w="15" w:type="dxa"/>
            <w:right w:w="15" w:type="dxa"/>
          </w:tblCellMar>
        </w:tblPrEx>
        <w:trPr>
          <w:trHeight w:val="330" w:hRule="atLeast"/>
        </w:trPr>
        <w:tc>
          <w:tcPr>
            <w:tcW w:w="20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方正黑体_GBK"/>
                <w:color w:val="000000"/>
                <w:sz w:val="24"/>
              </w:rPr>
            </w:pPr>
            <w:r>
              <w:rPr>
                <w:rFonts w:ascii="Times New Roman" w:hAnsi="Times New Roman" w:eastAsia="方正黑体_GBK"/>
                <w:color w:val="000000"/>
                <w:sz w:val="24"/>
                <w:lang w:bidi="ar"/>
              </w:rPr>
              <w:t>收入项目</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方正黑体_GBK"/>
                <w:color w:val="000000"/>
                <w:sz w:val="24"/>
              </w:rPr>
            </w:pPr>
            <w:r>
              <w:rPr>
                <w:rFonts w:hint="eastAsia" w:ascii="Times New Roman" w:hAnsi="Times New Roman" w:eastAsia="方正黑体_GBK"/>
                <w:color w:val="000000"/>
                <w:sz w:val="24"/>
                <w:lang w:bidi="ar"/>
              </w:rPr>
              <w:t>年初预算</w:t>
            </w: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方正黑体_GBK"/>
                <w:color w:val="000000"/>
                <w:sz w:val="24"/>
                <w:lang w:bidi="ar"/>
              </w:rPr>
            </w:pPr>
            <w:r>
              <w:rPr>
                <w:rFonts w:ascii="Times New Roman" w:hAnsi="Times New Roman" w:eastAsia="方正黑体_GBK"/>
                <w:color w:val="000000"/>
                <w:sz w:val="24"/>
                <w:lang w:bidi="ar"/>
              </w:rPr>
              <w:t>调整</w:t>
            </w:r>
          </w:p>
          <w:p>
            <w:pPr>
              <w:widowControl/>
              <w:spacing w:line="320" w:lineRule="exact"/>
              <w:jc w:val="center"/>
              <w:textAlignment w:val="center"/>
              <w:rPr>
                <w:rFonts w:ascii="Times New Roman" w:hAnsi="Times New Roman" w:eastAsia="方正黑体_GBK"/>
                <w:color w:val="000000"/>
                <w:sz w:val="24"/>
              </w:rPr>
            </w:pPr>
            <w:r>
              <w:rPr>
                <w:rFonts w:ascii="Times New Roman" w:hAnsi="Times New Roman" w:eastAsia="方正黑体_GBK"/>
                <w:color w:val="000000"/>
                <w:sz w:val="24"/>
                <w:lang w:bidi="ar"/>
              </w:rPr>
              <w:t>预算</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方正黑体_GBK"/>
                <w:color w:val="000000"/>
                <w:sz w:val="24"/>
              </w:rPr>
            </w:pPr>
            <w:r>
              <w:rPr>
                <w:rFonts w:ascii="Times New Roman" w:hAnsi="Times New Roman" w:eastAsia="方正黑体_GBK"/>
                <w:color w:val="000000"/>
                <w:sz w:val="24"/>
                <w:lang w:bidi="ar"/>
              </w:rPr>
              <w:t>执行数</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方正黑体_GBK"/>
                <w:color w:val="000000"/>
                <w:sz w:val="24"/>
              </w:rPr>
            </w:pPr>
            <w:r>
              <w:rPr>
                <w:rFonts w:hint="eastAsia" w:ascii="Times New Roman" w:hAnsi="Times New Roman" w:eastAsia="方正黑体_GBK"/>
                <w:color w:val="000000"/>
                <w:sz w:val="24"/>
                <w:lang w:eastAsia="zh-CN" w:bidi="ar"/>
              </w:rPr>
              <w:t>执行</w:t>
            </w:r>
            <w:r>
              <w:rPr>
                <w:rFonts w:ascii="Times New Roman" w:hAnsi="Times New Roman" w:eastAsia="方正黑体_GBK"/>
                <w:color w:val="000000"/>
                <w:sz w:val="24"/>
                <w:lang w:bidi="ar"/>
              </w:rPr>
              <w:t>数为调整预算的</w:t>
            </w:r>
            <w:r>
              <w:rPr>
                <w:rFonts w:hint="eastAsia" w:ascii="方正黑体_GBK" w:hAnsi="方正黑体_GBK" w:eastAsia="方正黑体_GBK" w:cs="方正黑体_GBK"/>
                <w:color w:val="000000"/>
                <w:sz w:val="24"/>
                <w:lang w:bidi="ar"/>
              </w:rPr>
              <w:t>%</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方正黑体_GBK"/>
                <w:color w:val="000000"/>
                <w:sz w:val="24"/>
              </w:rPr>
            </w:pPr>
            <w:r>
              <w:rPr>
                <w:rFonts w:hint="eastAsia" w:ascii="Times New Roman" w:hAnsi="Times New Roman" w:eastAsia="方正黑体_GBK"/>
                <w:color w:val="000000"/>
                <w:sz w:val="24"/>
                <w:lang w:eastAsia="zh-CN" w:bidi="ar"/>
              </w:rPr>
              <w:t>执行数比上年决算数</w:t>
            </w:r>
            <w:r>
              <w:rPr>
                <w:rFonts w:ascii="Times New Roman" w:hAnsi="Times New Roman" w:eastAsia="方正黑体_GBK"/>
                <w:color w:val="000000"/>
                <w:sz w:val="24"/>
                <w:lang w:bidi="ar"/>
              </w:rPr>
              <w:t>增长</w:t>
            </w:r>
            <w:r>
              <w:rPr>
                <w:rFonts w:hint="eastAsia" w:ascii="方正黑体_GBK" w:hAnsi="方正黑体_GBK" w:eastAsia="方正黑体_GBK" w:cs="方正黑体_GBK"/>
                <w:color w:val="000000"/>
                <w:sz w:val="24"/>
                <w:lang w:bidi="ar"/>
              </w:rPr>
              <w:t>%</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方正黑体_GBK"/>
                <w:color w:val="000000"/>
                <w:sz w:val="24"/>
              </w:rPr>
            </w:pPr>
            <w:r>
              <w:rPr>
                <w:rFonts w:ascii="Times New Roman" w:hAnsi="Times New Roman" w:eastAsia="方正黑体_GBK"/>
                <w:color w:val="000000"/>
                <w:sz w:val="24"/>
                <w:lang w:bidi="ar"/>
              </w:rPr>
              <w:t>支出项目</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方正黑体_GBK"/>
                <w:color w:val="000000"/>
                <w:sz w:val="24"/>
              </w:rPr>
            </w:pPr>
            <w:r>
              <w:rPr>
                <w:rFonts w:hint="eastAsia" w:ascii="Times New Roman" w:hAnsi="Times New Roman" w:eastAsia="方正黑体_GBK"/>
                <w:color w:val="000000"/>
                <w:sz w:val="24"/>
                <w:lang w:bidi="ar"/>
              </w:rPr>
              <w:t>年初预算</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方正黑体_GBK"/>
                <w:color w:val="000000"/>
                <w:sz w:val="24"/>
                <w:lang w:bidi="ar"/>
              </w:rPr>
            </w:pPr>
            <w:r>
              <w:rPr>
                <w:rFonts w:ascii="Times New Roman" w:hAnsi="Times New Roman" w:eastAsia="方正黑体_GBK"/>
                <w:color w:val="000000"/>
                <w:sz w:val="24"/>
                <w:lang w:bidi="ar"/>
              </w:rPr>
              <w:t>调整</w:t>
            </w:r>
          </w:p>
          <w:p>
            <w:pPr>
              <w:widowControl/>
              <w:spacing w:line="320" w:lineRule="exact"/>
              <w:jc w:val="center"/>
              <w:textAlignment w:val="center"/>
              <w:rPr>
                <w:rFonts w:ascii="Times New Roman" w:hAnsi="Times New Roman" w:eastAsia="方正黑体_GBK"/>
                <w:color w:val="000000"/>
                <w:sz w:val="24"/>
              </w:rPr>
            </w:pPr>
            <w:r>
              <w:rPr>
                <w:rFonts w:ascii="Times New Roman" w:hAnsi="Times New Roman" w:eastAsia="方正黑体_GBK"/>
                <w:color w:val="000000"/>
                <w:sz w:val="24"/>
                <w:lang w:bidi="ar"/>
              </w:rPr>
              <w:t>预算</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方正黑体_GBK"/>
                <w:color w:val="000000"/>
                <w:sz w:val="24"/>
              </w:rPr>
            </w:pPr>
            <w:r>
              <w:rPr>
                <w:rFonts w:ascii="Times New Roman" w:hAnsi="Times New Roman" w:eastAsia="方正黑体_GBK"/>
                <w:color w:val="000000"/>
                <w:sz w:val="24"/>
                <w:lang w:bidi="ar"/>
              </w:rPr>
              <w:t>执行数</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方正黑体_GBK"/>
                <w:color w:val="000000"/>
                <w:sz w:val="24"/>
              </w:rPr>
            </w:pPr>
            <w:r>
              <w:rPr>
                <w:rFonts w:hint="eastAsia" w:ascii="Times New Roman" w:hAnsi="Times New Roman" w:eastAsia="方正黑体_GBK"/>
                <w:color w:val="000000"/>
                <w:sz w:val="24"/>
                <w:lang w:eastAsia="zh-CN" w:bidi="ar"/>
              </w:rPr>
              <w:t>执行</w:t>
            </w:r>
            <w:r>
              <w:rPr>
                <w:rFonts w:ascii="Times New Roman" w:hAnsi="Times New Roman" w:eastAsia="方正黑体_GBK"/>
                <w:color w:val="000000"/>
                <w:sz w:val="24"/>
                <w:lang w:bidi="ar"/>
              </w:rPr>
              <w:t>数为调整预算的</w:t>
            </w:r>
            <w:r>
              <w:rPr>
                <w:rFonts w:hint="eastAsia" w:ascii="方正黑体_GBK" w:hAnsi="方正黑体_GBK" w:eastAsia="方正黑体_GBK" w:cs="方正黑体_GBK"/>
                <w:color w:val="000000"/>
                <w:sz w:val="24"/>
                <w:lang w:bidi="ar"/>
              </w:rPr>
              <w:t>%</w:t>
            </w:r>
          </w:p>
        </w:tc>
        <w:tc>
          <w:tcPr>
            <w:tcW w:w="8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方正黑体_GBK"/>
                <w:color w:val="000000"/>
                <w:sz w:val="24"/>
              </w:rPr>
            </w:pPr>
            <w:r>
              <w:rPr>
                <w:rFonts w:hint="eastAsia" w:ascii="Times New Roman" w:hAnsi="Times New Roman" w:eastAsia="方正黑体_GBK"/>
                <w:color w:val="000000"/>
                <w:sz w:val="24"/>
                <w:lang w:eastAsia="zh-CN" w:bidi="ar"/>
              </w:rPr>
              <w:t>执行数比上年决算数</w:t>
            </w:r>
            <w:r>
              <w:rPr>
                <w:rFonts w:ascii="Times New Roman" w:hAnsi="Times New Roman" w:eastAsia="方正黑体_GBK"/>
                <w:color w:val="000000"/>
                <w:sz w:val="24"/>
                <w:lang w:bidi="ar"/>
              </w:rPr>
              <w:t>增长</w:t>
            </w:r>
            <w:r>
              <w:rPr>
                <w:rFonts w:hint="eastAsia" w:ascii="方正黑体_GBK" w:hAnsi="方正黑体_GBK" w:eastAsia="方正黑体_GBK" w:cs="方正黑体_GBK"/>
                <w:color w:val="000000"/>
                <w:sz w:val="24"/>
                <w:lang w:bidi="ar"/>
              </w:rPr>
              <w:t>%</w:t>
            </w:r>
          </w:p>
        </w:tc>
      </w:tr>
      <w:tr>
        <w:tblPrEx>
          <w:tblCellMar>
            <w:top w:w="15" w:type="dxa"/>
            <w:left w:w="15" w:type="dxa"/>
            <w:bottom w:w="15" w:type="dxa"/>
            <w:right w:w="15" w:type="dxa"/>
          </w:tblCellMar>
        </w:tblPrEx>
        <w:trPr>
          <w:trHeight w:val="330" w:hRule="atLeast"/>
        </w:trPr>
        <w:tc>
          <w:tcPr>
            <w:tcW w:w="20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方正黑体_GBK" w:hAnsi="方正黑体_GBK" w:eastAsia="方正黑体_GBK" w:cs="方正黑体_GBK"/>
                <w:color w:val="000000"/>
                <w:sz w:val="24"/>
              </w:rPr>
            </w:pP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宋体"/>
                <w:color w:val="000000"/>
                <w:sz w:val="24"/>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宋体"/>
                <w:color w:val="000000"/>
                <w:sz w:val="24"/>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方正黑体_GBK" w:hAnsi="方正黑体_GBK" w:eastAsia="方正黑体_GBK" w:cs="方正黑体_GBK"/>
                <w:color w:val="000000"/>
                <w:sz w:val="24"/>
              </w:rPr>
            </w:pP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宋体"/>
                <w:color w:val="000000"/>
                <w:sz w:val="24"/>
              </w:rPr>
            </w:pPr>
          </w:p>
        </w:tc>
        <w:tc>
          <w:tcPr>
            <w:tcW w:w="8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宋体"/>
                <w:color w:val="000000"/>
                <w:sz w:val="24"/>
              </w:rPr>
            </w:pPr>
          </w:p>
        </w:tc>
      </w:tr>
      <w:tr>
        <w:tblPrEx>
          <w:tblCellMar>
            <w:top w:w="15" w:type="dxa"/>
            <w:left w:w="15" w:type="dxa"/>
            <w:bottom w:w="15" w:type="dxa"/>
            <w:right w:w="15" w:type="dxa"/>
          </w:tblCellMar>
        </w:tblPrEx>
        <w:trPr>
          <w:trHeight w:val="330" w:hRule="atLeast"/>
        </w:trPr>
        <w:tc>
          <w:tcPr>
            <w:tcW w:w="20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方正黑体_GBK" w:hAnsi="方正黑体_GBK" w:eastAsia="方正黑体_GBK" w:cs="方正黑体_GBK"/>
                <w:color w:val="000000"/>
                <w:sz w:val="24"/>
              </w:rPr>
            </w:pP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宋体"/>
                <w:color w:val="000000"/>
                <w:sz w:val="24"/>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宋体"/>
                <w:color w:val="000000"/>
                <w:sz w:val="24"/>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方正黑体_GBK" w:hAnsi="方正黑体_GBK" w:eastAsia="方正黑体_GBK" w:cs="方正黑体_GBK"/>
                <w:color w:val="000000"/>
                <w:sz w:val="24"/>
              </w:rPr>
            </w:pP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宋体"/>
                <w:color w:val="000000"/>
                <w:sz w:val="24"/>
              </w:rPr>
            </w:pPr>
          </w:p>
        </w:tc>
        <w:tc>
          <w:tcPr>
            <w:tcW w:w="8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宋体"/>
                <w:color w:val="000000"/>
                <w:sz w:val="24"/>
              </w:rPr>
            </w:pPr>
          </w:p>
        </w:tc>
      </w:tr>
      <w:tr>
        <w:tblPrEx>
          <w:tblCellMar>
            <w:top w:w="15" w:type="dxa"/>
            <w:left w:w="15" w:type="dxa"/>
            <w:bottom w:w="15" w:type="dxa"/>
            <w:right w:w="15" w:type="dxa"/>
          </w:tblCellMar>
        </w:tblPrEx>
        <w:trPr>
          <w:trHeight w:val="330" w:hRule="atLeast"/>
        </w:trPr>
        <w:tc>
          <w:tcPr>
            <w:tcW w:w="20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cs="方正仿宋_GBK"/>
                <w:color w:val="000000"/>
                <w:sz w:val="24"/>
              </w:rPr>
            </w:pP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宋体"/>
                <w:color w:val="000000"/>
                <w:sz w:val="24"/>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宋体"/>
                <w:color w:val="000000"/>
                <w:sz w:val="24"/>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cs="方正仿宋_GBK"/>
                <w:color w:val="000000"/>
                <w:sz w:val="24"/>
              </w:rPr>
            </w:pP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宋体"/>
                <w:color w:val="000000"/>
                <w:sz w:val="24"/>
              </w:rPr>
            </w:pPr>
          </w:p>
        </w:tc>
        <w:tc>
          <w:tcPr>
            <w:tcW w:w="8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宋体"/>
                <w:color w:val="000000"/>
                <w:sz w:val="24"/>
              </w:rPr>
            </w:pPr>
          </w:p>
        </w:tc>
      </w:tr>
    </w:tbl>
    <w:p>
      <w:pPr>
        <w:snapToGrid w:val="0"/>
        <w:ind w:right="-384" w:rightChars="-120"/>
        <w:rPr>
          <w:rFonts w:hint="eastAsia" w:ascii="Times New Roman" w:hAnsi="Times New Roman" w:eastAsia="方正仿宋_GBK"/>
          <w:color w:val="000000"/>
          <w:sz w:val="21"/>
          <w:szCs w:val="21"/>
          <w:lang w:eastAsia="zh-CN"/>
        </w:rPr>
        <w:sectPr>
          <w:pgSz w:w="16838" w:h="11906" w:orient="landscape"/>
          <w:pgMar w:top="1531" w:right="2098" w:bottom="1531" w:left="2041" w:header="851" w:footer="1474" w:gutter="0"/>
          <w:pgBorders>
            <w:top w:val="none" w:sz="0" w:space="0"/>
            <w:left w:val="none" w:sz="0" w:space="0"/>
            <w:bottom w:val="none" w:sz="0" w:space="0"/>
            <w:right w:val="none" w:sz="0" w:space="0"/>
          </w:pgBorders>
          <w:cols w:space="720" w:num="1"/>
          <w:docGrid w:type="lines" w:linePitch="577" w:charSpace="-849"/>
        </w:sectPr>
      </w:pPr>
      <w:r>
        <w:rPr>
          <w:rFonts w:hint="eastAsia" w:ascii="方正黑体_GBK" w:hAnsi="方正黑体_GBK" w:eastAsia="方正黑体_GBK" w:cs="方正黑体_GBK"/>
          <w:color w:val="000000"/>
          <w:sz w:val="21"/>
          <w:szCs w:val="21"/>
        </w:rPr>
        <w:t>注：</w:t>
      </w:r>
      <w:r>
        <w:rPr>
          <w:rFonts w:hint="eastAsia" w:ascii="Times New Roman" w:hAnsi="Times New Roman" w:eastAsia="方正仿宋_GBK"/>
          <w:color w:val="000000"/>
          <w:sz w:val="21"/>
          <w:szCs w:val="21"/>
          <w:lang w:eastAsia="zh-CN"/>
        </w:rPr>
        <w:t>社会保险基金预算由市级统筹管理，区县无社会保险基金预算，因而本表无数据</w:t>
      </w:r>
      <w:r>
        <w:rPr>
          <w:rFonts w:hint="eastAsia" w:ascii="Times New Roman" w:hAnsi="Times New Roman"/>
          <w:color w:val="000000"/>
          <w:sz w:val="21"/>
          <w:szCs w:val="21"/>
          <w:lang w:eastAsia="zh-CN"/>
        </w:rPr>
        <w:t>。</w:t>
      </w:r>
    </w:p>
    <w:p>
      <w:pPr>
        <w:spacing w:line="594" w:lineRule="exact"/>
        <w:rPr>
          <w:rFonts w:hint="eastAsia" w:ascii="方正黑体_GBK" w:hAnsi="方正黑体_GBK" w:eastAsia="方正黑体_GBK" w:cs="方正黑体_GBK"/>
          <w:color w:val="000000"/>
          <w:szCs w:val="32"/>
          <w:lang w:val="en-US" w:eastAsia="zh-CN"/>
        </w:rPr>
      </w:pPr>
      <w:r>
        <w:rPr>
          <w:rFonts w:hint="eastAsia" w:ascii="方正黑体_GBK" w:hAnsi="方正黑体_GBK" w:eastAsia="方正黑体_GBK" w:cs="方正黑体_GBK"/>
          <w:color w:val="000000"/>
          <w:szCs w:val="32"/>
          <w:lang w:eastAsia="zh-CN"/>
        </w:rPr>
        <w:t>附件</w:t>
      </w:r>
      <w:r>
        <w:rPr>
          <w:rFonts w:hint="eastAsia" w:ascii="方正黑体_GBK" w:hAnsi="方正黑体_GBK" w:eastAsia="方正黑体_GBK" w:cs="方正黑体_GBK"/>
          <w:color w:val="000000"/>
          <w:szCs w:val="32"/>
          <w:lang w:val="en-US" w:eastAsia="zh-CN"/>
        </w:rPr>
        <w:t>16</w:t>
      </w:r>
    </w:p>
    <w:p>
      <w:pPr>
        <w:spacing w:line="594" w:lineRule="exact"/>
        <w:jc w:val="center"/>
        <w:rPr>
          <w:rFonts w:hint="eastAsia" w:ascii="方正小标宋_GBK" w:hAnsi="方正小标宋_GBK" w:eastAsia="方正小标宋_GBK" w:cs="方正小标宋_GBK"/>
          <w:color w:val="000000"/>
          <w:spacing w:val="-6"/>
          <w:sz w:val="44"/>
          <w:szCs w:val="44"/>
          <w:lang w:val="en-US" w:eastAsia="zh-CN"/>
        </w:rPr>
      </w:pPr>
      <w:r>
        <w:rPr>
          <w:rFonts w:hint="eastAsia" w:ascii="方正小标宋_GBK" w:hAnsi="方正小标宋_GBK" w:eastAsia="方正小标宋_GBK" w:cs="方正小标宋_GBK"/>
          <w:color w:val="000000"/>
          <w:spacing w:val="-6"/>
          <w:sz w:val="44"/>
          <w:szCs w:val="44"/>
          <w:lang w:val="en-US" w:eastAsia="zh-CN"/>
        </w:rPr>
        <w:t>2018年万盛经开区政府债务限额及余额情况表</w:t>
      </w:r>
    </w:p>
    <w:p>
      <w:pPr>
        <w:spacing w:line="594" w:lineRule="exact"/>
        <w:jc w:val="right"/>
        <w:rPr>
          <w:rFonts w:hint="eastAsia" w:ascii="方正仿宋_GBK" w:hAnsi="方正仿宋_GBK" w:eastAsia="方正仿宋_GBK" w:cs="方正仿宋_GBK"/>
          <w:color w:val="000000"/>
          <w:szCs w:val="32"/>
          <w:lang w:val="en-US" w:eastAsia="zh-CN"/>
        </w:rPr>
      </w:pPr>
      <w:r>
        <w:rPr>
          <w:rFonts w:hint="eastAsia" w:ascii="方正仿宋_GBK" w:hAnsi="方正仿宋_GBK" w:eastAsia="方正仿宋_GBK" w:cs="方正仿宋_GBK"/>
          <w:color w:val="000000"/>
          <w:szCs w:val="32"/>
          <w:lang w:val="en-US" w:eastAsia="zh-CN"/>
        </w:rPr>
        <w:t>单位：亿元</w:t>
      </w:r>
    </w:p>
    <w:tbl>
      <w:tblPr>
        <w:tblStyle w:val="6"/>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378"/>
        <w:gridCol w:w="954"/>
        <w:gridCol w:w="669"/>
        <w:gridCol w:w="640"/>
        <w:gridCol w:w="532"/>
        <w:gridCol w:w="1064"/>
        <w:gridCol w:w="627"/>
        <w:gridCol w:w="1037"/>
        <w:gridCol w:w="586"/>
        <w:gridCol w:w="1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37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line="320" w:lineRule="exact"/>
              <w:jc w:val="center"/>
              <w:textAlignment w:val="center"/>
              <w:rPr>
                <w:rFonts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单位</w:t>
            </w:r>
          </w:p>
        </w:tc>
        <w:tc>
          <w:tcPr>
            <w:tcW w:w="22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2018年政府债务限额</w:t>
            </w:r>
          </w:p>
        </w:tc>
        <w:tc>
          <w:tcPr>
            <w:tcW w:w="523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2018年政府债务余额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137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spacing w:line="320" w:lineRule="exact"/>
              <w:jc w:val="center"/>
              <w:rPr>
                <w:rFonts w:hint="eastAsia" w:ascii="方正黑体_GBK" w:hAnsi="方正黑体_GBK" w:eastAsia="方正黑体_GBK" w:cs="方正黑体_GBK"/>
                <w:i w:val="0"/>
                <w:color w:val="000000"/>
                <w:sz w:val="24"/>
                <w:szCs w:val="24"/>
                <w:u w:val="none"/>
              </w:rPr>
            </w:pP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小计</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一般债务</w:t>
            </w:r>
          </w:p>
        </w:tc>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专项债务</w:t>
            </w:r>
          </w:p>
        </w:tc>
        <w:tc>
          <w:tcPr>
            <w:tcW w:w="1596"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小计</w:t>
            </w:r>
          </w:p>
        </w:tc>
        <w:tc>
          <w:tcPr>
            <w:tcW w:w="1664"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一般债务</w:t>
            </w:r>
          </w:p>
        </w:tc>
        <w:tc>
          <w:tcPr>
            <w:tcW w:w="1973"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专项债务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5" w:hRule="atLeast"/>
        </w:trPr>
        <w:tc>
          <w:tcPr>
            <w:tcW w:w="137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spacing w:line="320" w:lineRule="exact"/>
              <w:jc w:val="center"/>
              <w:rPr>
                <w:rFonts w:hint="eastAsia" w:ascii="方正黑体_GBK" w:hAnsi="方正黑体_GBK" w:eastAsia="方正黑体_GBK" w:cs="方正黑体_GBK"/>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spacing w:line="320" w:lineRule="exact"/>
              <w:jc w:val="center"/>
              <w:rPr>
                <w:rFonts w:hint="eastAsia" w:ascii="方正黑体_GBK" w:hAnsi="方正黑体_GBK" w:eastAsia="方正黑体_GBK" w:cs="方正黑体_GBK"/>
                <w:i w:val="0"/>
                <w:color w:val="000000"/>
                <w:sz w:val="24"/>
                <w:szCs w:val="24"/>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spacing w:line="320" w:lineRule="exact"/>
              <w:jc w:val="center"/>
              <w:rPr>
                <w:rFonts w:hint="eastAsia" w:ascii="方正黑体_GBK" w:hAnsi="方正黑体_GBK" w:eastAsia="方正黑体_GBK" w:cs="方正黑体_GBK"/>
                <w:i w:val="0"/>
                <w:color w:val="000000"/>
                <w:sz w:val="24"/>
                <w:szCs w:val="24"/>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spacing w:line="320" w:lineRule="exact"/>
              <w:jc w:val="center"/>
              <w:rPr>
                <w:rFonts w:hint="eastAsia" w:ascii="方正黑体_GBK" w:hAnsi="方正黑体_GBK" w:eastAsia="方正黑体_GBK" w:cs="方正黑体_GBK"/>
                <w:i w:val="0"/>
                <w:color w:val="000000"/>
                <w:sz w:val="24"/>
                <w:szCs w:val="24"/>
                <w:u w:val="none"/>
              </w:rPr>
            </w:pPr>
          </w:p>
        </w:tc>
        <w:tc>
          <w:tcPr>
            <w:tcW w:w="53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spacing w:line="320" w:lineRule="exact"/>
              <w:jc w:val="center"/>
              <w:rPr>
                <w:rFonts w:hint="eastAsia" w:ascii="方正黑体_GBK" w:hAnsi="方正黑体_GBK" w:eastAsia="方正黑体_GBK" w:cs="方正黑体_GBK"/>
                <w:i w:val="0"/>
                <w:color w:val="000000"/>
                <w:sz w:val="16"/>
                <w:szCs w:val="16"/>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line="320" w:lineRule="exact"/>
              <w:jc w:val="center"/>
              <w:textAlignment w:val="center"/>
              <w:rPr>
                <w:rFonts w:hint="eastAsia" w:ascii="方正黑体_GBK" w:hAnsi="方正黑体_GBK" w:eastAsia="方正黑体_GBK" w:cs="方正黑体_GBK"/>
                <w:i w:val="0"/>
                <w:color w:val="000000"/>
                <w:sz w:val="16"/>
                <w:szCs w:val="16"/>
                <w:u w:val="none"/>
              </w:rPr>
            </w:pPr>
            <w:r>
              <w:rPr>
                <w:rFonts w:hint="eastAsia" w:ascii="方正黑体_GBK" w:hAnsi="方正黑体_GBK" w:eastAsia="方正黑体_GBK" w:cs="方正黑体_GBK"/>
                <w:i w:val="0"/>
                <w:color w:val="000000"/>
                <w:kern w:val="0"/>
                <w:sz w:val="16"/>
                <w:szCs w:val="16"/>
                <w:u w:val="none"/>
                <w:lang w:val="en-US" w:eastAsia="zh-CN" w:bidi="ar"/>
              </w:rPr>
              <w:t>其中：2019年到期债务金额</w:t>
            </w:r>
          </w:p>
        </w:tc>
        <w:tc>
          <w:tcPr>
            <w:tcW w:w="62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spacing w:line="320" w:lineRule="exact"/>
              <w:jc w:val="center"/>
              <w:rPr>
                <w:rFonts w:hint="eastAsia" w:ascii="方正黑体_GBK" w:hAnsi="方正黑体_GBK" w:eastAsia="方正黑体_GBK" w:cs="方正黑体_GBK"/>
                <w:i w:val="0"/>
                <w:color w:val="000000"/>
                <w:sz w:val="16"/>
                <w:szCs w:val="16"/>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line="320" w:lineRule="exact"/>
              <w:jc w:val="center"/>
              <w:textAlignment w:val="center"/>
              <w:rPr>
                <w:rFonts w:hint="eastAsia" w:ascii="方正黑体_GBK" w:hAnsi="方正黑体_GBK" w:eastAsia="方正黑体_GBK" w:cs="方正黑体_GBK"/>
                <w:i w:val="0"/>
                <w:color w:val="000000"/>
                <w:sz w:val="16"/>
                <w:szCs w:val="16"/>
                <w:u w:val="none"/>
              </w:rPr>
            </w:pPr>
            <w:r>
              <w:rPr>
                <w:rFonts w:hint="eastAsia" w:ascii="方正黑体_GBK" w:hAnsi="方正黑体_GBK" w:eastAsia="方正黑体_GBK" w:cs="方正黑体_GBK"/>
                <w:i w:val="0"/>
                <w:color w:val="000000"/>
                <w:kern w:val="0"/>
                <w:sz w:val="16"/>
                <w:szCs w:val="16"/>
                <w:u w:val="none"/>
                <w:lang w:val="en-US" w:eastAsia="zh-CN" w:bidi="ar"/>
              </w:rPr>
              <w:t>其中：2019年到期债务金额</w:t>
            </w:r>
          </w:p>
        </w:tc>
        <w:tc>
          <w:tcPr>
            <w:tcW w:w="5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spacing w:line="320" w:lineRule="exact"/>
              <w:jc w:val="center"/>
              <w:rPr>
                <w:rFonts w:hint="eastAsia" w:ascii="方正黑体_GBK" w:hAnsi="方正黑体_GBK" w:eastAsia="方正黑体_GBK" w:cs="方正黑体_GBK"/>
                <w:i w:val="0"/>
                <w:color w:val="000000"/>
                <w:sz w:val="16"/>
                <w:szCs w:val="16"/>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line="320" w:lineRule="exact"/>
              <w:jc w:val="center"/>
              <w:textAlignment w:val="center"/>
              <w:rPr>
                <w:rFonts w:hint="eastAsia" w:ascii="方正黑体_GBK" w:hAnsi="方正黑体_GBK" w:eastAsia="方正黑体_GBK" w:cs="方正黑体_GBK"/>
                <w:i w:val="0"/>
                <w:color w:val="000000"/>
                <w:sz w:val="16"/>
                <w:szCs w:val="16"/>
                <w:u w:val="none"/>
              </w:rPr>
            </w:pPr>
            <w:r>
              <w:rPr>
                <w:rFonts w:hint="eastAsia" w:ascii="方正黑体_GBK" w:hAnsi="方正黑体_GBK" w:eastAsia="方正黑体_GBK" w:cs="方正黑体_GBK"/>
                <w:i w:val="0"/>
                <w:color w:val="000000"/>
                <w:kern w:val="0"/>
                <w:sz w:val="16"/>
                <w:szCs w:val="16"/>
                <w:u w:val="none"/>
                <w:lang w:val="en-US" w:eastAsia="zh-CN" w:bidi="ar"/>
              </w:rPr>
              <w:t>其中：2019年到期债务金额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line="320" w:lineRule="exact"/>
              <w:jc w:val="center"/>
              <w:textAlignment w:val="center"/>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万盛经开区</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line="320" w:lineRule="exact"/>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24.1</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line="320" w:lineRule="exact"/>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18.8</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line="320" w:lineRule="exact"/>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5.3</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line="320" w:lineRule="exact"/>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24.1</w:t>
            </w: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line="320" w:lineRule="exact"/>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2.6</w:t>
            </w:r>
          </w:p>
        </w:tc>
        <w:tc>
          <w:tcPr>
            <w:tcW w:w="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line="320" w:lineRule="exact"/>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18.8</w:t>
            </w: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line="320" w:lineRule="exact"/>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2.6</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line="320" w:lineRule="exact"/>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5.3</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spacing w:line="320" w:lineRule="exact"/>
              <w:jc w:val="right"/>
              <w:rPr>
                <w:rFonts w:hint="default" w:ascii="Times New Roman" w:hAnsi="Times New Roman" w:eastAsia="宋体" w:cs="Times New Roman"/>
                <w:i w:val="0"/>
                <w:color w:val="000000"/>
                <w:sz w:val="24"/>
                <w:szCs w:val="24"/>
                <w:u w:val="none"/>
              </w:rPr>
            </w:pPr>
          </w:p>
        </w:tc>
      </w:tr>
    </w:tbl>
    <w:p>
      <w:pPr>
        <w:spacing w:line="594" w:lineRule="exact"/>
        <w:rPr>
          <w:rFonts w:hint="eastAsia" w:ascii="方正黑体_GBK" w:hAnsi="方正黑体_GBK" w:eastAsia="方正黑体_GBK" w:cs="方正黑体_GBK"/>
          <w:color w:val="000000"/>
          <w:szCs w:val="32"/>
          <w:lang w:val="en-US" w:eastAsia="zh-CN"/>
        </w:rPr>
      </w:pPr>
    </w:p>
    <w:p>
      <w:pPr>
        <w:spacing w:line="594" w:lineRule="exact"/>
        <w:rPr>
          <w:rFonts w:hint="eastAsia" w:ascii="方正黑体_GBK" w:hAnsi="方正黑体_GBK" w:eastAsia="方正黑体_GBK" w:cs="方正黑体_GBK"/>
          <w:color w:val="000000"/>
          <w:szCs w:val="32"/>
          <w:lang w:val="en-US" w:eastAsia="zh-CN"/>
        </w:rPr>
      </w:pPr>
    </w:p>
    <w:p>
      <w:pPr>
        <w:spacing w:line="594" w:lineRule="exact"/>
        <w:rPr>
          <w:rFonts w:hint="eastAsia" w:ascii="方正黑体_GBK" w:hAnsi="方正黑体_GBK" w:eastAsia="方正黑体_GBK" w:cs="方正黑体_GBK"/>
          <w:color w:val="000000"/>
          <w:szCs w:val="32"/>
          <w:lang w:val="en-US" w:eastAsia="zh-CN"/>
        </w:rPr>
      </w:pPr>
    </w:p>
    <w:p>
      <w:pPr>
        <w:spacing w:line="594" w:lineRule="exact"/>
        <w:rPr>
          <w:rFonts w:hint="eastAsia" w:ascii="方正黑体_GBK" w:hAnsi="方正黑体_GBK" w:eastAsia="方正黑体_GBK" w:cs="方正黑体_GBK"/>
          <w:color w:val="000000"/>
          <w:szCs w:val="32"/>
          <w:lang w:val="en-US" w:eastAsia="zh-CN"/>
        </w:rPr>
      </w:pPr>
    </w:p>
    <w:p>
      <w:pPr>
        <w:spacing w:line="594" w:lineRule="exact"/>
        <w:rPr>
          <w:rFonts w:hint="eastAsia" w:ascii="方正黑体_GBK" w:hAnsi="方正黑体_GBK" w:eastAsia="方正黑体_GBK" w:cs="方正黑体_GBK"/>
          <w:color w:val="000000"/>
          <w:szCs w:val="32"/>
          <w:lang w:val="en-US" w:eastAsia="zh-CN"/>
        </w:rPr>
      </w:pPr>
    </w:p>
    <w:p>
      <w:pPr>
        <w:spacing w:line="594" w:lineRule="exact"/>
        <w:rPr>
          <w:rFonts w:hint="eastAsia" w:ascii="方正黑体_GBK" w:hAnsi="方正黑体_GBK" w:eastAsia="方正黑体_GBK" w:cs="方正黑体_GBK"/>
          <w:color w:val="000000"/>
          <w:szCs w:val="32"/>
          <w:lang w:val="en-US" w:eastAsia="zh-CN"/>
        </w:rPr>
      </w:pPr>
    </w:p>
    <w:p>
      <w:pPr>
        <w:spacing w:line="594" w:lineRule="exact"/>
        <w:rPr>
          <w:rFonts w:hint="eastAsia" w:ascii="方正黑体_GBK" w:hAnsi="方正黑体_GBK" w:eastAsia="方正黑体_GBK" w:cs="方正黑体_GBK"/>
          <w:color w:val="000000"/>
          <w:szCs w:val="32"/>
          <w:lang w:val="en-US" w:eastAsia="zh-CN"/>
        </w:rPr>
      </w:pPr>
    </w:p>
    <w:p>
      <w:pPr>
        <w:spacing w:line="594" w:lineRule="exact"/>
        <w:rPr>
          <w:rFonts w:hint="eastAsia" w:ascii="方正黑体_GBK" w:hAnsi="方正黑体_GBK" w:eastAsia="方正黑体_GBK" w:cs="方正黑体_GBK"/>
          <w:color w:val="000000"/>
          <w:szCs w:val="32"/>
          <w:lang w:val="en-US" w:eastAsia="zh-CN"/>
        </w:rPr>
      </w:pPr>
    </w:p>
    <w:p>
      <w:pPr>
        <w:spacing w:line="594" w:lineRule="exact"/>
        <w:rPr>
          <w:rFonts w:hint="eastAsia" w:ascii="方正黑体_GBK" w:hAnsi="方正黑体_GBK" w:eastAsia="方正黑体_GBK" w:cs="方正黑体_GBK"/>
          <w:color w:val="000000"/>
          <w:szCs w:val="32"/>
          <w:lang w:val="en-US" w:eastAsia="zh-CN"/>
        </w:rPr>
      </w:pPr>
    </w:p>
    <w:p>
      <w:pPr>
        <w:spacing w:line="594" w:lineRule="exact"/>
        <w:rPr>
          <w:rFonts w:hint="eastAsia" w:ascii="方正黑体_GBK" w:hAnsi="方正黑体_GBK" w:eastAsia="方正黑体_GBK" w:cs="方正黑体_GBK"/>
          <w:color w:val="000000"/>
          <w:szCs w:val="32"/>
          <w:lang w:val="en-US" w:eastAsia="zh-CN"/>
        </w:rPr>
      </w:pPr>
    </w:p>
    <w:p>
      <w:pPr>
        <w:spacing w:line="594" w:lineRule="exact"/>
        <w:rPr>
          <w:rFonts w:hint="eastAsia" w:ascii="方正黑体_GBK" w:hAnsi="方正黑体_GBK" w:eastAsia="方正黑体_GBK" w:cs="方正黑体_GBK"/>
          <w:color w:val="000000"/>
          <w:szCs w:val="32"/>
          <w:lang w:val="en-US" w:eastAsia="zh-CN"/>
        </w:rPr>
      </w:pPr>
    </w:p>
    <w:p>
      <w:pPr>
        <w:spacing w:line="594" w:lineRule="exact"/>
        <w:rPr>
          <w:rFonts w:hint="eastAsia" w:ascii="方正黑体_GBK" w:hAnsi="方正黑体_GBK" w:eastAsia="方正黑体_GBK" w:cs="方正黑体_GBK"/>
          <w:color w:val="000000"/>
          <w:szCs w:val="32"/>
          <w:lang w:val="en-US" w:eastAsia="zh-CN"/>
        </w:rPr>
      </w:pPr>
    </w:p>
    <w:p>
      <w:pPr>
        <w:spacing w:line="594" w:lineRule="exact"/>
        <w:rPr>
          <w:rFonts w:hint="eastAsia" w:ascii="方正黑体_GBK" w:hAnsi="方正黑体_GBK" w:eastAsia="方正黑体_GBK" w:cs="方正黑体_GBK"/>
          <w:color w:val="000000"/>
          <w:szCs w:val="32"/>
          <w:lang w:val="en-US" w:eastAsia="zh-CN"/>
        </w:rPr>
      </w:pPr>
    </w:p>
    <w:p>
      <w:pPr>
        <w:spacing w:line="594" w:lineRule="exact"/>
        <w:rPr>
          <w:rFonts w:hint="eastAsia" w:ascii="方正黑体_GBK" w:hAnsi="方正黑体_GBK" w:eastAsia="方正黑体_GBK" w:cs="方正黑体_GBK"/>
          <w:color w:val="000000"/>
          <w:szCs w:val="32"/>
          <w:lang w:val="en-US" w:eastAsia="zh-CN"/>
        </w:rPr>
      </w:pPr>
    </w:p>
    <w:p>
      <w:pPr>
        <w:spacing w:line="594" w:lineRule="exact"/>
        <w:rPr>
          <w:rFonts w:hint="eastAsia" w:ascii="方正黑体_GBK" w:hAnsi="方正黑体_GBK" w:eastAsia="方正黑体_GBK" w:cs="方正黑体_GBK"/>
          <w:color w:val="000000"/>
          <w:szCs w:val="32"/>
          <w:lang w:val="en-US" w:eastAsia="zh-CN"/>
        </w:rPr>
      </w:pPr>
      <w:r>
        <w:rPr>
          <w:rFonts w:hint="eastAsia" w:ascii="方正黑体_GBK" w:hAnsi="方正黑体_GBK" w:eastAsia="方正黑体_GBK" w:cs="方正黑体_GBK"/>
          <w:color w:val="000000"/>
          <w:szCs w:val="32"/>
          <w:lang w:val="en-US" w:eastAsia="zh-CN"/>
        </w:rPr>
        <w:t>附件17</w:t>
      </w:r>
    </w:p>
    <w:p>
      <w:pPr>
        <w:spacing w:line="594" w:lineRule="exact"/>
        <w:jc w:val="center"/>
        <w:rPr>
          <w:rFonts w:hint="eastAsia" w:ascii="方正黑体_GBK" w:hAnsi="方正黑体_GBK" w:eastAsia="方正黑体_GBK" w:cs="方正黑体_GBK"/>
          <w:color w:val="000000"/>
          <w:szCs w:val="32"/>
          <w:lang w:val="en-US" w:eastAsia="zh-CN"/>
        </w:rPr>
      </w:pPr>
      <w:r>
        <w:rPr>
          <w:rFonts w:hint="eastAsia" w:ascii="方正小标宋_GBK" w:hAnsi="方正小标宋_GBK" w:eastAsia="方正小标宋_GBK" w:cs="方正小标宋_GBK"/>
          <w:color w:val="000000"/>
          <w:sz w:val="44"/>
          <w:szCs w:val="44"/>
          <w:lang w:val="en-US" w:eastAsia="zh-CN"/>
        </w:rPr>
        <w:t>2018年万盛经开区政府债券额度分配情况表</w:t>
      </w:r>
    </w:p>
    <w:p>
      <w:pPr>
        <w:spacing w:line="594" w:lineRule="exact"/>
        <w:jc w:val="right"/>
        <w:rPr>
          <w:rFonts w:hint="eastAsia" w:ascii="方正仿宋_GBK" w:hAnsi="方正仿宋_GBK" w:eastAsia="方正仿宋_GBK" w:cs="方正仿宋_GBK"/>
          <w:color w:val="000000"/>
          <w:szCs w:val="32"/>
          <w:lang w:val="en-US" w:eastAsia="zh-CN"/>
        </w:rPr>
      </w:pPr>
      <w:r>
        <w:rPr>
          <w:rFonts w:hint="eastAsia" w:ascii="方正仿宋_GBK" w:hAnsi="方正仿宋_GBK" w:eastAsia="方正仿宋_GBK" w:cs="方正仿宋_GBK"/>
          <w:color w:val="000000"/>
          <w:szCs w:val="32"/>
          <w:lang w:val="en-US" w:eastAsia="zh-CN"/>
        </w:rPr>
        <w:t>单位：亿元</w:t>
      </w:r>
    </w:p>
    <w:tbl>
      <w:tblPr>
        <w:tblStyle w:val="6"/>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177"/>
        <w:gridCol w:w="744"/>
        <w:gridCol w:w="681"/>
        <w:gridCol w:w="695"/>
        <w:gridCol w:w="856"/>
        <w:gridCol w:w="744"/>
        <w:gridCol w:w="745"/>
        <w:gridCol w:w="744"/>
        <w:gridCol w:w="745"/>
        <w:gridCol w:w="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21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单位</w:t>
            </w:r>
          </w:p>
        </w:tc>
        <w:tc>
          <w:tcPr>
            <w:tcW w:w="212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合  计</w:t>
            </w:r>
          </w:p>
        </w:tc>
        <w:tc>
          <w:tcPr>
            <w:tcW w:w="23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方正黑体_GBK" w:hAnsi="方正黑体_GBK" w:eastAsia="方正黑体_GBK" w:cs="方正黑体_GBK"/>
                <w:i w:val="0"/>
                <w:color w:val="000000"/>
                <w:sz w:val="24"/>
                <w:szCs w:val="24"/>
                <w:u w:val="none"/>
              </w:rPr>
            </w:pPr>
            <w:r>
              <w:rPr>
                <w:rStyle w:val="18"/>
                <w:rFonts w:ascii="方正黑体_GBK" w:hAnsi="方正黑体_GBK" w:eastAsia="方正黑体_GBK" w:cs="方正黑体_GBK"/>
                <w:sz w:val="24"/>
                <w:szCs w:val="24"/>
                <w:lang w:val="en-US" w:eastAsia="zh-CN" w:bidi="ar"/>
              </w:rPr>
              <w:t>2018年置换债券额度</w:t>
            </w:r>
          </w:p>
        </w:tc>
        <w:tc>
          <w:tcPr>
            <w:tcW w:w="22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方正黑体_GBK" w:hAnsi="方正黑体_GBK" w:eastAsia="方正黑体_GBK" w:cs="方正黑体_GBK"/>
                <w:i w:val="0"/>
                <w:color w:val="000000"/>
                <w:sz w:val="24"/>
                <w:szCs w:val="24"/>
                <w:u w:val="none"/>
              </w:rPr>
            </w:pPr>
            <w:r>
              <w:rPr>
                <w:rStyle w:val="18"/>
                <w:rFonts w:ascii="方正黑体_GBK" w:hAnsi="方正黑体_GBK" w:eastAsia="方正黑体_GBK" w:cs="方正黑体_GBK"/>
                <w:sz w:val="24"/>
                <w:szCs w:val="24"/>
                <w:lang w:val="en-US" w:eastAsia="zh-CN" w:bidi="ar"/>
              </w:rPr>
              <w:t>2018年新增债券额度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6" w:hRule="atLeast"/>
        </w:trPr>
        <w:tc>
          <w:tcPr>
            <w:tcW w:w="21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方正黑体_GBK" w:hAnsi="方正黑体_GBK" w:eastAsia="方正黑体_GBK" w:cs="方正黑体_GBK"/>
                <w:i w:val="0"/>
                <w:color w:val="000000"/>
                <w:sz w:val="24"/>
                <w:szCs w:val="24"/>
                <w:u w:val="none"/>
              </w:rPr>
            </w:pPr>
          </w:p>
        </w:tc>
        <w:tc>
          <w:tcPr>
            <w:tcW w:w="744" w:type="dxa"/>
            <w:tcBorders>
              <w:top w:val="nil"/>
              <w:left w:val="nil"/>
              <w:bottom w:val="nil"/>
              <w:right w:val="nil"/>
            </w:tcBorders>
            <w:shd w:val="clear" w:color="auto" w:fill="auto"/>
            <w:tcMar>
              <w:top w:w="15" w:type="dxa"/>
              <w:left w:w="15" w:type="dxa"/>
              <w:right w:w="15" w:type="dxa"/>
            </w:tcMar>
            <w:vAlign w:val="center"/>
          </w:tcPr>
          <w:p>
            <w:pPr>
              <w:spacing w:line="320" w:lineRule="exact"/>
              <w:jc w:val="center"/>
              <w:rPr>
                <w:rFonts w:hint="default" w:ascii="方正黑体_GBK" w:hAnsi="方正黑体_GBK" w:eastAsia="方正黑体_GBK" w:cs="方正黑体_GBK"/>
                <w:i w:val="0"/>
                <w:color w:val="000000"/>
                <w:sz w:val="24"/>
                <w:szCs w:val="24"/>
                <w:u w:val="none"/>
                <w:lang w:val="en-US" w:eastAsia="zh-CN"/>
              </w:rPr>
            </w:pPr>
            <w:r>
              <w:rPr>
                <w:rFonts w:hint="eastAsia" w:ascii="方正黑体_GBK" w:hAnsi="方正黑体_GBK" w:eastAsia="方正黑体_GBK" w:cs="方正黑体_GBK"/>
                <w:i w:val="0"/>
                <w:color w:val="000000"/>
                <w:sz w:val="24"/>
                <w:szCs w:val="24"/>
                <w:u w:val="none"/>
                <w:lang w:eastAsia="zh-CN"/>
              </w:rPr>
              <w:t>小计</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一般债券</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专项债券</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小计</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一般债券</w:t>
            </w: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专项债券</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小计</w:t>
            </w: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一般债券</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专项债券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2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20" w:lineRule="exact"/>
              <w:jc w:val="center"/>
              <w:textAlignment w:val="center"/>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万盛经开区</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 xml:space="preserve">2.00 </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 xml:space="preserve">2.00 </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right"/>
              <w:rPr>
                <w:rFonts w:hint="default" w:ascii="Times New Roman" w:hAnsi="Times New Roman" w:eastAsia="方正仿宋_GBK" w:cs="Times New Roman"/>
                <w:i w:val="0"/>
                <w:color w:val="000000"/>
                <w:sz w:val="24"/>
                <w:szCs w:val="24"/>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 xml:space="preserve">1.00 </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 xml:space="preserve">1.00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right"/>
              <w:rPr>
                <w:rFonts w:hint="default" w:ascii="Times New Roman" w:hAnsi="Times New Roman" w:eastAsia="方正仿宋_GBK" w:cs="Times New Roman"/>
                <w:i w:val="0"/>
                <w:color w:val="000000"/>
                <w:sz w:val="24"/>
                <w:szCs w:val="24"/>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 xml:space="preserve">1.00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 xml:space="preserve">1.00 </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right"/>
              <w:rPr>
                <w:rFonts w:hint="default" w:ascii="Times New Roman" w:hAnsi="Times New Roman" w:eastAsia="方正仿宋_GBK" w:cs="Times New Roman"/>
                <w:i w:val="0"/>
                <w:color w:val="000000"/>
                <w:sz w:val="24"/>
                <w:szCs w:val="24"/>
                <w:u w:val="none"/>
              </w:rPr>
            </w:pPr>
          </w:p>
        </w:tc>
      </w:tr>
    </w:tbl>
    <w:p>
      <w:pPr>
        <w:spacing w:line="594" w:lineRule="exact"/>
        <w:rPr>
          <w:rFonts w:hint="default" w:ascii="方正黑体_GBK" w:hAnsi="方正黑体_GBK" w:eastAsia="方正黑体_GBK" w:cs="方正黑体_GBK"/>
          <w:color w:val="000000"/>
          <w:szCs w:val="32"/>
          <w:lang w:val="en-US" w:eastAsia="zh-CN"/>
        </w:rPr>
      </w:pPr>
    </w:p>
    <w:p>
      <w:pPr>
        <w:spacing w:line="594" w:lineRule="exact"/>
        <w:rPr>
          <w:rFonts w:ascii="方正黑体_GBK" w:hAnsi="方正黑体_GBK" w:eastAsia="方正黑体_GBK" w:cs="方正黑体_GBK"/>
          <w:color w:val="000000"/>
          <w:szCs w:val="32"/>
        </w:rPr>
      </w:pPr>
    </w:p>
    <w:p>
      <w:pPr>
        <w:spacing w:line="594" w:lineRule="exact"/>
        <w:rPr>
          <w:rFonts w:ascii="方正黑体_GBK" w:hAnsi="方正黑体_GBK" w:eastAsia="方正黑体_GBK" w:cs="方正黑体_GBK"/>
          <w:color w:val="000000"/>
          <w:szCs w:val="32"/>
        </w:rPr>
      </w:pPr>
    </w:p>
    <w:p>
      <w:pPr>
        <w:spacing w:line="594" w:lineRule="exact"/>
        <w:rPr>
          <w:rFonts w:ascii="方正黑体_GBK" w:hAnsi="方正黑体_GBK" w:eastAsia="方正黑体_GBK" w:cs="方正黑体_GBK"/>
          <w:color w:val="000000"/>
          <w:szCs w:val="32"/>
        </w:rPr>
      </w:pPr>
    </w:p>
    <w:p>
      <w:pPr>
        <w:spacing w:line="594" w:lineRule="exact"/>
        <w:rPr>
          <w:rFonts w:ascii="方正黑体_GBK" w:hAnsi="方正黑体_GBK" w:eastAsia="方正黑体_GBK" w:cs="方正黑体_GBK"/>
          <w:color w:val="000000"/>
          <w:szCs w:val="32"/>
        </w:rPr>
      </w:pPr>
    </w:p>
    <w:p>
      <w:pPr>
        <w:spacing w:line="594" w:lineRule="exact"/>
        <w:rPr>
          <w:rFonts w:ascii="方正黑体_GBK" w:hAnsi="方正黑体_GBK" w:eastAsia="方正黑体_GBK" w:cs="方正黑体_GBK"/>
          <w:color w:val="000000"/>
          <w:szCs w:val="32"/>
        </w:rPr>
      </w:pPr>
    </w:p>
    <w:p>
      <w:pPr>
        <w:spacing w:line="594" w:lineRule="exact"/>
        <w:rPr>
          <w:rFonts w:ascii="方正黑体_GBK" w:hAnsi="方正黑体_GBK" w:eastAsia="方正黑体_GBK" w:cs="方正黑体_GBK"/>
          <w:color w:val="000000"/>
          <w:szCs w:val="32"/>
        </w:rPr>
      </w:pPr>
    </w:p>
    <w:p>
      <w:pPr>
        <w:spacing w:line="594" w:lineRule="exact"/>
        <w:rPr>
          <w:rFonts w:ascii="方正黑体_GBK" w:hAnsi="方正黑体_GBK" w:eastAsia="方正黑体_GBK" w:cs="方正黑体_GBK"/>
          <w:color w:val="000000"/>
          <w:szCs w:val="32"/>
        </w:rPr>
      </w:pPr>
    </w:p>
    <w:p>
      <w:pPr>
        <w:spacing w:line="594" w:lineRule="exact"/>
        <w:rPr>
          <w:rFonts w:ascii="方正黑体_GBK" w:hAnsi="方正黑体_GBK" w:eastAsia="方正黑体_GBK" w:cs="方正黑体_GBK"/>
          <w:color w:val="000000"/>
          <w:szCs w:val="32"/>
        </w:rPr>
      </w:pPr>
    </w:p>
    <w:p>
      <w:pPr>
        <w:spacing w:line="594" w:lineRule="exact"/>
        <w:rPr>
          <w:rFonts w:ascii="方正黑体_GBK" w:hAnsi="方正黑体_GBK" w:eastAsia="方正黑体_GBK" w:cs="方正黑体_GBK"/>
          <w:color w:val="000000"/>
          <w:szCs w:val="32"/>
        </w:rPr>
      </w:pPr>
    </w:p>
    <w:p>
      <w:pPr>
        <w:spacing w:line="594" w:lineRule="exact"/>
        <w:rPr>
          <w:rFonts w:ascii="方正黑体_GBK" w:hAnsi="方正黑体_GBK" w:eastAsia="方正黑体_GBK" w:cs="方正黑体_GBK"/>
          <w:color w:val="000000"/>
          <w:szCs w:val="32"/>
        </w:rPr>
      </w:pPr>
    </w:p>
    <w:p>
      <w:pPr>
        <w:spacing w:line="594" w:lineRule="exact"/>
        <w:rPr>
          <w:rFonts w:ascii="方正黑体_GBK" w:hAnsi="方正黑体_GBK" w:eastAsia="方正黑体_GBK" w:cs="方正黑体_GBK"/>
          <w:color w:val="000000"/>
          <w:szCs w:val="32"/>
        </w:rPr>
      </w:pPr>
    </w:p>
    <w:p>
      <w:pPr>
        <w:spacing w:line="594" w:lineRule="exact"/>
        <w:rPr>
          <w:rFonts w:ascii="方正黑体_GBK" w:hAnsi="方正黑体_GBK" w:eastAsia="方正黑体_GBK" w:cs="方正黑体_GBK"/>
          <w:color w:val="000000"/>
          <w:szCs w:val="32"/>
        </w:rPr>
      </w:pPr>
    </w:p>
    <w:p>
      <w:pPr>
        <w:spacing w:line="594" w:lineRule="exact"/>
        <w:rPr>
          <w:rFonts w:ascii="方正黑体_GBK" w:hAnsi="方正黑体_GBK" w:eastAsia="方正黑体_GBK" w:cs="方正黑体_GBK"/>
          <w:color w:val="000000"/>
          <w:szCs w:val="32"/>
        </w:rPr>
      </w:pPr>
    </w:p>
    <w:p>
      <w:pPr>
        <w:spacing w:line="594" w:lineRule="exact"/>
        <w:rPr>
          <w:rFonts w:ascii="方正黑体_GBK" w:hAnsi="方正黑体_GBK" w:eastAsia="方正黑体_GBK" w:cs="方正黑体_GBK"/>
          <w:color w:val="000000"/>
          <w:szCs w:val="32"/>
        </w:rPr>
      </w:pPr>
    </w:p>
    <w:p>
      <w:pPr>
        <w:spacing w:line="594" w:lineRule="exact"/>
        <w:rPr>
          <w:rFonts w:hint="eastAsia" w:ascii="方正黑体_GBK" w:hAnsi="方正黑体_GBK" w:eastAsia="方正黑体_GBK" w:cs="方正黑体_GBK"/>
          <w:color w:val="000000"/>
          <w:szCs w:val="32"/>
          <w:lang w:eastAsia="zh-CN"/>
        </w:rPr>
      </w:pPr>
      <w:r>
        <w:rPr>
          <w:rFonts w:ascii="方正黑体_GBK" w:hAnsi="方正黑体_GBK" w:eastAsia="方正黑体_GBK" w:cs="方正黑体_GBK"/>
          <w:color w:val="000000"/>
          <w:szCs w:val="32"/>
        </w:rPr>
        <w:t>附件1</w:t>
      </w:r>
      <w:r>
        <w:rPr>
          <w:rFonts w:hint="eastAsia" w:ascii="方正黑体_GBK" w:hAnsi="方正黑体_GBK" w:eastAsia="方正黑体_GBK" w:cs="方正黑体_GBK"/>
          <w:color w:val="000000"/>
          <w:szCs w:val="32"/>
          <w:lang w:val="en-US" w:eastAsia="zh-CN"/>
        </w:rPr>
        <w:t>8</w:t>
      </w:r>
    </w:p>
    <w:p>
      <w:pPr>
        <w:spacing w:line="594" w:lineRule="exact"/>
        <w:jc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t>2019年全区财政预算收支预算表</w:t>
      </w:r>
    </w:p>
    <w:p>
      <w:pPr>
        <w:spacing w:line="594" w:lineRule="exact"/>
        <w:jc w:val="right"/>
        <w:rPr>
          <w:rFonts w:cs="方正仿宋_GBK"/>
          <w:color w:val="000000"/>
          <w:szCs w:val="32"/>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2527"/>
        <w:gridCol w:w="1012"/>
        <w:gridCol w:w="898"/>
        <w:gridCol w:w="2527"/>
        <w:gridCol w:w="1012"/>
        <w:gridCol w:w="898"/>
      </w:tblGrid>
      <w:tr>
        <w:tblPrEx>
          <w:tblCellMar>
            <w:top w:w="15" w:type="dxa"/>
            <w:left w:w="15" w:type="dxa"/>
            <w:bottom w:w="15" w:type="dxa"/>
            <w:right w:w="15" w:type="dxa"/>
          </w:tblCellMar>
        </w:tblPrEx>
        <w:trPr>
          <w:trHeight w:val="363" w:hRule="atLeast"/>
          <w:tblHeader/>
        </w:trPr>
        <w:tc>
          <w:tcPr>
            <w:tcW w:w="2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收      入</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增长%</w:t>
            </w:r>
          </w:p>
        </w:tc>
        <w:tc>
          <w:tcPr>
            <w:tcW w:w="2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支      出</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增长%</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总      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367808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-16.3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总      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367808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-16.3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一般公共预算收入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117400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-2.3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一般公共预算支出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282308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-2.7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税收收入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94000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7.9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一般公共服务支出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39221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27.7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增值税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7.1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国防支出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企业所得税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11450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8.6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公共安全支出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13340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-13.5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个人所得税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3.9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教育支出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41965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-9.1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资源税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-3.6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科学技术支出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1334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城市维护建设税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7200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7.7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文化旅游体育与传媒支出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3688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-36.0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房产税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4300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6.7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社会保障和就业支出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36038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-6.1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印花税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2800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8.5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卫生健康支出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26596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-14.8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城镇土地使用税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12500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6.8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节能环保支出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5066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-64.6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土地增值税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4500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8.1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城乡社区支出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6542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-58.4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耕地占用税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3600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10.7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农林水支出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17850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-21.0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契税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12500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13.4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交通运输支出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37638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94.8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环境保护税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550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16.5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资源勘探信息等支出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4441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-68.9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非税收入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23400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-29.1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商业服务业等支出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881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-55.1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专项收入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3400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自然资源海洋气象等支出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2435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-24.7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行政事业性收费收入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6700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-55.0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住房保障支出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9817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-43.1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罚没收入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13.5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粮油物资储备支出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国有资源</w:t>
            </w:r>
            <w:r>
              <w:rPr>
                <w:rFonts w:hint="eastAsia" w:ascii="Times New Roman" w:hAnsi="Times New Roman"/>
                <w:color w:val="000000"/>
                <w:sz w:val="28"/>
                <w:szCs w:val="28"/>
                <w:lang w:eastAsia="zh-CN" w:bidi="ar"/>
              </w:rPr>
              <w:t>（</w:t>
            </w:r>
            <w:r>
              <w:rPr>
                <w:rFonts w:hint="default" w:ascii="Times New Roman" w:hAnsi="Times New Roman"/>
                <w:color w:val="000000"/>
                <w:sz w:val="28"/>
                <w:szCs w:val="28"/>
                <w:lang w:bidi="ar"/>
              </w:rPr>
              <w:t>资产</w:t>
            </w:r>
            <w:r>
              <w:rPr>
                <w:rFonts w:hint="eastAsia" w:ascii="Times New Roman" w:hAnsi="Times New Roman"/>
                <w:color w:val="000000"/>
                <w:sz w:val="28"/>
                <w:szCs w:val="28"/>
                <w:lang w:eastAsia="zh-CN" w:bidi="ar"/>
              </w:rPr>
              <w:t>）</w:t>
            </w:r>
            <w:r>
              <w:rPr>
                <w:rFonts w:hint="default" w:ascii="Times New Roman" w:hAnsi="Times New Roman"/>
                <w:color w:val="000000"/>
                <w:sz w:val="28"/>
                <w:szCs w:val="28"/>
                <w:lang w:bidi="ar"/>
              </w:rPr>
              <w:t>有偿使用收入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9500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-14.0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灾害防治及应急管理支出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3066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捐赠收入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预备费</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其他收入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-8.5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其他支出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20477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514.4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债务付息支出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6911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6.9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债务发行费用支出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上级补助收入</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146437 </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-6.6 </w:t>
            </w:r>
          </w:p>
        </w:tc>
        <w:tc>
          <w:tcPr>
            <w:tcW w:w="25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转贷地方政府债券收入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30.0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上解支出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8823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7.1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动用预算稳定调节基金</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161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地方政府债券还本支出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160.0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调入资金</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安排预算稳定调节基金</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上年结转</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17133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-7.4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结转下年</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一般公共预算收入小计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317131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-2.6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一般公共预算支出小计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317131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-2.6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政府性基金预算收入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30000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0.0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政府性基金预算支出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22528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-66.0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上解支出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61.8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上级补助收入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-93.6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结转下年</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上年结转结余</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528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50.9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调出资金</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0.0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专项债券转贷收入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专项债券转贷支出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政府性基金收入小计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33528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-56.7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政府性基金支出小计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33528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-56.7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国有资本经营预算收入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5000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-9.1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国有资本经营预算支出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17149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-29.3 </w:t>
            </w: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上级补助收入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结转下年</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上年结转</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12149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调出资金</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6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国有资本经营预算收入小计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17149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-52.9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国有资本经营预算支出小计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17149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-52.9 </w:t>
            </w:r>
          </w:p>
        </w:tc>
      </w:tr>
    </w:tbl>
    <w:p>
      <w:pPr>
        <w:spacing w:line="594" w:lineRule="exact"/>
        <w:jc w:val="center"/>
        <w:rPr>
          <w:rFonts w:ascii="方正小标宋_GBK" w:hAnsi="方正小标宋_GBK" w:eastAsia="方正小标宋_GBK" w:cs="方正小标宋_GBK"/>
          <w:color w:val="000000"/>
          <w:sz w:val="44"/>
          <w:szCs w:val="44"/>
        </w:rPr>
      </w:pPr>
    </w:p>
    <w:p>
      <w:pPr>
        <w:spacing w:line="594" w:lineRule="exact"/>
        <w:rPr>
          <w:rFonts w:hint="eastAsia" w:ascii="方正黑体_GBK" w:hAnsi="方正黑体_GBK" w:eastAsia="方正黑体_GBK" w:cs="方正黑体_GBK"/>
          <w:color w:val="000000"/>
          <w:szCs w:val="32"/>
          <w:lang w:eastAsia="zh-CN"/>
        </w:rPr>
      </w:pPr>
      <w:r>
        <w:rPr>
          <w:rFonts w:hint="default" w:ascii="方正小标宋_GBK" w:hAnsi="方正小标宋_GBK" w:eastAsia="方正小标宋_GBK" w:cs="方正小标宋_GBK"/>
          <w:color w:val="000000"/>
          <w:sz w:val="44"/>
          <w:szCs w:val="44"/>
        </w:rPr>
        <w:br w:type="page"/>
      </w:r>
      <w:r>
        <w:rPr>
          <w:rFonts w:ascii="方正黑体_GBK" w:hAnsi="方正黑体_GBK" w:eastAsia="方正黑体_GBK" w:cs="方正黑体_GBK"/>
          <w:color w:val="000000"/>
          <w:szCs w:val="32"/>
        </w:rPr>
        <w:t>附件1</w:t>
      </w:r>
      <w:r>
        <w:rPr>
          <w:rFonts w:hint="eastAsia" w:ascii="方正黑体_GBK" w:hAnsi="方正黑体_GBK" w:eastAsia="方正黑体_GBK" w:cs="方正黑体_GBK"/>
          <w:color w:val="000000"/>
          <w:szCs w:val="32"/>
          <w:lang w:val="en-US" w:eastAsia="zh-CN"/>
        </w:rPr>
        <w:t>9</w:t>
      </w:r>
    </w:p>
    <w:p>
      <w:pPr>
        <w:spacing w:line="594" w:lineRule="exact"/>
        <w:jc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t>2019年区级一般公共预算收支预算表</w:t>
      </w:r>
    </w:p>
    <w:p>
      <w:pPr>
        <w:spacing w:line="594" w:lineRule="exact"/>
        <w:jc w:val="right"/>
        <w:rPr>
          <w:rFonts w:cs="方正仿宋_GBK"/>
          <w:color w:val="000000"/>
          <w:szCs w:val="32"/>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2527"/>
        <w:gridCol w:w="1012"/>
        <w:gridCol w:w="898"/>
        <w:gridCol w:w="2527"/>
        <w:gridCol w:w="1012"/>
        <w:gridCol w:w="898"/>
      </w:tblGrid>
      <w:tr>
        <w:tblPrEx>
          <w:tblCellMar>
            <w:top w:w="15" w:type="dxa"/>
            <w:left w:w="15" w:type="dxa"/>
            <w:bottom w:w="15" w:type="dxa"/>
            <w:right w:w="15" w:type="dxa"/>
          </w:tblCellMar>
        </w:tblPrEx>
        <w:trPr>
          <w:trHeight w:val="374" w:hRule="atLeast"/>
          <w:tblHeader/>
        </w:trPr>
        <w:tc>
          <w:tcPr>
            <w:tcW w:w="2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收      入</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增长%</w:t>
            </w:r>
          </w:p>
        </w:tc>
        <w:tc>
          <w:tcPr>
            <w:tcW w:w="2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支      出</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增长%</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总      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312870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-2.9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总      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312870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-2.9 </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本级收入合计</w:t>
            </w:r>
          </w:p>
        </w:tc>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113079 </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-2.6 </w:t>
            </w:r>
          </w:p>
        </w:tc>
        <w:tc>
          <w:tcPr>
            <w:tcW w:w="25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本级支出合计</w:t>
            </w:r>
          </w:p>
        </w:tc>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262532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-1.7 </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一、税收收入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89679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8.0 </w:t>
            </w: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一、一般公共服务支出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31638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49.1 </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增值税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26124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7.4 </w:t>
            </w: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二、外交支出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企业所得税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10732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8.8 </w:t>
            </w: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三、国防支出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个人所得税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2507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3.9 </w:t>
            </w: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四、公共安全支出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13340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-20.2 </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资源税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2860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-4.0 </w:t>
            </w: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五、教育支出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41965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-9.1 </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城市维护建设税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6890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7.8 </w:t>
            </w: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六、科学技术支出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1334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 </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房产税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4200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6.8 </w:t>
            </w: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七、文化旅游体育与传媒支出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2975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-27.8 </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印花税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2790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8.5 </w:t>
            </w: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八、社会保障和就业支出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31550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-6.8 </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城镇土地使用税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12472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6.8 </w:t>
            </w: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九、卫生健康支出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25812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-14.3 </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土地增值税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4499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8.1 </w:t>
            </w: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十、节能环保支出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5066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-64.5 </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耕地占用税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3600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10.7 </w:t>
            </w: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十一、城乡社区支出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5341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-61.0 </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契税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12455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13.5 </w:t>
            </w: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十二、农林水支出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13745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-26.1 </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环境保护税</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550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16.5 </w:t>
            </w: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十三、交通运输支出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37638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94.8 </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十四、资源勘探信息等支出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4441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-71.3 </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二、非税收入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23400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-29.1 </w:t>
            </w: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十五、商业服务业等支出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881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-68.7 </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专项收入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3400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 </w:t>
            </w: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十六、金融支出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行政事业性收费收入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6700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-55.0 </w:t>
            </w: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十七、援助其他地区支出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罚没收入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13.5 </w:t>
            </w: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十八、自然资源海洋气象等支出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2435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-25.8 </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国有资源(资产)有偿使用收入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9500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-14.0 </w:t>
            </w: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十九、住房保障支出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9224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-43.2 </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捐赠收入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二十、粮油物资储备支出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其他收入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-8.5 </w:t>
            </w:r>
          </w:p>
        </w:tc>
        <w:tc>
          <w:tcPr>
            <w:tcW w:w="2527" w:type="dxa"/>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二十一、灾害防治及应急管理支出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2757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二十二、预备费</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二十三、其他支出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20477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514.4 </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pacing w:val="-11"/>
                <w:sz w:val="28"/>
                <w:szCs w:val="28"/>
                <w:lang w:bidi="ar"/>
              </w:rPr>
              <w:t>二十四、债务付息支出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6911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6.9 </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二十五、债务发行费用支出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r>
      <w:tr>
        <w:tblPrEx>
          <w:tblCellMar>
            <w:top w:w="15" w:type="dxa"/>
            <w:left w:w="15" w:type="dxa"/>
            <w:bottom w:w="15" w:type="dxa"/>
            <w:right w:w="15" w:type="dxa"/>
          </w:tblCellMar>
        </w:tblPrEx>
        <w:trPr>
          <w:trHeight w:val="313"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转移性收入合计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199791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w:t>
            </w:r>
            <w:r>
              <w:rPr>
                <w:rFonts w:ascii="方正黑体_GBK" w:hAnsi="方正黑体_GBK" w:eastAsia="方正黑体_GBK" w:cs="方正黑体_GBK"/>
                <w:color w:val="FFFFFF"/>
                <w:sz w:val="28"/>
                <w:szCs w:val="28"/>
                <w:lang w:bidi="ar"/>
              </w:rPr>
              <w:t>0</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转移性支出合计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24338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w:t>
            </w:r>
            <w:r>
              <w:rPr>
                <w:rFonts w:ascii="方正黑体_GBK" w:hAnsi="方正黑体_GBK" w:eastAsia="方正黑体_GBK" w:cs="方正黑体_GBK"/>
                <w:color w:val="FFFFFF"/>
                <w:sz w:val="28"/>
                <w:szCs w:val="28"/>
                <w:lang w:bidi="ar"/>
              </w:rPr>
              <w:t>0</w:t>
            </w: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一、上级补助收入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146437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一、上解上级支出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8823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二、镇街上解收入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二、补助镇街支出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15515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三、动用预算稳定调节基金</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161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三、地方政府债务还本支出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四、调入资金</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地方政府债券还本支出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五、地方政府债券收入 </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地方政府其他债务还本支出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right w:val="single" w:color="000000" w:sz="4" w:space="0"/>
            </w:tcBorders>
            <w:shd w:val="clear" w:color="auto" w:fill="auto"/>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地方政府债券收入(新增）</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right w:val="single" w:color="000000" w:sz="4" w:space="0"/>
            </w:tcBorders>
            <w:shd w:val="clear" w:color="auto" w:fill="auto"/>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right w:val="single" w:color="000000" w:sz="4" w:space="0"/>
            </w:tcBorders>
            <w:shd w:val="clear" w:color="auto" w:fill="FFFFFF"/>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四、安排预算稳定调节基金</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地方政府债券收入(置换）</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五、地方政府债券转贷支出 </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六、上年结转</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17133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地方政府债券转贷支出（新增）</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7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地方政府债券转贷支出（置换）</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64"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六、结转下年</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bl>
    <w:p>
      <w:pPr>
        <w:spacing w:line="360" w:lineRule="exact"/>
        <w:rPr>
          <w:rFonts w:hint="default" w:ascii="Times New Roman" w:hAnsi="Times New Roman"/>
          <w:color w:val="000000"/>
          <w:sz w:val="28"/>
          <w:szCs w:val="28"/>
        </w:rPr>
      </w:pPr>
      <w:r>
        <w:rPr>
          <w:rFonts w:hint="default" w:ascii="Times New Roman" w:hAnsi="Times New Roman"/>
          <w:color w:val="000000"/>
          <w:sz w:val="28"/>
          <w:szCs w:val="28"/>
        </w:rPr>
        <w:t>注：1.</w:t>
      </w:r>
      <w:r>
        <w:rPr>
          <w:rFonts w:ascii="Times New Roman" w:hAnsi="Times New Roman"/>
          <w:color w:val="000000"/>
          <w:sz w:val="28"/>
          <w:szCs w:val="28"/>
        </w:rPr>
        <w:t xml:space="preserve"> </w:t>
      </w:r>
      <w:r>
        <w:rPr>
          <w:rFonts w:hint="default" w:ascii="Times New Roman" w:hAnsi="Times New Roman"/>
          <w:color w:val="000000"/>
          <w:sz w:val="28"/>
          <w:szCs w:val="28"/>
        </w:rPr>
        <w:t>本表直观反映2018年一般公共预算收入与支出的平衡关系。</w:t>
      </w:r>
    </w:p>
    <w:p>
      <w:pPr>
        <w:spacing w:line="360" w:lineRule="exact"/>
        <w:ind w:firstLine="560"/>
        <w:rPr>
          <w:rFonts w:ascii="方正小标宋_GBK" w:hAnsi="方正小标宋_GBK" w:eastAsia="方正小标宋_GBK" w:cs="方正小标宋_GBK"/>
          <w:color w:val="000000"/>
          <w:sz w:val="44"/>
          <w:szCs w:val="44"/>
        </w:rPr>
      </w:pPr>
      <w:r>
        <w:rPr>
          <w:rFonts w:hint="default" w:ascii="Times New Roman" w:hAnsi="Times New Roman"/>
          <w:color w:val="000000"/>
          <w:sz w:val="28"/>
          <w:szCs w:val="28"/>
        </w:rPr>
        <w:t>2.</w:t>
      </w:r>
      <w:r>
        <w:rPr>
          <w:rFonts w:ascii="Times New Roman" w:hAnsi="Times New Roman"/>
          <w:color w:val="000000"/>
          <w:sz w:val="28"/>
          <w:szCs w:val="28"/>
        </w:rPr>
        <w:t xml:space="preserve"> </w:t>
      </w:r>
      <w:r>
        <w:rPr>
          <w:rFonts w:hint="default" w:ascii="Times New Roman" w:hAnsi="Times New Roman"/>
          <w:color w:val="000000"/>
          <w:sz w:val="28"/>
          <w:szCs w:val="28"/>
        </w:rPr>
        <w:t>收入总计（本级收入合计+转移性收入合计）=支出总计（本级支出合计+转移性支出合计）。</w:t>
      </w:r>
    </w:p>
    <w:p>
      <w:pPr>
        <w:spacing w:line="594" w:lineRule="exact"/>
        <w:rPr>
          <w:rFonts w:hint="default" w:ascii="方正黑体_GBK" w:hAnsi="方正黑体_GBK" w:eastAsia="方正黑体_GBK" w:cs="方正黑体_GBK"/>
          <w:color w:val="000000"/>
          <w:szCs w:val="32"/>
          <w:lang w:val="en-US" w:eastAsia="zh-CN"/>
        </w:rPr>
      </w:pPr>
      <w:r>
        <w:rPr>
          <w:rFonts w:ascii="方正黑体_GBK" w:hAnsi="方正黑体_GBK" w:eastAsia="方正黑体_GBK" w:cs="方正黑体_GBK"/>
          <w:color w:val="000000"/>
          <w:szCs w:val="32"/>
        </w:rPr>
        <w:t>附件</w:t>
      </w:r>
      <w:r>
        <w:rPr>
          <w:rFonts w:hint="eastAsia" w:ascii="方正黑体_GBK" w:hAnsi="方正黑体_GBK" w:eastAsia="方正黑体_GBK" w:cs="方正黑体_GBK"/>
          <w:color w:val="000000"/>
          <w:szCs w:val="32"/>
          <w:lang w:val="en-US" w:eastAsia="zh-CN"/>
        </w:rPr>
        <w:t>20</w:t>
      </w:r>
    </w:p>
    <w:p>
      <w:pPr>
        <w:spacing w:line="594" w:lineRule="exact"/>
        <w:jc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t>2019年区级一般公共预算本级支出预算表</w:t>
      </w:r>
    </w:p>
    <w:p>
      <w:pPr>
        <w:spacing w:line="594" w:lineRule="exact"/>
        <w:jc w:val="right"/>
        <w:rPr>
          <w:rFonts w:cs="方正仿宋_GBK"/>
          <w:color w:val="000000"/>
          <w:szCs w:val="32"/>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6815"/>
        <w:gridCol w:w="2059"/>
      </w:tblGrid>
      <w:tr>
        <w:tblPrEx>
          <w:tblCellMar>
            <w:top w:w="15" w:type="dxa"/>
            <w:left w:w="15" w:type="dxa"/>
            <w:bottom w:w="15" w:type="dxa"/>
            <w:right w:w="15" w:type="dxa"/>
          </w:tblCellMar>
        </w:tblPrEx>
        <w:trPr>
          <w:trHeight w:val="391" w:hRule="atLeast"/>
          <w:tblHeader/>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支        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本级支出合计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262532</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一般公共服务支出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31638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政府办公厅(室)及相关机构事务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17932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17136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674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发展与改革事务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867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447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其他发展与改革事务支出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统计信息事务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344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259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统计抽样调查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财政事务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871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701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人力资源事务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其他人力资源事务支出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纪检监察事务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1561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商贸事务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5261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招商引资</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档案事务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民主党派及工商联事务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其他民主党派及工商联事务支出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群众团体事务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568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337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其他群众团体事务支出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党委办公厅(室)及相关机构事务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851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组织事务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491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310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宣传事务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657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365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统战事务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446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159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机关服务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宗教事务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其他统战事务支出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其他共产党事务支出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1217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824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公共安全支出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13340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公安</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12411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8608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478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信息化建设</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452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执法办案</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2873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司法</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929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基层司法业务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普法宣传</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法律援助</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社区矫正</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其他司法支出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教育支出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41965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教育管理事务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1057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513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其他教育管理事务支出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544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普通教育</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37522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学前教育</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2257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小学教育</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19897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初中教育</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9881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高中教育</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5487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职业教育</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2131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职业高中教育</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2031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其他职业教育支出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特殊教育</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其他特殊教育支出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进修及培训</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1142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教师进修</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880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干部教育</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培训支出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教育费附加安排的支出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其他教育费附加安排的支出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科学技术支出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1334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科学技术管理事务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其他科学技术管理事务支出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技术研究与开发</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产业技术研究与开发</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科学技术普及</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科技馆站</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其他科学技术支出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科技奖励</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文化旅游体育与传媒支出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2975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文化和旅游</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1503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523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图书馆</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群众文化</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文化创作与保护</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其他文化和旅游支出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543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文物</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博物馆</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体育</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652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体育场馆</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群众体育</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其他体育支出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广播电视</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667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广播</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电视</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597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其他文化体育与传媒支出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99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其他文化体育与传媒支出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99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社会保障和就业支出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31550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人力资源和社会保障管理事务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4987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1432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社会保险经办机构</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其他人力资源和社会保障管理事务支出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3397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民政管理事务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452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381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其他民政管理事务支出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行政事业单位离退休</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14703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归口管理的行政单位离退休</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事业单位离退休</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机关事业单位基本养老保险缴费支出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8355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机关事业单位职业年金缴费支出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3144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其他行政事业单位离退休支出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2965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就业补助</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2040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职业培训补贴</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社会保险补贴</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公益性岗位补贴</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其他就业补助支出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540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抚恤</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966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在乡复员、退伍军人生活补助</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966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退役安置</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331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退役士兵安置</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军队移交政府的离退休人员安置</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军队移交政府离退休干部管理机构</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军队转业干部安置</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社会福利</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715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老年福利</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715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残疾人事业</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394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残疾人康复</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其他残疾人事业支出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279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最低生活保障</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4800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城市最低生活保障金支出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3800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农村最低生活保障金支出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临时救助</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临时救助支出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流浪乞讨人员救助支出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特困人员救助供养</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872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城市特困人员救助供养支出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农村特困人员救助供养支出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372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其他生活救助</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其他城市生活救助</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其他农村生活救助</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退役军人管理事务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拥军优属</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其他社会保障和就业支出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988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其他社会保障和就业支出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988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卫生健康支出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25812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卫生健康管理事务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670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249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其他卫生健康管理事务支出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421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公立医院</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693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综合医院</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中医(民族)医院</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99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其他公立医院支出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基层医疗卫生机构</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2293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城市社区卫生机构</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403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乡镇卫生院</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其他基层医疗卫生机构支出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公共卫生</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2768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疾病预防控制机构</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587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卫生监督机构</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妇幼保健机构</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393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采供血机构</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基本公共卫生服务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1380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重大公共卫生专项</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计划生育事务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681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计划生育机构</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计划生育服务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589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其他计划生育事务支出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行政事业单位医疗</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4649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行政单位医疗</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1618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事业单位医疗</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3031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财政对基本医疗保险基金的补助</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9583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财政对城乡居民基本医疗保险基金的补助</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9583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医疗救助</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3844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城乡医疗救助</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3816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其他医疗救助支出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优抚对象医疗</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优抚对象医疗补助</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其他卫生健康支出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548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其他卫生健康支出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548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节能环保支出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5066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环境保护管理事务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471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430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其他环境保护管理事务支出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环境监测与监察</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464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其他环境监测与监察支出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464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污染防治</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969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水体</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729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固体废弃物与化学品</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自然生态保护</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1225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生态保护</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农村环境保护</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1210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天然林保护</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社会保险补助</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政策性社会性支出补助</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退耕还林</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1781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其他退耕还林支出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1781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能源节约利用</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能源节能利用</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其他节能环保支出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其他节能环保支出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城乡社区支出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5341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城乡社区管理事务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1334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1096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城管执法</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其他城乡社区管理事务支出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城乡社区规划与管理</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城乡社区规划与管理</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城乡社区公共设施</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其他城乡社区公共设施支出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城乡社区环境卫生</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2226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城乡社区环境卫生</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2226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建设市场管理与监督</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597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建设市场管理与监督</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597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其他城乡社区支出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661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其他城乡社区支出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661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农林水支出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13745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农业</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3379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707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551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病虫害控制</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农业生产支持补贴</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1163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农业组织化与产业化经营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农业资源保护修复与利用</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其他农业支出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林业和草原</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1166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事业机构</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森林培育</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森林资源管理</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执法与监督</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其他林业和草原支出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水利</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5840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水利技术推广</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江河湖库水系综合整治</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4169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大中型水库移民后期扶持专项支出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其他水利支出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818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扶贫</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1222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其他扶贫支出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1222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农业综合开发</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820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土地治理</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820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农村综合改革</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对村级一事一议的补助</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普惠金融发展支出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创业担保贷款贴息</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交通运输支出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37638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公路水路运输</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30763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公路养护</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1730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公路和运输安全</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公路运输管理</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1079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取消政府还贷二级公路收费专项支出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27093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其他公路水路运输支出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259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成品油价格改革对交通运输的补贴</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成品油价格改革补贴其他支出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车辆购置税支出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6475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车辆购置税用于农村公路建设支出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6475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资源勘探信息等支出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4441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资源勘探开发</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煤炭勘探开采和洗选</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制造业</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其他制造业支出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工业和信息产业监管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1208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635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其他工业和信息产业监管支出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472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国有资产监管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225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其他国有资产监管支出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支持中小企业发展和管理支出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777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其他支持中小企业发展和管理支出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777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商业服务业等支出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881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商业流通事务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854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428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其他商业流通事务支出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涉外发展服务支出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其他涉外发展服务支出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自然资源海洋气象等支出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2435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自然资源事务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2274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土地资源利用与保护</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299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1475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气象事务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气象事业机构</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106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气象装备保障维护</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住房保障支出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9224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保障性安居工程支出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4592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棚户区改造</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2004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农村危房改造</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其他保障性安居工程支出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住房改革支出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4632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住房公积金</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4632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灾害防治及应急管理支出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2757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应急管理事务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行政运行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478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一般行政管理事务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98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事业运行</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429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消防事务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1645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消防应急救援</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1645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地震事务</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地震监测</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自然灾害救灾及恢复重建支出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中央自然灾害生活补助</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预备费</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5000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20477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20477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其他支出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20477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债务付息支出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6911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地方政府一般债务付息支出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6911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地方政府一般债券付息支出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6911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债务发行费用支出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 </w:t>
            </w:r>
          </w:p>
        </w:tc>
      </w:tr>
      <w:tr>
        <w:tblPrEx>
          <w:tblCellMar>
            <w:top w:w="15" w:type="dxa"/>
            <w:left w:w="15" w:type="dxa"/>
            <w:bottom w:w="15" w:type="dxa"/>
            <w:right w:w="15" w:type="dxa"/>
          </w:tblCellMar>
        </w:tblPrEx>
        <w:trPr>
          <w:trHeight w:val="390" w:hRule="atLeast"/>
        </w:trPr>
        <w:tc>
          <w:tcPr>
            <w:tcW w:w="6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cs="方正仿宋_GBK"/>
                <w:color w:val="000000"/>
                <w:sz w:val="28"/>
                <w:szCs w:val="28"/>
              </w:rPr>
            </w:pPr>
            <w:r>
              <w:rPr>
                <w:rFonts w:cs="方正仿宋_GBK"/>
                <w:color w:val="000000"/>
                <w:sz w:val="28"/>
                <w:szCs w:val="28"/>
                <w:lang w:bidi="ar"/>
              </w:rPr>
              <w:t xml:space="preserve">    地方政府一般债务发行费用支出</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 </w:t>
            </w:r>
          </w:p>
        </w:tc>
      </w:tr>
    </w:tbl>
    <w:p>
      <w:pPr>
        <w:spacing w:line="360" w:lineRule="exact"/>
        <w:ind w:firstLine="0"/>
        <w:jc w:val="left"/>
        <w:rPr>
          <w:rFonts w:hint="default" w:ascii="Times New Roman" w:hAnsi="Times New Roman"/>
          <w:color w:val="000000"/>
          <w:sz w:val="28"/>
          <w:szCs w:val="28"/>
        </w:rPr>
      </w:pPr>
      <w:r>
        <w:rPr>
          <w:rFonts w:hint="default" w:ascii="Times New Roman" w:hAnsi="Times New Roman"/>
          <w:color w:val="000000"/>
          <w:sz w:val="28"/>
          <w:szCs w:val="28"/>
        </w:rPr>
        <w:t>注：本表详细反映2019年一般公共预算支出情况，按《预算法》要求细化到功能分类项级科目。个别项级科目中，其他支出数额较大的，将根据执行中下达的投资计划、项目清单等，按规定列报至相应的功能分类科目下。</w:t>
      </w:r>
    </w:p>
    <w:p>
      <w:pPr>
        <w:spacing w:line="594" w:lineRule="exact"/>
        <w:jc w:val="center"/>
        <w:rPr>
          <w:rFonts w:ascii="方正小标宋_GBK" w:hAnsi="方正小标宋_GBK" w:eastAsia="方正小标宋_GBK" w:cs="方正小标宋_GBK"/>
          <w:color w:val="000000"/>
          <w:sz w:val="44"/>
          <w:szCs w:val="44"/>
        </w:rPr>
      </w:pPr>
    </w:p>
    <w:p>
      <w:pPr>
        <w:spacing w:line="594" w:lineRule="exact"/>
        <w:rPr>
          <w:rFonts w:hint="default" w:ascii="方正黑体_GBK" w:hAnsi="方正黑体_GBK" w:eastAsia="方正黑体_GBK" w:cs="方正黑体_GBK"/>
          <w:color w:val="000000"/>
          <w:szCs w:val="32"/>
          <w:lang w:val="en-US" w:eastAsia="zh-CN"/>
        </w:rPr>
      </w:pPr>
      <w:r>
        <w:rPr>
          <w:rFonts w:hint="default" w:ascii="方正小标宋_GBK" w:hAnsi="方正小标宋_GBK" w:eastAsia="方正小标宋_GBK" w:cs="方正小标宋_GBK"/>
          <w:color w:val="000000"/>
          <w:sz w:val="44"/>
          <w:szCs w:val="44"/>
        </w:rPr>
        <w:br w:type="page"/>
      </w:r>
      <w:r>
        <w:rPr>
          <w:rFonts w:ascii="方正黑体_GBK" w:hAnsi="方正黑体_GBK" w:eastAsia="方正黑体_GBK" w:cs="方正黑体_GBK"/>
          <w:color w:val="000000"/>
          <w:szCs w:val="32"/>
        </w:rPr>
        <w:t>附件</w:t>
      </w:r>
      <w:r>
        <w:rPr>
          <w:rFonts w:hint="eastAsia" w:ascii="方正黑体_GBK" w:hAnsi="方正黑体_GBK" w:eastAsia="方正黑体_GBK" w:cs="方正黑体_GBK"/>
          <w:color w:val="000000"/>
          <w:szCs w:val="32"/>
          <w:lang w:val="en-US" w:eastAsia="zh-CN"/>
        </w:rPr>
        <w:t>21</w:t>
      </w:r>
    </w:p>
    <w:p>
      <w:pPr>
        <w:spacing w:line="594" w:lineRule="exact"/>
        <w:jc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t>2019年区级一般公共预算本级支出预算表</w:t>
      </w:r>
    </w:p>
    <w:p>
      <w:pPr>
        <w:spacing w:line="594" w:lineRule="exact"/>
        <w:jc w:val="center"/>
        <w:rPr>
          <w:rFonts w:ascii="方正楷体_GBK" w:hAnsi="方正楷体_GBK" w:eastAsia="方正楷体_GBK" w:cs="方正楷体_GBK"/>
          <w:color w:val="000000"/>
          <w:szCs w:val="32"/>
        </w:rPr>
      </w:pPr>
      <w:r>
        <w:rPr>
          <w:rFonts w:ascii="方正楷体_GBK" w:hAnsi="方正楷体_GBK" w:eastAsia="方正楷体_GBK" w:cs="方正楷体_GBK"/>
          <w:color w:val="000000"/>
          <w:szCs w:val="32"/>
        </w:rPr>
        <w:t>（按功能分类科目的基本支出和项目支出）</w:t>
      </w:r>
    </w:p>
    <w:p>
      <w:pPr>
        <w:spacing w:line="594" w:lineRule="exact"/>
        <w:jc w:val="right"/>
        <w:rPr>
          <w:rFonts w:cs="方正仿宋_GBK"/>
          <w:color w:val="000000"/>
          <w:szCs w:val="32"/>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4751"/>
        <w:gridCol w:w="1324"/>
        <w:gridCol w:w="1367"/>
        <w:gridCol w:w="1432"/>
      </w:tblGrid>
      <w:tr>
        <w:tblPrEx>
          <w:tblCellMar>
            <w:top w:w="15" w:type="dxa"/>
            <w:left w:w="15" w:type="dxa"/>
            <w:bottom w:w="15" w:type="dxa"/>
            <w:right w:w="15" w:type="dxa"/>
          </w:tblCellMar>
        </w:tblPrEx>
        <w:trPr>
          <w:trHeight w:val="482" w:hRule="atLeast"/>
          <w:tblHeader/>
        </w:trPr>
        <w:tc>
          <w:tcPr>
            <w:tcW w:w="475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项         目</w:t>
            </w:r>
          </w:p>
        </w:tc>
        <w:tc>
          <w:tcPr>
            <w:tcW w:w="412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 算 数</w:t>
            </w:r>
          </w:p>
        </w:tc>
      </w:tr>
      <w:tr>
        <w:tblPrEx>
          <w:tblCellMar>
            <w:top w:w="15" w:type="dxa"/>
            <w:left w:w="15" w:type="dxa"/>
            <w:bottom w:w="15" w:type="dxa"/>
            <w:right w:w="15" w:type="dxa"/>
          </w:tblCellMar>
        </w:tblPrEx>
        <w:trPr>
          <w:trHeight w:val="482" w:hRule="atLeast"/>
          <w:tblHeader/>
        </w:trPr>
        <w:tc>
          <w:tcPr>
            <w:tcW w:w="475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方正黑体_GBK" w:hAnsi="方正黑体_GBK" w:eastAsia="方正黑体_GBK" w:cs="方正黑体_GBK"/>
                <w:color w:val="000000"/>
                <w:sz w:val="28"/>
                <w:szCs w:val="28"/>
              </w:rPr>
            </w:pP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小计</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基本支出</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项目支出</w:t>
            </w:r>
          </w:p>
        </w:tc>
      </w:tr>
      <w:tr>
        <w:tblPrEx>
          <w:tblCellMar>
            <w:top w:w="15" w:type="dxa"/>
            <w:left w:w="15" w:type="dxa"/>
            <w:bottom w:w="15" w:type="dxa"/>
            <w:right w:w="15" w:type="dxa"/>
          </w:tblCellMar>
        </w:tblPrEx>
        <w:trPr>
          <w:trHeight w:val="480"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本级支出合计</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262532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94557 </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167975 </w:t>
            </w: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一般公共服务支出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31638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9048 </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22590 </w:t>
            </w: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外交支出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0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国防支出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0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公共安全支出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13340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9271 </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4069 </w:t>
            </w: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教育支出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41965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30443 </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11522 </w:t>
            </w: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科学技术支出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1334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334 </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文化旅游体育与传媒支出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2975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2038 </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937 </w:t>
            </w: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社会保障和就业支出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31550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16811 </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14739 </w:t>
            </w: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卫生健康支出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25812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8813 </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16999 </w:t>
            </w: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节能环保支出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5066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841 </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4225 </w:t>
            </w: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城乡社区支出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5341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3240 </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2101 </w:t>
            </w: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农林水支出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13745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2118 </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11627 </w:t>
            </w: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交通运输支出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37638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1975 </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35663 </w:t>
            </w: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资源勘探信息等支出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4441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1406 </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3035 </w:t>
            </w: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商业服务业等支出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881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552 </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329 </w:t>
            </w: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金融支出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0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援助其他地区支出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0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自然资源海洋气象等支出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2435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2081 </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354 </w:t>
            </w: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住房保障支出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9224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4632 </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4592 </w:t>
            </w: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粮油物资储备支出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0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灾害防治及应急管理支出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2757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954 </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1803 </w:t>
            </w: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预备费</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5000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5000 </w:t>
            </w: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其他支出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20477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20477 </w:t>
            </w: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债务付息支出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6911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6911 </w:t>
            </w:r>
          </w:p>
        </w:tc>
      </w:tr>
      <w:tr>
        <w:tblPrEx>
          <w:tblCellMar>
            <w:top w:w="15" w:type="dxa"/>
            <w:left w:w="15" w:type="dxa"/>
            <w:bottom w:w="15" w:type="dxa"/>
            <w:right w:w="15" w:type="dxa"/>
          </w:tblCellMar>
        </w:tblPrEx>
        <w:trPr>
          <w:trHeight w:val="435" w:hRule="atLeast"/>
        </w:trPr>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债务发行费用支出</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 </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 </w:t>
            </w:r>
          </w:p>
        </w:tc>
      </w:tr>
    </w:tbl>
    <w:p>
      <w:pPr>
        <w:spacing w:line="360" w:lineRule="exact"/>
        <w:ind w:firstLine="0"/>
        <w:rPr>
          <w:rFonts w:cs="方正仿宋_GBK"/>
          <w:color w:val="000000"/>
          <w:sz w:val="28"/>
          <w:szCs w:val="28"/>
        </w:rPr>
      </w:pPr>
      <w:r>
        <w:rPr>
          <w:rFonts w:hint="default" w:ascii="Times New Roman" w:hAnsi="Times New Roman"/>
          <w:color w:val="000000"/>
          <w:sz w:val="28"/>
          <w:szCs w:val="28"/>
        </w:rPr>
        <w:t>注</w:t>
      </w:r>
      <w:r>
        <w:rPr>
          <w:rFonts w:ascii="Times New Roman" w:hAnsi="Times New Roman"/>
          <w:color w:val="000000"/>
          <w:sz w:val="28"/>
          <w:szCs w:val="28"/>
        </w:rPr>
        <w:t>：</w:t>
      </w:r>
      <w:r>
        <w:rPr>
          <w:rFonts w:hint="default" w:ascii="Times New Roman" w:hAnsi="Times New Roman"/>
          <w:color w:val="000000"/>
          <w:spacing w:val="-6"/>
          <w:sz w:val="28"/>
          <w:szCs w:val="28"/>
        </w:rPr>
        <w:t>在功能分类的基础上，为衔接</w:t>
      </w:r>
      <w:r>
        <w:rPr>
          <w:rFonts w:ascii="Times New Roman" w:hAnsi="Times New Roman"/>
          <w:color w:val="000000"/>
          <w:spacing w:val="-6"/>
          <w:sz w:val="28"/>
          <w:szCs w:val="28"/>
        </w:rPr>
        <w:t>附件</w:t>
      </w:r>
      <w:r>
        <w:rPr>
          <w:rFonts w:hint="default" w:ascii="Times New Roman" w:hAnsi="Times New Roman"/>
          <w:color w:val="000000"/>
          <w:spacing w:val="-6"/>
          <w:sz w:val="28"/>
          <w:szCs w:val="28"/>
        </w:rPr>
        <w:t>1</w:t>
      </w:r>
      <w:r>
        <w:rPr>
          <w:rFonts w:ascii="Times New Roman" w:hAnsi="Times New Roman"/>
          <w:color w:val="000000"/>
          <w:spacing w:val="-6"/>
          <w:sz w:val="28"/>
          <w:szCs w:val="28"/>
        </w:rPr>
        <w:t>9</w:t>
      </w:r>
      <w:r>
        <w:rPr>
          <w:rFonts w:hint="default" w:ascii="Times New Roman" w:hAnsi="Times New Roman"/>
          <w:color w:val="000000"/>
          <w:spacing w:val="-6"/>
          <w:sz w:val="28"/>
          <w:szCs w:val="28"/>
        </w:rPr>
        <w:t>，将每类支出分为基本支出和项目</w:t>
      </w:r>
      <w:r>
        <w:rPr>
          <w:rFonts w:hint="default" w:ascii="Times New Roman" w:hAnsi="Times New Roman"/>
          <w:color w:val="000000"/>
          <w:sz w:val="28"/>
          <w:szCs w:val="28"/>
        </w:rPr>
        <w:t>支出。基本支出，是指部门、单位为保障其机构正常运转、完成日常工作任务所发生的支出，包括人员经费和公用经费；项目支出，是指部门、单位为完成特定的工作任务和事业发展目标在基本支出之外所发生的支出。</w:t>
      </w:r>
    </w:p>
    <w:p>
      <w:pPr>
        <w:spacing w:line="594" w:lineRule="exact"/>
        <w:jc w:val="center"/>
        <w:rPr>
          <w:rFonts w:ascii="方正小标宋_GBK" w:hAnsi="方正小标宋_GBK" w:eastAsia="方正小标宋_GBK" w:cs="方正小标宋_GBK"/>
          <w:color w:val="000000"/>
          <w:sz w:val="44"/>
          <w:szCs w:val="44"/>
        </w:rPr>
      </w:pPr>
    </w:p>
    <w:p>
      <w:pPr>
        <w:spacing w:line="594" w:lineRule="exact"/>
        <w:rPr>
          <w:rFonts w:hint="default" w:ascii="方正小标宋_GBK" w:hAnsi="方正小标宋_GBK" w:eastAsia="方正黑体_GBK" w:cs="方正小标宋_GBK"/>
          <w:color w:val="000000"/>
          <w:sz w:val="44"/>
          <w:szCs w:val="44"/>
          <w:lang w:val="en-US" w:eastAsia="zh-CN"/>
        </w:rPr>
      </w:pPr>
      <w:r>
        <w:rPr>
          <w:rFonts w:hint="default" w:ascii="方正小标宋_GBK" w:hAnsi="方正小标宋_GBK" w:eastAsia="方正小标宋_GBK" w:cs="方正小标宋_GBK"/>
          <w:color w:val="000000"/>
          <w:sz w:val="44"/>
          <w:szCs w:val="44"/>
        </w:rPr>
        <w:br w:type="page"/>
      </w:r>
      <w:r>
        <w:rPr>
          <w:rFonts w:ascii="方正黑体_GBK" w:hAnsi="方正黑体_GBK" w:eastAsia="方正黑体_GBK" w:cs="方正黑体_GBK"/>
          <w:color w:val="000000"/>
          <w:szCs w:val="32"/>
        </w:rPr>
        <w:t>附件</w:t>
      </w:r>
      <w:r>
        <w:rPr>
          <w:rFonts w:hint="eastAsia" w:ascii="方正黑体_GBK" w:hAnsi="方正黑体_GBK" w:eastAsia="方正黑体_GBK" w:cs="方正黑体_GBK"/>
          <w:color w:val="000000"/>
          <w:szCs w:val="32"/>
          <w:lang w:val="en-US" w:eastAsia="zh-CN"/>
        </w:rPr>
        <w:t>22</w:t>
      </w:r>
    </w:p>
    <w:p>
      <w:pPr>
        <w:spacing w:line="594" w:lineRule="exact"/>
        <w:jc w:val="center"/>
        <w:rPr>
          <w:rFonts w:ascii="方正小标宋_GBK" w:hAnsi="方正小标宋_GBK" w:eastAsia="方正小标宋_GBK" w:cs="方正小标宋_GBK"/>
          <w:color w:val="000000"/>
          <w:spacing w:val="-20"/>
          <w:sz w:val="44"/>
          <w:szCs w:val="44"/>
        </w:rPr>
      </w:pPr>
      <w:r>
        <w:rPr>
          <w:rFonts w:ascii="方正小标宋_GBK" w:hAnsi="方正小标宋_GBK" w:eastAsia="方正小标宋_GBK" w:cs="方正小标宋_GBK"/>
          <w:color w:val="000000"/>
          <w:spacing w:val="-20"/>
          <w:sz w:val="44"/>
          <w:szCs w:val="44"/>
        </w:rPr>
        <w:t>2019年区级一般公共预算本级基本支出预算表</w:t>
      </w:r>
    </w:p>
    <w:p>
      <w:pPr>
        <w:spacing w:line="594" w:lineRule="exact"/>
        <w:jc w:val="center"/>
        <w:rPr>
          <w:rFonts w:ascii="方正小标宋_GBK" w:hAnsi="方正小标宋_GBK" w:eastAsia="方正小标宋_GBK" w:cs="方正小标宋_GBK"/>
          <w:color w:val="000000"/>
          <w:sz w:val="44"/>
          <w:szCs w:val="44"/>
        </w:rPr>
      </w:pPr>
      <w:r>
        <w:rPr>
          <w:rFonts w:ascii="方正楷体_GBK" w:hAnsi="方正楷体_GBK" w:eastAsia="方正楷体_GBK" w:cs="方正楷体_GBK"/>
          <w:color w:val="000000"/>
          <w:szCs w:val="32"/>
        </w:rPr>
        <w:t>（按经济分类科目）</w:t>
      </w:r>
    </w:p>
    <w:p>
      <w:pPr>
        <w:spacing w:line="594" w:lineRule="exact"/>
        <w:jc w:val="right"/>
        <w:rPr>
          <w:rFonts w:cs="方正仿宋_GBK"/>
          <w:color w:val="000000"/>
          <w:szCs w:val="32"/>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5928"/>
        <w:gridCol w:w="2946"/>
      </w:tblGrid>
      <w:tr>
        <w:tblPrEx>
          <w:tblCellMar>
            <w:top w:w="15" w:type="dxa"/>
            <w:left w:w="15" w:type="dxa"/>
            <w:bottom w:w="15" w:type="dxa"/>
            <w:right w:w="15" w:type="dxa"/>
          </w:tblCellMar>
        </w:tblPrEx>
        <w:trPr>
          <w:trHeight w:val="482" w:hRule="atLeast"/>
          <w:tblHeader/>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           支       出</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r>
      <w:tr>
        <w:tblPrEx>
          <w:tblCellMar>
            <w:top w:w="15" w:type="dxa"/>
            <w:left w:w="15" w:type="dxa"/>
            <w:bottom w:w="15" w:type="dxa"/>
            <w:right w:w="15" w:type="dxa"/>
          </w:tblCellMar>
        </w:tblPrEx>
        <w:trPr>
          <w:trHeight w:val="482" w:hRule="atLeast"/>
          <w:tblHeader/>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本级基本支出合计</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94557 </w:t>
            </w:r>
          </w:p>
        </w:tc>
      </w:tr>
      <w:tr>
        <w:tblPrEx>
          <w:tblCellMar>
            <w:top w:w="15" w:type="dxa"/>
            <w:left w:w="15" w:type="dxa"/>
            <w:bottom w:w="15" w:type="dxa"/>
            <w:right w:w="15" w:type="dxa"/>
          </w:tblCellMar>
        </w:tblPrEx>
        <w:trPr>
          <w:trHeight w:val="28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一、机关工资福利支出</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24596 </w:t>
            </w:r>
          </w:p>
        </w:tc>
      </w:tr>
      <w:tr>
        <w:tblPrEx>
          <w:tblCellMar>
            <w:top w:w="15" w:type="dxa"/>
            <w:left w:w="15" w:type="dxa"/>
            <w:bottom w:w="15" w:type="dxa"/>
            <w:right w:w="15" w:type="dxa"/>
          </w:tblCellMar>
        </w:tblPrEx>
        <w:trPr>
          <w:trHeight w:val="43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工资津补贴</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12028 </w:t>
            </w:r>
          </w:p>
        </w:tc>
      </w:tr>
      <w:tr>
        <w:tblPrEx>
          <w:tblCellMar>
            <w:top w:w="15" w:type="dxa"/>
            <w:left w:w="15" w:type="dxa"/>
            <w:bottom w:w="15" w:type="dxa"/>
            <w:right w:w="15" w:type="dxa"/>
          </w:tblCellMar>
        </w:tblPrEx>
        <w:trPr>
          <w:trHeight w:val="43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社会保障缴费</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6005 </w:t>
            </w:r>
          </w:p>
        </w:tc>
      </w:tr>
      <w:tr>
        <w:tblPrEx>
          <w:tblCellMar>
            <w:top w:w="15" w:type="dxa"/>
            <w:left w:w="15" w:type="dxa"/>
            <w:bottom w:w="15" w:type="dxa"/>
            <w:right w:w="15" w:type="dxa"/>
          </w:tblCellMar>
        </w:tblPrEx>
        <w:trPr>
          <w:trHeight w:val="43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住房公积金</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1767 </w:t>
            </w:r>
          </w:p>
        </w:tc>
      </w:tr>
      <w:tr>
        <w:tblPrEx>
          <w:tblCellMar>
            <w:top w:w="15" w:type="dxa"/>
            <w:left w:w="15" w:type="dxa"/>
            <w:bottom w:w="15" w:type="dxa"/>
            <w:right w:w="15" w:type="dxa"/>
          </w:tblCellMar>
        </w:tblPrEx>
        <w:trPr>
          <w:trHeight w:val="43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其他工资福利支出</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4796 </w:t>
            </w:r>
          </w:p>
        </w:tc>
      </w:tr>
      <w:tr>
        <w:tblPrEx>
          <w:tblCellMar>
            <w:top w:w="15" w:type="dxa"/>
            <w:left w:w="15" w:type="dxa"/>
            <w:bottom w:w="15" w:type="dxa"/>
            <w:right w:w="15" w:type="dxa"/>
          </w:tblCellMar>
        </w:tblPrEx>
        <w:trPr>
          <w:trHeight w:val="43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二、机关商品和服务支出</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8384 </w:t>
            </w:r>
          </w:p>
        </w:tc>
      </w:tr>
      <w:tr>
        <w:tblPrEx>
          <w:tblCellMar>
            <w:top w:w="15" w:type="dxa"/>
            <w:left w:w="15" w:type="dxa"/>
            <w:bottom w:w="15" w:type="dxa"/>
            <w:right w:w="15" w:type="dxa"/>
          </w:tblCellMar>
        </w:tblPrEx>
        <w:trPr>
          <w:trHeight w:val="43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办公经费</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5994 </w:t>
            </w:r>
          </w:p>
        </w:tc>
      </w:tr>
      <w:tr>
        <w:tblPrEx>
          <w:tblCellMar>
            <w:top w:w="15" w:type="dxa"/>
            <w:left w:w="15" w:type="dxa"/>
            <w:bottom w:w="15" w:type="dxa"/>
            <w:right w:w="15" w:type="dxa"/>
          </w:tblCellMar>
        </w:tblPrEx>
        <w:trPr>
          <w:trHeight w:val="43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会议费</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49 </w:t>
            </w:r>
          </w:p>
        </w:tc>
      </w:tr>
      <w:tr>
        <w:tblPrEx>
          <w:tblCellMar>
            <w:top w:w="15" w:type="dxa"/>
            <w:left w:w="15" w:type="dxa"/>
            <w:bottom w:w="15" w:type="dxa"/>
            <w:right w:w="15" w:type="dxa"/>
          </w:tblCellMar>
        </w:tblPrEx>
        <w:trPr>
          <w:trHeight w:val="43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培训费</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255 </w:t>
            </w:r>
          </w:p>
        </w:tc>
      </w:tr>
      <w:tr>
        <w:tblPrEx>
          <w:tblCellMar>
            <w:top w:w="15" w:type="dxa"/>
            <w:left w:w="15" w:type="dxa"/>
            <w:bottom w:w="15" w:type="dxa"/>
            <w:right w:w="15" w:type="dxa"/>
          </w:tblCellMar>
        </w:tblPrEx>
        <w:trPr>
          <w:trHeight w:val="43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专用材料购置费</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3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委托业务费</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222 </w:t>
            </w:r>
          </w:p>
        </w:tc>
      </w:tr>
      <w:tr>
        <w:tblPrEx>
          <w:tblCellMar>
            <w:top w:w="15" w:type="dxa"/>
            <w:left w:w="15" w:type="dxa"/>
            <w:bottom w:w="15" w:type="dxa"/>
            <w:right w:w="15" w:type="dxa"/>
          </w:tblCellMar>
        </w:tblPrEx>
        <w:trPr>
          <w:trHeight w:val="43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公务接待费</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136 </w:t>
            </w:r>
          </w:p>
        </w:tc>
      </w:tr>
      <w:tr>
        <w:tblPrEx>
          <w:tblCellMar>
            <w:top w:w="15" w:type="dxa"/>
            <w:left w:w="15" w:type="dxa"/>
            <w:bottom w:w="15" w:type="dxa"/>
            <w:right w:w="15" w:type="dxa"/>
          </w:tblCellMar>
        </w:tblPrEx>
        <w:trPr>
          <w:trHeight w:val="43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因公出国（境）费用</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 </w:t>
            </w:r>
          </w:p>
        </w:tc>
      </w:tr>
      <w:tr>
        <w:tblPrEx>
          <w:tblCellMar>
            <w:top w:w="15" w:type="dxa"/>
            <w:left w:w="15" w:type="dxa"/>
            <w:bottom w:w="15" w:type="dxa"/>
            <w:right w:w="15" w:type="dxa"/>
          </w:tblCellMar>
        </w:tblPrEx>
        <w:trPr>
          <w:trHeight w:val="43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公务用车运行维护费</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1189 </w:t>
            </w:r>
          </w:p>
        </w:tc>
      </w:tr>
      <w:tr>
        <w:tblPrEx>
          <w:tblCellMar>
            <w:top w:w="15" w:type="dxa"/>
            <w:left w:w="15" w:type="dxa"/>
            <w:bottom w:w="15" w:type="dxa"/>
            <w:right w:w="15" w:type="dxa"/>
          </w:tblCellMar>
        </w:tblPrEx>
        <w:trPr>
          <w:trHeight w:val="43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维修（护）费</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209 </w:t>
            </w:r>
          </w:p>
        </w:tc>
      </w:tr>
      <w:tr>
        <w:tblPrEx>
          <w:tblCellMar>
            <w:top w:w="15" w:type="dxa"/>
            <w:left w:w="15" w:type="dxa"/>
            <w:bottom w:w="15" w:type="dxa"/>
            <w:right w:w="15" w:type="dxa"/>
          </w:tblCellMar>
        </w:tblPrEx>
        <w:trPr>
          <w:trHeight w:val="43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其他商品和服务支出</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329 </w:t>
            </w:r>
          </w:p>
        </w:tc>
      </w:tr>
      <w:tr>
        <w:tblPrEx>
          <w:tblCellMar>
            <w:top w:w="15" w:type="dxa"/>
            <w:left w:w="15" w:type="dxa"/>
            <w:bottom w:w="15" w:type="dxa"/>
            <w:right w:w="15" w:type="dxa"/>
          </w:tblCellMar>
        </w:tblPrEx>
        <w:trPr>
          <w:trHeight w:val="43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三、对事业单位经常性补助</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58121 </w:t>
            </w:r>
          </w:p>
        </w:tc>
      </w:tr>
      <w:tr>
        <w:tblPrEx>
          <w:tblCellMar>
            <w:top w:w="15" w:type="dxa"/>
            <w:left w:w="15" w:type="dxa"/>
            <w:bottom w:w="15" w:type="dxa"/>
            <w:right w:w="15" w:type="dxa"/>
          </w:tblCellMar>
        </w:tblPrEx>
        <w:trPr>
          <w:trHeight w:val="43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工资福利支出</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52087 </w:t>
            </w:r>
          </w:p>
        </w:tc>
      </w:tr>
      <w:tr>
        <w:tblPrEx>
          <w:tblCellMar>
            <w:top w:w="15" w:type="dxa"/>
            <w:left w:w="15" w:type="dxa"/>
            <w:bottom w:w="15" w:type="dxa"/>
            <w:right w:w="15" w:type="dxa"/>
          </w:tblCellMar>
        </w:tblPrEx>
        <w:trPr>
          <w:trHeight w:val="43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商品和服务支出</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6034 </w:t>
            </w:r>
          </w:p>
        </w:tc>
      </w:tr>
      <w:tr>
        <w:tblPrEx>
          <w:tblCellMar>
            <w:top w:w="15" w:type="dxa"/>
            <w:left w:w="15" w:type="dxa"/>
            <w:bottom w:w="15" w:type="dxa"/>
            <w:right w:w="15" w:type="dxa"/>
          </w:tblCellMar>
        </w:tblPrEx>
        <w:trPr>
          <w:trHeight w:val="43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四、对个人和家庭的补助</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3456 </w:t>
            </w:r>
          </w:p>
        </w:tc>
      </w:tr>
      <w:tr>
        <w:tblPrEx>
          <w:tblCellMar>
            <w:top w:w="15" w:type="dxa"/>
            <w:left w:w="15" w:type="dxa"/>
            <w:bottom w:w="15" w:type="dxa"/>
            <w:right w:w="15" w:type="dxa"/>
          </w:tblCellMar>
        </w:tblPrEx>
        <w:trPr>
          <w:trHeight w:val="43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社会福利和救助</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200 </w:t>
            </w:r>
          </w:p>
        </w:tc>
      </w:tr>
      <w:tr>
        <w:tblPrEx>
          <w:tblCellMar>
            <w:top w:w="15" w:type="dxa"/>
            <w:left w:w="15" w:type="dxa"/>
            <w:bottom w:w="15" w:type="dxa"/>
            <w:right w:w="15" w:type="dxa"/>
          </w:tblCellMar>
        </w:tblPrEx>
        <w:trPr>
          <w:trHeight w:val="43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离退休费</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239 </w:t>
            </w:r>
          </w:p>
        </w:tc>
      </w:tr>
      <w:tr>
        <w:tblPrEx>
          <w:tblCellMar>
            <w:top w:w="15" w:type="dxa"/>
            <w:left w:w="15" w:type="dxa"/>
            <w:bottom w:w="15" w:type="dxa"/>
            <w:right w:w="15" w:type="dxa"/>
          </w:tblCellMar>
        </w:tblPrEx>
        <w:trPr>
          <w:trHeight w:val="435" w:hRule="atLeast"/>
        </w:trPr>
        <w:tc>
          <w:tcPr>
            <w:tcW w:w="5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其他对个人和家庭补助</w:t>
            </w:r>
          </w:p>
        </w:tc>
        <w:tc>
          <w:tcPr>
            <w:tcW w:w="2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3017 </w:t>
            </w:r>
          </w:p>
        </w:tc>
      </w:tr>
    </w:tbl>
    <w:p>
      <w:pPr>
        <w:spacing w:line="360" w:lineRule="exact"/>
        <w:jc w:val="left"/>
        <w:rPr>
          <w:rFonts w:hint="default" w:ascii="Times New Roman" w:hAnsi="Times New Roman"/>
          <w:color w:val="000000"/>
          <w:sz w:val="28"/>
          <w:szCs w:val="28"/>
        </w:rPr>
      </w:pPr>
      <w:r>
        <w:rPr>
          <w:rFonts w:hint="default" w:ascii="Times New Roman" w:hAnsi="Times New Roman"/>
          <w:color w:val="000000"/>
          <w:sz w:val="28"/>
          <w:szCs w:val="28"/>
        </w:rPr>
        <w:t>注：1.本表按照新的“政府预算支出经济分类科目”将市本级基本支出细化到款级科目。</w:t>
      </w:r>
    </w:p>
    <w:p>
      <w:pPr>
        <w:spacing w:line="360" w:lineRule="exact"/>
        <w:jc w:val="left"/>
        <w:rPr>
          <w:rFonts w:hint="default" w:ascii="Times New Roman" w:hAnsi="Times New Roman" w:eastAsia="方正小标宋_GBK"/>
          <w:color w:val="000000"/>
          <w:sz w:val="44"/>
          <w:szCs w:val="44"/>
        </w:rPr>
      </w:pPr>
      <w:r>
        <w:rPr>
          <w:rFonts w:ascii="Times New Roman" w:hAnsi="Times New Roman"/>
          <w:color w:val="000000"/>
          <w:sz w:val="28"/>
          <w:szCs w:val="28"/>
        </w:rPr>
        <w:t xml:space="preserve">   </w:t>
      </w:r>
      <w:r>
        <w:rPr>
          <w:rFonts w:hint="default" w:ascii="Times New Roman" w:hAnsi="Times New Roman"/>
          <w:color w:val="000000"/>
          <w:sz w:val="28"/>
          <w:szCs w:val="28"/>
        </w:rPr>
        <w:t>2.本表的本级基本支出合计数与</w:t>
      </w:r>
      <w:r>
        <w:rPr>
          <w:rFonts w:ascii="Times New Roman" w:hAnsi="Times New Roman"/>
          <w:color w:val="000000"/>
          <w:sz w:val="28"/>
          <w:szCs w:val="28"/>
        </w:rPr>
        <w:t>附件</w:t>
      </w:r>
      <w:r>
        <w:rPr>
          <w:rFonts w:hint="default" w:ascii="Times New Roman" w:hAnsi="Times New Roman"/>
          <w:color w:val="000000"/>
          <w:sz w:val="28"/>
          <w:szCs w:val="28"/>
        </w:rPr>
        <w:t>1</w:t>
      </w:r>
      <w:r>
        <w:rPr>
          <w:rFonts w:ascii="Times New Roman" w:hAnsi="Times New Roman"/>
          <w:color w:val="000000"/>
          <w:sz w:val="28"/>
          <w:szCs w:val="28"/>
        </w:rPr>
        <w:t>8</w:t>
      </w:r>
      <w:r>
        <w:rPr>
          <w:rFonts w:hint="default" w:ascii="Times New Roman" w:hAnsi="Times New Roman"/>
          <w:color w:val="000000"/>
          <w:sz w:val="28"/>
          <w:szCs w:val="28"/>
        </w:rPr>
        <w:t>的本级基本支出合计数等</w:t>
      </w:r>
      <w:r>
        <w:rPr>
          <w:rFonts w:hint="default" w:ascii="Times New Roman" w:hAnsi="Times New Roman" w:eastAsia="方正小标宋_GBK"/>
          <w:color w:val="000000"/>
          <w:sz w:val="44"/>
          <w:szCs w:val="44"/>
        </w:rPr>
        <w:t>。</w:t>
      </w:r>
    </w:p>
    <w:p>
      <w:pPr>
        <w:spacing w:line="594" w:lineRule="exact"/>
        <w:jc w:val="center"/>
        <w:rPr>
          <w:rFonts w:ascii="方正小标宋_GBK" w:hAnsi="方正小标宋_GBK" w:eastAsia="方正小标宋_GBK" w:cs="方正小标宋_GBK"/>
          <w:color w:val="000000"/>
          <w:sz w:val="44"/>
          <w:szCs w:val="44"/>
        </w:rPr>
      </w:pPr>
    </w:p>
    <w:p>
      <w:pPr>
        <w:spacing w:line="594" w:lineRule="exact"/>
        <w:jc w:val="center"/>
        <w:rPr>
          <w:rFonts w:ascii="方正小标宋_GBK" w:hAnsi="方正小标宋_GBK" w:eastAsia="方正小标宋_GBK" w:cs="方正小标宋_GBK"/>
          <w:color w:val="000000"/>
          <w:sz w:val="44"/>
          <w:szCs w:val="44"/>
        </w:rPr>
      </w:pPr>
    </w:p>
    <w:p>
      <w:pPr>
        <w:spacing w:line="594" w:lineRule="exact"/>
        <w:rPr>
          <w:rFonts w:hint="eastAsia" w:ascii="方正小标宋_GBK" w:hAnsi="方正小标宋_GBK" w:eastAsia="方正黑体_GBK" w:cs="方正小标宋_GBK"/>
          <w:color w:val="000000"/>
          <w:sz w:val="44"/>
          <w:szCs w:val="44"/>
          <w:lang w:eastAsia="zh-CN"/>
        </w:rPr>
      </w:pPr>
      <w:r>
        <w:rPr>
          <w:rFonts w:hint="default" w:ascii="方正小标宋_GBK" w:hAnsi="方正小标宋_GBK" w:eastAsia="方正小标宋_GBK" w:cs="方正小标宋_GBK"/>
          <w:color w:val="000000"/>
          <w:sz w:val="44"/>
          <w:szCs w:val="44"/>
        </w:rPr>
        <w:br w:type="page"/>
      </w:r>
      <w:r>
        <w:rPr>
          <w:rFonts w:ascii="方正黑体_GBK" w:hAnsi="方正黑体_GBK" w:eastAsia="方正黑体_GBK" w:cs="方正黑体_GBK"/>
          <w:color w:val="000000"/>
          <w:szCs w:val="32"/>
        </w:rPr>
        <w:t>附件2</w:t>
      </w:r>
      <w:r>
        <w:rPr>
          <w:rFonts w:hint="eastAsia" w:ascii="方正黑体_GBK" w:hAnsi="方正黑体_GBK" w:eastAsia="方正黑体_GBK" w:cs="方正黑体_GBK"/>
          <w:color w:val="000000"/>
          <w:szCs w:val="32"/>
          <w:lang w:val="en-US" w:eastAsia="zh-CN"/>
        </w:rPr>
        <w:t>3</w:t>
      </w:r>
    </w:p>
    <w:p>
      <w:pPr>
        <w:spacing w:line="594" w:lineRule="exact"/>
        <w:jc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pacing w:val="-6"/>
          <w:sz w:val="44"/>
          <w:szCs w:val="44"/>
        </w:rPr>
        <w:t>2019年区级一般公共预算转移性收支预算表</w:t>
      </w:r>
      <w:r>
        <w:rPr>
          <w:rFonts w:ascii="方正小标宋_GBK" w:hAnsi="方正小标宋_GBK" w:eastAsia="方正小标宋_GBK" w:cs="方正小标宋_GBK"/>
          <w:color w:val="000000"/>
          <w:sz w:val="44"/>
          <w:szCs w:val="44"/>
        </w:rPr>
        <w:t xml:space="preserve"> </w:t>
      </w:r>
    </w:p>
    <w:p>
      <w:pPr>
        <w:spacing w:line="594" w:lineRule="exact"/>
        <w:jc w:val="right"/>
        <w:rPr>
          <w:rFonts w:ascii="方正小标宋_GBK" w:hAnsi="方正小标宋_GBK" w:eastAsia="方正小标宋_GBK" w:cs="方正小标宋_GBK"/>
          <w:color w:val="000000"/>
          <w:sz w:val="44"/>
          <w:szCs w:val="44"/>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3491"/>
        <w:gridCol w:w="957"/>
        <w:gridCol w:w="3436"/>
        <w:gridCol w:w="990"/>
      </w:tblGrid>
      <w:tr>
        <w:tblPrEx>
          <w:tblCellMar>
            <w:top w:w="15" w:type="dxa"/>
            <w:left w:w="15" w:type="dxa"/>
            <w:bottom w:w="15" w:type="dxa"/>
            <w:right w:w="15" w:type="dxa"/>
          </w:tblCellMar>
        </w:tblPrEx>
        <w:trPr>
          <w:trHeight w:val="482" w:hRule="atLeast"/>
          <w:tblHeader/>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收        入</w:t>
            </w:r>
          </w:p>
        </w:tc>
        <w:tc>
          <w:tcPr>
            <w:tcW w:w="957"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支        出</w:t>
            </w:r>
          </w:p>
        </w:tc>
        <w:tc>
          <w:tcPr>
            <w:tcW w:w="990"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r>
      <w:tr>
        <w:tblPrEx>
          <w:tblCellMar>
            <w:top w:w="15" w:type="dxa"/>
            <w:left w:w="15" w:type="dxa"/>
            <w:bottom w:w="15" w:type="dxa"/>
            <w:right w:w="15" w:type="dxa"/>
          </w:tblCellMar>
        </w:tblPrEx>
        <w:trPr>
          <w:trHeight w:val="48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转移性收入合计</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199791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转移性支出合计</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24338 </w:t>
            </w: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一、上级补助收入</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146437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一、上解上级支出</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8823 </w:t>
            </w: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（一）一般性转移支付收入</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76437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（一）体制上解</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8823 </w:t>
            </w: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增值税和消费税税收返还 </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1330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（二）专项上解</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635"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所得税基数返还</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1128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二、补助镇街支出</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15515 </w:t>
            </w: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增值税五五分享税收返还收入</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3979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（一）一般性转移支付支出</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15515 </w:t>
            </w: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体制补助</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728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增值税和消费税税收返还 </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均衡性转移支付</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17177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所得税基数返还</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县级基本财力保障机制奖补资金</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5956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体制补助</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13674 </w:t>
            </w: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结算补助</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2308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均衡性转移支付 </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资源枯竭型城市转移支付补助</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9280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民族地区转移支付</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基层公检法司转移支付</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1109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革命老区转移支付</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城乡义务教育转移支付</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423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财政扶贫资金</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城乡居民基本医疗保险转移支付收入</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8433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县级基本财力保障机制奖补资金 </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农村综合改革转移支付</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1200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结算补助 </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1841 </w:t>
            </w: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重点生态功能区转移支付</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2557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资源枯竭型城市转移支付补助 </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固定数额补助</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5838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农村综合改革转移支付 </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贫困地区转移支付</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680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产粮（油）大县奖励资金 </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教育共同财政事权转移支付收入</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2651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重点生态功能区转移支付</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住房保障共同财政事权转移支付收入</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88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固定数额补助 </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其他一般性转移支付</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11572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公共安全</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（二）专项转移支付收入</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70000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教育</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一般公共服务</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99 </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医疗卫生与计划生育</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国防</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其他一般性转移支付</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公共安全</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（二）专项转移支付支出</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0 </w:t>
            </w: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教育</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2527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一般公共服务</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科学技术</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500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国防</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文化旅游体育与传媒</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300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教育</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社会保障和就业</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2784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科技</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卫生健康</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2159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文化体育与传媒</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节能环保</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1572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社会保障和就业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城乡社区</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20" w:lineRule="exact"/>
              <w:jc w:val="right"/>
              <w:rPr>
                <w:rFonts w:hint="default" w:ascii="Times New Roman" w:hAnsi="Times New Roman"/>
                <w:color w:val="000000"/>
                <w:sz w:val="28"/>
                <w:szCs w:val="28"/>
              </w:rPr>
            </w:pP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医疗卫生与计划生育</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农林水</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9035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节能环保</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交通运输</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33428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城乡社区</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资源勘探信息等</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2927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农林水</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商业服务业等</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49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交通运输</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自然资源海洋气象等</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资源勘探信息等</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住房保障</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4504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商业服务业等</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其他收入</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10116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国土海洋气象等</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二、镇街上解收入</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住房保障</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三、调入预算稳定调节基金</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161 </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三、地方政府一般债务转贷支出</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26000 </w:t>
            </w:r>
          </w:p>
        </w:tc>
      </w:tr>
      <w:tr>
        <w:tblPrEx>
          <w:tblCellMar>
            <w:top w:w="15" w:type="dxa"/>
            <w:left w:w="15" w:type="dxa"/>
            <w:bottom w:w="15" w:type="dxa"/>
            <w:right w:w="15" w:type="dxa"/>
          </w:tblCellMar>
        </w:tblPrEx>
        <w:trPr>
          <w:trHeight w:val="39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四、地方政府一般债务转贷收入</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26000 </w:t>
            </w:r>
          </w:p>
        </w:tc>
        <w:tc>
          <w:tcPr>
            <w:tcW w:w="3436"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rPr>
                <w:rFonts w:hint="default" w:ascii="Times New Roman" w:hAnsi="Times New Roman"/>
                <w:color w:val="000000"/>
                <w:sz w:val="28"/>
                <w:szCs w:val="28"/>
              </w:rPr>
            </w:pPr>
          </w:p>
        </w:tc>
        <w:tc>
          <w:tcPr>
            <w:tcW w:w="990"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9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五、调入资金</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10000 </w:t>
            </w:r>
          </w:p>
        </w:tc>
        <w:tc>
          <w:tcPr>
            <w:tcW w:w="3436"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rPr>
                <w:rFonts w:hint="default" w:ascii="Times New Roman" w:hAnsi="Times New Roman"/>
                <w:color w:val="000000"/>
                <w:sz w:val="28"/>
                <w:szCs w:val="28"/>
              </w:rPr>
            </w:pPr>
          </w:p>
        </w:tc>
        <w:tc>
          <w:tcPr>
            <w:tcW w:w="990"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90" w:hRule="atLeast"/>
        </w:trPr>
        <w:tc>
          <w:tcPr>
            <w:tcW w:w="34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六、上年结转</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17133 </w:t>
            </w:r>
          </w:p>
        </w:tc>
        <w:tc>
          <w:tcPr>
            <w:tcW w:w="3436"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rPr>
                <w:rFonts w:hint="default" w:ascii="Times New Roman" w:hAnsi="Times New Roman"/>
                <w:color w:val="000000"/>
                <w:sz w:val="28"/>
                <w:szCs w:val="28"/>
              </w:rPr>
            </w:pPr>
          </w:p>
        </w:tc>
        <w:tc>
          <w:tcPr>
            <w:tcW w:w="990"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rPr>
                <w:rFonts w:hint="default" w:ascii="Times New Roman" w:hAnsi="Times New Roman"/>
                <w:color w:val="000000"/>
                <w:sz w:val="28"/>
                <w:szCs w:val="28"/>
              </w:rPr>
            </w:pPr>
          </w:p>
        </w:tc>
      </w:tr>
    </w:tbl>
    <w:p>
      <w:pPr>
        <w:spacing w:line="360" w:lineRule="exact"/>
        <w:jc w:val="left"/>
        <w:rPr>
          <w:rFonts w:cs="方正仿宋_GBK"/>
          <w:color w:val="000000"/>
          <w:sz w:val="28"/>
          <w:szCs w:val="28"/>
        </w:rPr>
      </w:pPr>
      <w:r>
        <w:rPr>
          <w:rFonts w:cs="方正仿宋_GBK"/>
          <w:color w:val="000000"/>
          <w:sz w:val="28"/>
          <w:szCs w:val="28"/>
        </w:rPr>
        <w:t>注：本表详细反映</w:t>
      </w:r>
      <w:r>
        <w:rPr>
          <w:rFonts w:hint="default" w:ascii="Times New Roman" w:hAnsi="Times New Roman"/>
          <w:color w:val="000000"/>
          <w:sz w:val="28"/>
          <w:szCs w:val="28"/>
        </w:rPr>
        <w:t>2019年</w:t>
      </w:r>
      <w:r>
        <w:rPr>
          <w:rFonts w:cs="方正仿宋_GBK"/>
          <w:color w:val="000000"/>
          <w:sz w:val="28"/>
          <w:szCs w:val="28"/>
        </w:rPr>
        <w:t>一般公共预算转移支付收入和转移支付支出情况。</w:t>
      </w:r>
    </w:p>
    <w:p>
      <w:pPr>
        <w:spacing w:line="594" w:lineRule="exact"/>
        <w:jc w:val="center"/>
        <w:rPr>
          <w:rFonts w:ascii="方正小标宋_GBK" w:hAnsi="方正小标宋_GBK" w:eastAsia="方正小标宋_GBK" w:cs="方正小标宋_GBK"/>
          <w:color w:val="000000"/>
          <w:sz w:val="44"/>
          <w:szCs w:val="44"/>
        </w:rPr>
      </w:pPr>
    </w:p>
    <w:p>
      <w:pPr>
        <w:spacing w:line="594" w:lineRule="exact"/>
        <w:rPr>
          <w:rFonts w:hint="eastAsia" w:ascii="方正小标宋_GBK" w:hAnsi="方正小标宋_GBK" w:eastAsia="方正黑体_GBK" w:cs="方正小标宋_GBK"/>
          <w:color w:val="000000"/>
          <w:sz w:val="44"/>
          <w:szCs w:val="44"/>
          <w:lang w:eastAsia="zh-CN"/>
        </w:rPr>
      </w:pPr>
      <w:r>
        <w:rPr>
          <w:rFonts w:hint="default" w:ascii="方正小标宋_GBK" w:hAnsi="方正小标宋_GBK" w:eastAsia="方正小标宋_GBK" w:cs="方正小标宋_GBK"/>
          <w:color w:val="000000"/>
          <w:sz w:val="44"/>
          <w:szCs w:val="44"/>
        </w:rPr>
        <w:br w:type="page"/>
      </w:r>
      <w:r>
        <w:rPr>
          <w:rFonts w:ascii="方正黑体_GBK" w:hAnsi="方正黑体_GBK" w:eastAsia="方正黑体_GBK" w:cs="方正黑体_GBK"/>
          <w:color w:val="000000"/>
          <w:szCs w:val="32"/>
        </w:rPr>
        <w:t>附件2</w:t>
      </w:r>
      <w:r>
        <w:rPr>
          <w:rFonts w:hint="eastAsia" w:ascii="方正黑体_GBK" w:hAnsi="方正黑体_GBK" w:eastAsia="方正黑体_GBK" w:cs="方正黑体_GBK"/>
          <w:color w:val="000000"/>
          <w:szCs w:val="32"/>
          <w:lang w:val="en-US" w:eastAsia="zh-CN"/>
        </w:rPr>
        <w:t>4</w:t>
      </w:r>
    </w:p>
    <w:p>
      <w:pPr>
        <w:spacing w:line="594" w:lineRule="exact"/>
        <w:jc w:val="center"/>
        <w:rPr>
          <w:rFonts w:ascii="方正小标宋_GBK" w:hAnsi="方正小标宋_GBK" w:eastAsia="方正小标宋_GBK" w:cs="方正小标宋_GBK"/>
          <w:color w:val="000000"/>
          <w:spacing w:val="-6"/>
          <w:sz w:val="44"/>
          <w:szCs w:val="44"/>
        </w:rPr>
      </w:pPr>
      <w:r>
        <w:rPr>
          <w:rFonts w:ascii="方正小标宋_GBK" w:hAnsi="方正小标宋_GBK" w:eastAsia="方正小标宋_GBK" w:cs="方正小标宋_GBK"/>
          <w:color w:val="000000"/>
          <w:spacing w:val="-6"/>
          <w:sz w:val="44"/>
          <w:szCs w:val="44"/>
        </w:rPr>
        <w:t>2019年区级一般公共预算转移性收支预算表</w:t>
      </w:r>
    </w:p>
    <w:p>
      <w:pPr>
        <w:spacing w:line="594" w:lineRule="exact"/>
        <w:jc w:val="center"/>
        <w:rPr>
          <w:rFonts w:ascii="方正小标宋_GBK" w:hAnsi="方正小标宋_GBK" w:eastAsia="方正小标宋_GBK" w:cs="方正小标宋_GBK"/>
          <w:color w:val="000000"/>
          <w:sz w:val="44"/>
          <w:szCs w:val="44"/>
        </w:rPr>
      </w:pPr>
      <w:r>
        <w:rPr>
          <w:rFonts w:ascii="方正楷体_GBK" w:hAnsi="方正楷体_GBK" w:eastAsia="方正楷体_GBK" w:cs="方正楷体_GBK"/>
          <w:color w:val="000000"/>
          <w:sz w:val="32"/>
          <w:szCs w:val="32"/>
        </w:rPr>
        <w:t>（分地区）</w:t>
      </w:r>
    </w:p>
    <w:p>
      <w:pPr>
        <w:spacing w:line="594" w:lineRule="exact"/>
        <w:jc w:val="right"/>
        <w:rPr>
          <w:rFonts w:ascii="方正小标宋_GBK" w:hAnsi="方正小标宋_GBK" w:eastAsia="方正小标宋_GBK" w:cs="方正小标宋_GBK"/>
          <w:color w:val="000000"/>
          <w:sz w:val="44"/>
          <w:szCs w:val="44"/>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2360"/>
        <w:gridCol w:w="2040"/>
        <w:gridCol w:w="2450"/>
        <w:gridCol w:w="2024"/>
      </w:tblGrid>
      <w:tr>
        <w:tblPrEx>
          <w:tblCellMar>
            <w:top w:w="15" w:type="dxa"/>
            <w:left w:w="15" w:type="dxa"/>
            <w:bottom w:w="15" w:type="dxa"/>
            <w:right w:w="15" w:type="dxa"/>
          </w:tblCellMar>
        </w:tblPrEx>
        <w:trPr>
          <w:trHeight w:val="480" w:hRule="atLeast"/>
        </w:trPr>
        <w:tc>
          <w:tcPr>
            <w:tcW w:w="23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支      出</w:t>
            </w:r>
          </w:p>
        </w:tc>
        <w:tc>
          <w:tcPr>
            <w:tcW w:w="651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r>
      <w:tr>
        <w:tblPrEx>
          <w:tblCellMar>
            <w:top w:w="15" w:type="dxa"/>
            <w:left w:w="15" w:type="dxa"/>
            <w:bottom w:w="15" w:type="dxa"/>
            <w:right w:w="15" w:type="dxa"/>
          </w:tblCellMar>
        </w:tblPrEx>
        <w:trPr>
          <w:trHeight w:val="645" w:hRule="atLeast"/>
        </w:trPr>
        <w:tc>
          <w:tcPr>
            <w:tcW w:w="23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方正黑体_GBK" w:hAnsi="方正黑体_GBK" w:eastAsia="方正黑体_GBK" w:cs="方正黑体_GBK"/>
                <w:color w:val="000000"/>
                <w:sz w:val="28"/>
                <w:szCs w:val="28"/>
              </w:rPr>
            </w:pPr>
          </w:p>
        </w:tc>
        <w:tc>
          <w:tcPr>
            <w:tcW w:w="2040" w:type="dxa"/>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小计 </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一般性转移支付</w:t>
            </w:r>
          </w:p>
        </w:tc>
        <w:tc>
          <w:tcPr>
            <w:tcW w:w="20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专项转移支付</w:t>
            </w:r>
          </w:p>
        </w:tc>
      </w:tr>
      <w:tr>
        <w:tblPrEx>
          <w:tblCellMar>
            <w:top w:w="15" w:type="dxa"/>
            <w:left w:w="15" w:type="dxa"/>
            <w:bottom w:w="15" w:type="dxa"/>
            <w:right w:w="15" w:type="dxa"/>
          </w:tblCellMar>
        </w:tblPrEx>
        <w:trPr>
          <w:trHeight w:val="390" w:hRule="atLeast"/>
        </w:trPr>
        <w:tc>
          <w:tcPr>
            <w:tcW w:w="2360" w:type="dxa"/>
            <w:tcBorders>
              <w:top w:val="single" w:color="000000" w:sz="4" w:space="0"/>
              <w:left w:val="single" w:color="000000" w:sz="4" w:space="0"/>
              <w:bottom w:val="single" w:color="000000" w:sz="4" w:space="0"/>
            </w:tcBorders>
            <w:noWrap w:val="0"/>
            <w:vAlign w:val="center"/>
          </w:tcPr>
          <w:p>
            <w:pPr>
              <w:widowControl/>
              <w:spacing w:line="360" w:lineRule="exact"/>
              <w:jc w:val="center"/>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补助镇街合计</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15515 </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15515 </w:t>
            </w:r>
          </w:p>
        </w:tc>
        <w:tc>
          <w:tcPr>
            <w:tcW w:w="20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0 </w:t>
            </w:r>
          </w:p>
        </w:tc>
      </w:tr>
      <w:tr>
        <w:tblPrEx>
          <w:tblCellMar>
            <w:top w:w="15" w:type="dxa"/>
            <w:left w:w="15" w:type="dxa"/>
            <w:bottom w:w="15" w:type="dxa"/>
            <w:right w:w="15" w:type="dxa"/>
          </w:tblCellMar>
        </w:tblPrEx>
        <w:trPr>
          <w:trHeight w:val="390" w:hRule="atLeast"/>
        </w:trPr>
        <w:tc>
          <w:tcPr>
            <w:tcW w:w="23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万盛街道</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1420 </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1420 </w:t>
            </w:r>
          </w:p>
        </w:tc>
        <w:tc>
          <w:tcPr>
            <w:tcW w:w="20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90" w:hRule="atLeast"/>
        </w:trPr>
        <w:tc>
          <w:tcPr>
            <w:tcW w:w="23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东林街道</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1506 </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1506 </w:t>
            </w:r>
          </w:p>
        </w:tc>
        <w:tc>
          <w:tcPr>
            <w:tcW w:w="20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90" w:hRule="atLeast"/>
        </w:trPr>
        <w:tc>
          <w:tcPr>
            <w:tcW w:w="23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万东镇</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1966 </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1966 </w:t>
            </w:r>
          </w:p>
        </w:tc>
        <w:tc>
          <w:tcPr>
            <w:tcW w:w="20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90" w:hRule="atLeast"/>
        </w:trPr>
        <w:tc>
          <w:tcPr>
            <w:tcW w:w="23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南桐镇</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2366 </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2366 </w:t>
            </w:r>
          </w:p>
        </w:tc>
        <w:tc>
          <w:tcPr>
            <w:tcW w:w="20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90" w:hRule="atLeast"/>
        </w:trPr>
        <w:tc>
          <w:tcPr>
            <w:tcW w:w="23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关坝镇</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1421 </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1421 </w:t>
            </w:r>
          </w:p>
        </w:tc>
        <w:tc>
          <w:tcPr>
            <w:tcW w:w="20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05" w:hRule="atLeast"/>
        </w:trPr>
        <w:tc>
          <w:tcPr>
            <w:tcW w:w="23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青年镇</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1479 </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1479 </w:t>
            </w:r>
          </w:p>
        </w:tc>
        <w:tc>
          <w:tcPr>
            <w:tcW w:w="20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90" w:hRule="atLeast"/>
        </w:trPr>
        <w:tc>
          <w:tcPr>
            <w:tcW w:w="23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丛林镇</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1380 </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1380 </w:t>
            </w:r>
          </w:p>
        </w:tc>
        <w:tc>
          <w:tcPr>
            <w:tcW w:w="20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90" w:hRule="atLeast"/>
        </w:trPr>
        <w:tc>
          <w:tcPr>
            <w:tcW w:w="23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黑山镇</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1307 </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1307 </w:t>
            </w:r>
          </w:p>
        </w:tc>
        <w:tc>
          <w:tcPr>
            <w:tcW w:w="20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90" w:hRule="atLeast"/>
        </w:trPr>
        <w:tc>
          <w:tcPr>
            <w:tcW w:w="23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石林镇</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1320 </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1320 </w:t>
            </w:r>
          </w:p>
        </w:tc>
        <w:tc>
          <w:tcPr>
            <w:tcW w:w="20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390" w:hRule="atLeast"/>
        </w:trPr>
        <w:tc>
          <w:tcPr>
            <w:tcW w:w="23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金桥镇</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1350 </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1350 </w:t>
            </w:r>
          </w:p>
        </w:tc>
        <w:tc>
          <w:tcPr>
            <w:tcW w:w="20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color w:val="000000"/>
                <w:sz w:val="28"/>
                <w:szCs w:val="28"/>
              </w:rPr>
            </w:pPr>
          </w:p>
        </w:tc>
      </w:tr>
    </w:tbl>
    <w:p>
      <w:pPr>
        <w:spacing w:line="594" w:lineRule="exact"/>
        <w:jc w:val="center"/>
        <w:rPr>
          <w:rFonts w:ascii="方正小标宋_GBK" w:hAnsi="方正小标宋_GBK" w:eastAsia="方正小标宋_GBK" w:cs="方正小标宋_GBK"/>
          <w:color w:val="000000"/>
          <w:sz w:val="44"/>
          <w:szCs w:val="44"/>
        </w:rPr>
      </w:pPr>
    </w:p>
    <w:p>
      <w:pPr>
        <w:spacing w:line="594" w:lineRule="exact"/>
        <w:rPr>
          <w:rFonts w:hint="eastAsia" w:ascii="方正小标宋_GBK" w:hAnsi="方正小标宋_GBK" w:eastAsia="方正黑体_GBK" w:cs="方正小标宋_GBK"/>
          <w:color w:val="000000"/>
          <w:sz w:val="44"/>
          <w:szCs w:val="44"/>
          <w:lang w:eastAsia="zh-CN"/>
        </w:rPr>
      </w:pPr>
      <w:r>
        <w:rPr>
          <w:rFonts w:hint="default" w:ascii="方正小标宋_GBK" w:hAnsi="方正小标宋_GBK" w:eastAsia="方正小标宋_GBK" w:cs="方正小标宋_GBK"/>
          <w:color w:val="000000"/>
          <w:sz w:val="44"/>
          <w:szCs w:val="44"/>
        </w:rPr>
        <w:br w:type="page"/>
      </w:r>
      <w:r>
        <w:rPr>
          <w:rFonts w:ascii="方正黑体_GBK" w:hAnsi="方正黑体_GBK" w:eastAsia="方正黑体_GBK" w:cs="方正黑体_GBK"/>
          <w:color w:val="000000"/>
          <w:szCs w:val="32"/>
        </w:rPr>
        <w:t>附件2</w:t>
      </w:r>
      <w:r>
        <w:rPr>
          <w:rFonts w:hint="eastAsia" w:ascii="方正黑体_GBK" w:hAnsi="方正黑体_GBK" w:eastAsia="方正黑体_GBK" w:cs="方正黑体_GBK"/>
          <w:color w:val="000000"/>
          <w:szCs w:val="32"/>
          <w:lang w:val="en-US" w:eastAsia="zh-CN"/>
        </w:rPr>
        <w:t>5</w:t>
      </w:r>
    </w:p>
    <w:p>
      <w:pPr>
        <w:spacing w:line="594" w:lineRule="exact"/>
        <w:jc w:val="center"/>
        <w:rPr>
          <w:rFonts w:ascii="方正小标宋_GBK" w:hAnsi="方正小标宋_GBK" w:eastAsia="方正小标宋_GBK" w:cs="方正小标宋_GBK"/>
          <w:color w:val="000000"/>
          <w:spacing w:val="-6"/>
          <w:sz w:val="44"/>
          <w:szCs w:val="44"/>
        </w:rPr>
      </w:pPr>
      <w:r>
        <w:rPr>
          <w:rFonts w:ascii="方正小标宋_GBK" w:hAnsi="方正小标宋_GBK" w:eastAsia="方正小标宋_GBK" w:cs="方正小标宋_GBK"/>
          <w:color w:val="000000"/>
          <w:spacing w:val="-6"/>
          <w:sz w:val="44"/>
          <w:szCs w:val="44"/>
        </w:rPr>
        <w:t>2019年区级一般公共预算转移性收支预算表</w:t>
      </w:r>
    </w:p>
    <w:p>
      <w:pPr>
        <w:spacing w:line="594" w:lineRule="exact"/>
        <w:jc w:val="center"/>
        <w:rPr>
          <w:rFonts w:ascii="方正小标宋_GBK" w:hAnsi="方正小标宋_GBK" w:eastAsia="方正小标宋_GBK" w:cs="方正小标宋_GBK"/>
          <w:color w:val="000000"/>
          <w:sz w:val="44"/>
          <w:szCs w:val="44"/>
        </w:rPr>
      </w:pPr>
      <w:r>
        <w:rPr>
          <w:rFonts w:ascii="方正楷体_GBK" w:hAnsi="方正楷体_GBK" w:eastAsia="方正楷体_GBK" w:cs="方正楷体_GBK"/>
          <w:color w:val="000000"/>
          <w:sz w:val="32"/>
          <w:szCs w:val="32"/>
        </w:rPr>
        <w:t>（分项目）</w:t>
      </w:r>
    </w:p>
    <w:p>
      <w:pPr>
        <w:spacing w:line="594" w:lineRule="exact"/>
        <w:jc w:val="right"/>
        <w:rPr>
          <w:rFonts w:ascii="方正小标宋_GBK" w:hAnsi="方正小标宋_GBK" w:eastAsia="方正小标宋_GBK" w:cs="方正小标宋_GBK"/>
          <w:color w:val="000000"/>
          <w:sz w:val="44"/>
          <w:szCs w:val="44"/>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6862"/>
        <w:gridCol w:w="2012"/>
      </w:tblGrid>
      <w:tr>
        <w:tblPrEx>
          <w:tblCellMar>
            <w:top w:w="15" w:type="dxa"/>
            <w:left w:w="15" w:type="dxa"/>
            <w:bottom w:w="15" w:type="dxa"/>
            <w:right w:w="15" w:type="dxa"/>
          </w:tblCellMar>
        </w:tblPrEx>
        <w:trPr>
          <w:trHeight w:val="480" w:hRule="atLeast"/>
        </w:trPr>
        <w:tc>
          <w:tcPr>
            <w:tcW w:w="68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支      出</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r>
      <w:tr>
        <w:tblPrEx>
          <w:tblCellMar>
            <w:top w:w="15" w:type="dxa"/>
            <w:left w:w="15" w:type="dxa"/>
            <w:bottom w:w="15" w:type="dxa"/>
            <w:right w:w="15" w:type="dxa"/>
          </w:tblCellMar>
        </w:tblPrEx>
        <w:trPr>
          <w:trHeight w:val="480" w:hRule="atLeast"/>
        </w:trPr>
        <w:tc>
          <w:tcPr>
            <w:tcW w:w="686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补助镇街合计</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15515 </w:t>
            </w:r>
          </w:p>
        </w:tc>
      </w:tr>
      <w:tr>
        <w:tblPrEx>
          <w:tblCellMar>
            <w:top w:w="15" w:type="dxa"/>
            <w:left w:w="15" w:type="dxa"/>
            <w:bottom w:w="15" w:type="dxa"/>
            <w:right w:w="15" w:type="dxa"/>
          </w:tblCellMar>
        </w:tblPrEx>
        <w:trPr>
          <w:trHeight w:val="480" w:hRule="atLeast"/>
        </w:trPr>
        <w:tc>
          <w:tcPr>
            <w:tcW w:w="6862"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一、一般性转移支付</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15515 </w:t>
            </w:r>
          </w:p>
        </w:tc>
      </w:tr>
      <w:tr>
        <w:tblPrEx>
          <w:tblCellMar>
            <w:top w:w="15" w:type="dxa"/>
            <w:left w:w="15" w:type="dxa"/>
            <w:bottom w:w="15" w:type="dxa"/>
            <w:right w:w="15" w:type="dxa"/>
          </w:tblCellMar>
        </w:tblPrEx>
        <w:trPr>
          <w:trHeight w:val="480" w:hRule="atLeast"/>
        </w:trPr>
        <w:tc>
          <w:tcPr>
            <w:tcW w:w="6862"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1.体制补助</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13674 </w:t>
            </w:r>
          </w:p>
        </w:tc>
      </w:tr>
      <w:tr>
        <w:tblPrEx>
          <w:tblCellMar>
            <w:top w:w="15" w:type="dxa"/>
            <w:left w:w="15" w:type="dxa"/>
            <w:bottom w:w="15" w:type="dxa"/>
            <w:right w:w="15" w:type="dxa"/>
          </w:tblCellMar>
        </w:tblPrEx>
        <w:trPr>
          <w:trHeight w:val="480" w:hRule="atLeast"/>
        </w:trPr>
        <w:tc>
          <w:tcPr>
            <w:tcW w:w="6862"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2.结算补助</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1841 </w:t>
            </w:r>
          </w:p>
        </w:tc>
      </w:tr>
      <w:tr>
        <w:tblPrEx>
          <w:tblCellMar>
            <w:top w:w="15" w:type="dxa"/>
            <w:left w:w="15" w:type="dxa"/>
            <w:bottom w:w="15" w:type="dxa"/>
            <w:right w:w="15" w:type="dxa"/>
          </w:tblCellMar>
        </w:tblPrEx>
        <w:trPr>
          <w:trHeight w:val="480" w:hRule="atLeast"/>
        </w:trPr>
        <w:tc>
          <w:tcPr>
            <w:tcW w:w="6862"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二、专项转移支付</w:t>
            </w:r>
          </w:p>
        </w:tc>
        <w:tc>
          <w:tcPr>
            <w:tcW w:w="201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0 </w:t>
            </w:r>
          </w:p>
        </w:tc>
      </w:tr>
    </w:tbl>
    <w:p>
      <w:pPr>
        <w:spacing w:line="594" w:lineRule="exact"/>
        <w:jc w:val="center"/>
        <w:rPr>
          <w:rFonts w:ascii="方正小标宋_GBK" w:hAnsi="方正小标宋_GBK" w:eastAsia="方正小标宋_GBK" w:cs="方正小标宋_GBK"/>
          <w:color w:val="000000"/>
          <w:sz w:val="44"/>
          <w:szCs w:val="44"/>
        </w:rPr>
      </w:pPr>
    </w:p>
    <w:p>
      <w:pPr>
        <w:spacing w:line="594" w:lineRule="exact"/>
        <w:rPr>
          <w:rFonts w:hint="eastAsia" w:ascii="方正小标宋_GBK" w:hAnsi="方正小标宋_GBK" w:eastAsia="方正黑体_GBK" w:cs="方正小标宋_GBK"/>
          <w:color w:val="000000"/>
          <w:sz w:val="44"/>
          <w:szCs w:val="44"/>
          <w:lang w:eastAsia="zh-CN"/>
        </w:rPr>
      </w:pPr>
      <w:r>
        <w:rPr>
          <w:rFonts w:hint="default" w:ascii="方正小标宋_GBK" w:hAnsi="方正小标宋_GBK" w:eastAsia="方正小标宋_GBK" w:cs="方正小标宋_GBK"/>
          <w:color w:val="000000"/>
          <w:sz w:val="44"/>
          <w:szCs w:val="44"/>
        </w:rPr>
        <w:br w:type="page"/>
      </w:r>
      <w:r>
        <w:rPr>
          <w:rFonts w:ascii="方正黑体_GBK" w:hAnsi="方正黑体_GBK" w:eastAsia="方正黑体_GBK" w:cs="方正黑体_GBK"/>
          <w:color w:val="000000"/>
          <w:szCs w:val="32"/>
        </w:rPr>
        <w:t>附件2</w:t>
      </w:r>
      <w:r>
        <w:rPr>
          <w:rFonts w:hint="eastAsia" w:ascii="方正黑体_GBK" w:hAnsi="方正黑体_GBK" w:eastAsia="方正黑体_GBK" w:cs="方正黑体_GBK"/>
          <w:color w:val="000000"/>
          <w:szCs w:val="32"/>
          <w:lang w:val="en-US" w:eastAsia="zh-CN"/>
        </w:rPr>
        <w:t>6</w:t>
      </w:r>
    </w:p>
    <w:p>
      <w:pPr>
        <w:spacing w:line="594" w:lineRule="exact"/>
        <w:jc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t>2019年区级政府性基金预算收支预算表</w:t>
      </w:r>
    </w:p>
    <w:p>
      <w:pPr>
        <w:spacing w:line="594" w:lineRule="exact"/>
        <w:jc w:val="right"/>
        <w:rPr>
          <w:rFonts w:cs="方正仿宋_GBK"/>
          <w:color w:val="000000"/>
          <w:szCs w:val="32"/>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2527"/>
        <w:gridCol w:w="1012"/>
        <w:gridCol w:w="898"/>
        <w:gridCol w:w="2527"/>
        <w:gridCol w:w="1012"/>
        <w:gridCol w:w="898"/>
      </w:tblGrid>
      <w:tr>
        <w:tblPrEx>
          <w:tblCellMar>
            <w:top w:w="15" w:type="dxa"/>
            <w:left w:w="15" w:type="dxa"/>
            <w:bottom w:w="15" w:type="dxa"/>
            <w:right w:w="15" w:type="dxa"/>
          </w:tblCellMar>
        </w:tblPrEx>
        <w:trPr>
          <w:trHeight w:val="482" w:hRule="atLeast"/>
          <w:tblHead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收        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增长%</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支        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增长%</w:t>
            </w:r>
          </w:p>
        </w:tc>
      </w:tr>
      <w:tr>
        <w:tblPrEx>
          <w:tblCellMar>
            <w:top w:w="15" w:type="dxa"/>
            <w:left w:w="15" w:type="dxa"/>
            <w:bottom w:w="15" w:type="dxa"/>
            <w:right w:w="15" w:type="dxa"/>
          </w:tblCellMar>
        </w:tblPrEx>
        <w:trPr>
          <w:trHeight w:val="48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总        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33528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-56.7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总        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33528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-56.7 </w:t>
            </w:r>
          </w:p>
        </w:tc>
      </w:tr>
      <w:tr>
        <w:tblPrEx>
          <w:tblCellMar>
            <w:top w:w="15" w:type="dxa"/>
            <w:left w:w="15" w:type="dxa"/>
            <w:bottom w:w="15" w:type="dxa"/>
            <w:right w:w="15" w:type="dxa"/>
          </w:tblCellMar>
        </w:tblPrEx>
        <w:trPr>
          <w:trHeight w:val="48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本级收入合计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9"/>
                <w:rFonts w:hint="default" w:ascii="Times New Roman" w:hAnsi="Times New Roman" w:eastAsia="方正仿宋_GBK" w:cs="Times New Roman"/>
                <w:b w:val="0"/>
                <w:sz w:val="28"/>
                <w:szCs w:val="28"/>
                <w:lang w:bidi="ar"/>
              </w:rPr>
              <w:t>—</w:t>
            </w:r>
            <w:r>
              <w:rPr>
                <w:rFonts w:hint="default" w:ascii="Times New Roman" w:hAnsi="Times New Roman"/>
                <w:color w:val="FFFFFF"/>
                <w:sz w:val="28"/>
                <w:szCs w:val="28"/>
                <w:lang w:bidi="ar"/>
              </w:rPr>
              <w:t>0</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本级支出合计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22528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-65.8 </w:t>
            </w: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一、城市公用事业附加收入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一、文化旅游体育与传媒支出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358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-53.9 </w:t>
            </w: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二、国有土地收益基金收入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二、社会保障和就业支出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271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79.5 </w:t>
            </w: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三、农业土地开发资金收入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13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三、节能环保支出</w:t>
            </w:r>
          </w:p>
        </w:tc>
        <w:tc>
          <w:tcPr>
            <w:tcW w:w="1012"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四、国有土地使用权出让收入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20568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四、城乡社区支出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17762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-69.6 </w:t>
            </w: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五、大中型水库库区基金收入</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五、农林水支出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48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60.0 </w:t>
            </w: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六、彩票公益金收入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六、交通运输支出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七、小型水库移民扶助基金收入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七、资源勘探信息等支出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八、污水处理费收入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165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九、其他支出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2378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-49.9 </w:t>
            </w: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九、彩票发行机构和彩票销售机构的业务费用</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十、债务付息支出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1711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十、农网还贷资金收入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十一、债务发行费用支出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十一、国家电影事业发展专项资金</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rPr>
                <w:rFonts w:cs="方正仿宋_GBK"/>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28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十二、城市基础设施配套费收入</w:t>
            </w:r>
          </w:p>
        </w:tc>
        <w:tc>
          <w:tcPr>
            <w:tcW w:w="1012"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textAlignment w:val="bottom"/>
              <w:rPr>
                <w:rFonts w:hint="default" w:ascii="Times New Roman" w:hAnsi="Times New Roman"/>
                <w:color w:val="000000"/>
                <w:sz w:val="28"/>
                <w:szCs w:val="28"/>
              </w:rPr>
            </w:pPr>
            <w:r>
              <w:rPr>
                <w:rFonts w:hint="default" w:ascii="Times New Roman" w:hAnsi="Times New Roman"/>
                <w:color w:val="000000"/>
                <w:sz w:val="28"/>
                <w:szCs w:val="28"/>
                <w:lang w:bidi="ar"/>
              </w:rPr>
              <w:t xml:space="preserve">9227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w:t>
            </w:r>
            <w:r>
              <w:rPr>
                <w:rFonts w:hint="default" w:ascii="Times New Roman" w:hAnsi="Times New Roman"/>
                <w:color w:val="FFFFFF"/>
                <w:sz w:val="28"/>
                <w:szCs w:val="28"/>
                <w:lang w:bidi="ar"/>
              </w:rPr>
              <w:t>0</w:t>
            </w:r>
          </w:p>
        </w:tc>
        <w:tc>
          <w:tcPr>
            <w:tcW w:w="2527"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rPr>
                <w:rFonts w:cs="方正仿宋_GBK"/>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8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转移性收入合计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3528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9"/>
                <w:rFonts w:hint="default" w:ascii="Times New Roman" w:hAnsi="Times New Roman" w:eastAsia="方正仿宋_GBK" w:cs="Times New Roman"/>
                <w:b w:val="0"/>
                <w:sz w:val="28"/>
                <w:szCs w:val="28"/>
                <w:lang w:bidi="ar"/>
              </w:rPr>
              <w:t>—</w:t>
            </w:r>
            <w:r>
              <w:rPr>
                <w:rFonts w:hint="default" w:ascii="Times New Roman" w:hAnsi="Times New Roman"/>
                <w:color w:val="FFFFFF"/>
                <w:sz w:val="28"/>
                <w:szCs w:val="28"/>
                <w:lang w:bidi="ar"/>
              </w:rPr>
              <w:t>0</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转移性支出合计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11000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Style w:val="19"/>
                <w:rFonts w:hint="default" w:ascii="Times New Roman" w:hAnsi="Times New Roman" w:eastAsia="方正仿宋_GBK" w:cs="Times New Roman"/>
                <w:b w:val="0"/>
                <w:sz w:val="28"/>
                <w:szCs w:val="28"/>
                <w:lang w:bidi="ar"/>
              </w:rPr>
              <w:t>—</w:t>
            </w:r>
            <w:r>
              <w:rPr>
                <w:rFonts w:hint="default" w:ascii="Times New Roman" w:hAnsi="Times New Roman"/>
                <w:color w:val="FFFFFF"/>
                <w:sz w:val="28"/>
                <w:szCs w:val="28"/>
                <w:lang w:bidi="ar"/>
              </w:rPr>
              <w:t>0</w:t>
            </w: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一、上级补助收入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一、上解上级支出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 </w:t>
            </w:r>
          </w:p>
        </w:tc>
        <w:tc>
          <w:tcPr>
            <w:tcW w:w="898"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二、上年结转</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528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二、调出资金</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10000 </w:t>
            </w:r>
          </w:p>
        </w:tc>
        <w:tc>
          <w:tcPr>
            <w:tcW w:w="898"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cs="方正仿宋_GBK"/>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三、补助镇街支出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05"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cs="方正仿宋_GBK"/>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四、结转下年</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jc w:val="right"/>
              <w:rPr>
                <w:rFonts w:hint="default" w:ascii="Times New Roman" w:hAnsi="Times New Roman"/>
                <w:color w:val="000000"/>
                <w:sz w:val="28"/>
                <w:szCs w:val="28"/>
              </w:rPr>
            </w:pPr>
          </w:p>
        </w:tc>
      </w:tr>
    </w:tbl>
    <w:p>
      <w:pPr>
        <w:spacing w:line="594" w:lineRule="exact"/>
        <w:jc w:val="center"/>
        <w:rPr>
          <w:rFonts w:ascii="方正小标宋_GBK" w:hAnsi="方正小标宋_GBK" w:eastAsia="方正小标宋_GBK" w:cs="方正小标宋_GBK"/>
          <w:color w:val="000000"/>
          <w:sz w:val="44"/>
          <w:szCs w:val="44"/>
        </w:rPr>
      </w:pPr>
    </w:p>
    <w:p>
      <w:pPr>
        <w:spacing w:line="594" w:lineRule="exact"/>
        <w:rPr>
          <w:rFonts w:hint="eastAsia" w:ascii="方正黑体_GBK" w:hAnsi="方正黑体_GBK" w:eastAsia="方正黑体_GBK" w:cs="方正黑体_GBK"/>
          <w:color w:val="000000"/>
          <w:szCs w:val="32"/>
          <w:lang w:eastAsia="zh-CN"/>
        </w:rPr>
      </w:pPr>
      <w:r>
        <w:rPr>
          <w:rFonts w:hint="default" w:ascii="方正小标宋_GBK" w:hAnsi="方正小标宋_GBK" w:eastAsia="方正小标宋_GBK" w:cs="方正小标宋_GBK"/>
          <w:color w:val="000000"/>
          <w:sz w:val="44"/>
          <w:szCs w:val="44"/>
        </w:rPr>
        <w:br w:type="page"/>
      </w:r>
      <w:r>
        <w:rPr>
          <w:rFonts w:ascii="方正黑体_GBK" w:hAnsi="方正黑体_GBK" w:eastAsia="方正黑体_GBK" w:cs="方正黑体_GBK"/>
          <w:color w:val="000000"/>
          <w:szCs w:val="32"/>
        </w:rPr>
        <w:t>附件2</w:t>
      </w:r>
      <w:r>
        <w:rPr>
          <w:rFonts w:hint="eastAsia" w:ascii="方正黑体_GBK" w:hAnsi="方正黑体_GBK" w:eastAsia="方正黑体_GBK" w:cs="方正黑体_GBK"/>
          <w:color w:val="000000"/>
          <w:szCs w:val="32"/>
          <w:lang w:val="en-US" w:eastAsia="zh-CN"/>
        </w:rPr>
        <w:t>7</w:t>
      </w:r>
    </w:p>
    <w:p>
      <w:pPr>
        <w:spacing w:line="594" w:lineRule="exact"/>
        <w:jc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t>2019年区级政府性基金预算本级支出预算表</w:t>
      </w:r>
    </w:p>
    <w:p>
      <w:pPr>
        <w:spacing w:line="594" w:lineRule="exact"/>
        <w:jc w:val="right"/>
        <w:rPr>
          <w:rFonts w:cs="方正仿宋_GBK"/>
          <w:color w:val="000000"/>
          <w:szCs w:val="32"/>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6229"/>
        <w:gridCol w:w="2645"/>
      </w:tblGrid>
      <w:tr>
        <w:tblPrEx>
          <w:tblCellMar>
            <w:top w:w="15" w:type="dxa"/>
            <w:left w:w="15" w:type="dxa"/>
            <w:bottom w:w="15" w:type="dxa"/>
            <w:right w:w="15" w:type="dxa"/>
          </w:tblCellMar>
        </w:tblPrEx>
        <w:trPr>
          <w:trHeight w:val="482" w:hRule="atLeast"/>
          <w:tblHeader/>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支        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r>
      <w:tr>
        <w:tblPrEx>
          <w:tblCellMar>
            <w:top w:w="15" w:type="dxa"/>
            <w:left w:w="15" w:type="dxa"/>
            <w:bottom w:w="15" w:type="dxa"/>
            <w:right w:w="15" w:type="dxa"/>
          </w:tblCellMar>
        </w:tblPrEx>
        <w:trPr>
          <w:trHeight w:val="43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本级支出合计</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22528 </w:t>
            </w:r>
          </w:p>
        </w:tc>
      </w:tr>
      <w:tr>
        <w:tblPrEx>
          <w:tblCellMar>
            <w:top w:w="15" w:type="dxa"/>
            <w:left w:w="15" w:type="dxa"/>
            <w:bottom w:w="15" w:type="dxa"/>
            <w:right w:w="15" w:type="dxa"/>
          </w:tblCellMar>
        </w:tblPrEx>
        <w:trPr>
          <w:trHeight w:val="43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文化旅游体育与传媒支出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358 </w:t>
            </w:r>
          </w:p>
        </w:tc>
      </w:tr>
      <w:tr>
        <w:tblPrEx>
          <w:tblCellMar>
            <w:top w:w="15" w:type="dxa"/>
            <w:left w:w="15" w:type="dxa"/>
            <w:bottom w:w="15" w:type="dxa"/>
            <w:right w:w="15" w:type="dxa"/>
          </w:tblCellMar>
        </w:tblPrEx>
        <w:trPr>
          <w:trHeight w:val="43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旅游发展基金支出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358 </w:t>
            </w:r>
          </w:p>
        </w:tc>
      </w:tr>
      <w:tr>
        <w:tblPrEx>
          <w:tblCellMar>
            <w:top w:w="15" w:type="dxa"/>
            <w:left w:w="15" w:type="dxa"/>
            <w:bottom w:w="15" w:type="dxa"/>
            <w:right w:w="15" w:type="dxa"/>
          </w:tblCellMar>
        </w:tblPrEx>
        <w:trPr>
          <w:trHeight w:val="43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地方旅游开发项目补助</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358 </w:t>
            </w:r>
          </w:p>
        </w:tc>
      </w:tr>
      <w:tr>
        <w:tblPrEx>
          <w:tblCellMar>
            <w:top w:w="15" w:type="dxa"/>
            <w:left w:w="15" w:type="dxa"/>
            <w:bottom w:w="15" w:type="dxa"/>
            <w:right w:w="15" w:type="dxa"/>
          </w:tblCellMar>
        </w:tblPrEx>
        <w:trPr>
          <w:trHeight w:val="43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社会保障和就业支出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271 </w:t>
            </w:r>
          </w:p>
        </w:tc>
      </w:tr>
      <w:tr>
        <w:tblPrEx>
          <w:tblCellMar>
            <w:top w:w="15" w:type="dxa"/>
            <w:left w:w="15" w:type="dxa"/>
            <w:bottom w:w="15" w:type="dxa"/>
            <w:right w:w="15" w:type="dxa"/>
          </w:tblCellMar>
        </w:tblPrEx>
        <w:trPr>
          <w:trHeight w:val="43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大中型水库移民后期扶持基金支出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247 </w:t>
            </w:r>
          </w:p>
        </w:tc>
      </w:tr>
      <w:tr>
        <w:tblPrEx>
          <w:tblCellMar>
            <w:top w:w="15" w:type="dxa"/>
            <w:left w:w="15" w:type="dxa"/>
            <w:bottom w:w="15" w:type="dxa"/>
            <w:right w:w="15" w:type="dxa"/>
          </w:tblCellMar>
        </w:tblPrEx>
        <w:trPr>
          <w:trHeight w:val="43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移民补助</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127 </w:t>
            </w:r>
          </w:p>
        </w:tc>
      </w:tr>
      <w:tr>
        <w:tblPrEx>
          <w:tblCellMar>
            <w:top w:w="15" w:type="dxa"/>
            <w:left w:w="15" w:type="dxa"/>
            <w:bottom w:w="15" w:type="dxa"/>
            <w:right w:w="15" w:type="dxa"/>
          </w:tblCellMar>
        </w:tblPrEx>
        <w:trPr>
          <w:trHeight w:val="43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基础设施建设和经济发展</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120 </w:t>
            </w:r>
          </w:p>
        </w:tc>
      </w:tr>
      <w:tr>
        <w:tblPrEx>
          <w:tblCellMar>
            <w:top w:w="15" w:type="dxa"/>
            <w:left w:w="15" w:type="dxa"/>
            <w:bottom w:w="15" w:type="dxa"/>
            <w:right w:w="15" w:type="dxa"/>
          </w:tblCellMar>
        </w:tblPrEx>
        <w:trPr>
          <w:trHeight w:val="43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小型水库移民扶助基金安排的支出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 </w:t>
            </w:r>
          </w:p>
        </w:tc>
      </w:tr>
      <w:tr>
        <w:tblPrEx>
          <w:tblCellMar>
            <w:top w:w="15" w:type="dxa"/>
            <w:left w:w="15" w:type="dxa"/>
            <w:bottom w:w="15" w:type="dxa"/>
            <w:right w:w="15" w:type="dxa"/>
          </w:tblCellMar>
        </w:tblPrEx>
        <w:trPr>
          <w:trHeight w:val="43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基础设施建设和经济发展</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 </w:t>
            </w:r>
          </w:p>
        </w:tc>
      </w:tr>
      <w:tr>
        <w:tblPrEx>
          <w:tblCellMar>
            <w:top w:w="15" w:type="dxa"/>
            <w:left w:w="15" w:type="dxa"/>
            <w:bottom w:w="15" w:type="dxa"/>
            <w:right w:w="15" w:type="dxa"/>
          </w:tblCellMar>
        </w:tblPrEx>
        <w:trPr>
          <w:trHeight w:val="43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城乡社区支出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17762 </w:t>
            </w:r>
          </w:p>
        </w:tc>
      </w:tr>
      <w:tr>
        <w:tblPrEx>
          <w:tblCellMar>
            <w:top w:w="15" w:type="dxa"/>
            <w:left w:w="15" w:type="dxa"/>
            <w:bottom w:w="15" w:type="dxa"/>
            <w:right w:w="15" w:type="dxa"/>
          </w:tblCellMar>
        </w:tblPrEx>
        <w:trPr>
          <w:trHeight w:val="43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国有土地使用权出让收入及对应专项债务收入安排的支出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17737 </w:t>
            </w:r>
          </w:p>
        </w:tc>
      </w:tr>
      <w:tr>
        <w:tblPrEx>
          <w:tblCellMar>
            <w:top w:w="15" w:type="dxa"/>
            <w:left w:w="15" w:type="dxa"/>
            <w:bottom w:w="15" w:type="dxa"/>
            <w:right w:w="15" w:type="dxa"/>
          </w:tblCellMar>
        </w:tblPrEx>
        <w:trPr>
          <w:trHeight w:val="43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征地和拆迁补偿支出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700 </w:t>
            </w:r>
          </w:p>
        </w:tc>
      </w:tr>
      <w:tr>
        <w:tblPrEx>
          <w:tblCellMar>
            <w:top w:w="15" w:type="dxa"/>
            <w:left w:w="15" w:type="dxa"/>
            <w:bottom w:w="15" w:type="dxa"/>
            <w:right w:w="15" w:type="dxa"/>
          </w:tblCellMar>
        </w:tblPrEx>
        <w:trPr>
          <w:trHeight w:val="43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土地开发支出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448 </w:t>
            </w:r>
          </w:p>
        </w:tc>
      </w:tr>
      <w:tr>
        <w:tblPrEx>
          <w:tblCellMar>
            <w:top w:w="15" w:type="dxa"/>
            <w:left w:w="15" w:type="dxa"/>
            <w:bottom w:w="15" w:type="dxa"/>
            <w:right w:w="15" w:type="dxa"/>
          </w:tblCellMar>
        </w:tblPrEx>
        <w:trPr>
          <w:trHeight w:val="43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其他国有土地使用权出让收入安排的支出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16589 </w:t>
            </w:r>
          </w:p>
        </w:tc>
      </w:tr>
      <w:tr>
        <w:tblPrEx>
          <w:tblCellMar>
            <w:top w:w="15" w:type="dxa"/>
            <w:left w:w="15" w:type="dxa"/>
            <w:bottom w:w="15" w:type="dxa"/>
            <w:right w:w="15" w:type="dxa"/>
          </w:tblCellMar>
        </w:tblPrEx>
        <w:trPr>
          <w:trHeight w:val="43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污水处理费安排的支出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 </w:t>
            </w:r>
          </w:p>
        </w:tc>
      </w:tr>
      <w:tr>
        <w:tblPrEx>
          <w:tblCellMar>
            <w:top w:w="15" w:type="dxa"/>
            <w:left w:w="15" w:type="dxa"/>
            <w:bottom w:w="15" w:type="dxa"/>
            <w:right w:w="15" w:type="dxa"/>
          </w:tblCellMar>
        </w:tblPrEx>
        <w:trPr>
          <w:trHeight w:val="43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污水处理设施建设和运营</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25 </w:t>
            </w:r>
          </w:p>
        </w:tc>
      </w:tr>
      <w:tr>
        <w:tblPrEx>
          <w:tblCellMar>
            <w:top w:w="15" w:type="dxa"/>
            <w:left w:w="15" w:type="dxa"/>
            <w:bottom w:w="15" w:type="dxa"/>
            <w:right w:w="15" w:type="dxa"/>
          </w:tblCellMar>
        </w:tblPrEx>
        <w:trPr>
          <w:trHeight w:val="43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农林水支出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48 </w:t>
            </w:r>
          </w:p>
        </w:tc>
      </w:tr>
      <w:tr>
        <w:tblPrEx>
          <w:tblCellMar>
            <w:top w:w="15" w:type="dxa"/>
            <w:left w:w="15" w:type="dxa"/>
            <w:bottom w:w="15" w:type="dxa"/>
            <w:right w:w="15" w:type="dxa"/>
          </w:tblCellMar>
        </w:tblPrEx>
        <w:trPr>
          <w:trHeight w:val="43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大中型水库库区基金安排的支出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 </w:t>
            </w:r>
          </w:p>
        </w:tc>
      </w:tr>
      <w:tr>
        <w:tblPrEx>
          <w:tblCellMar>
            <w:top w:w="15" w:type="dxa"/>
            <w:left w:w="15" w:type="dxa"/>
            <w:bottom w:w="15" w:type="dxa"/>
            <w:right w:w="15" w:type="dxa"/>
          </w:tblCellMar>
        </w:tblPrEx>
        <w:trPr>
          <w:trHeight w:val="43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基础设施建设和经济发展</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 </w:t>
            </w:r>
          </w:p>
        </w:tc>
      </w:tr>
      <w:tr>
        <w:tblPrEx>
          <w:tblCellMar>
            <w:top w:w="15" w:type="dxa"/>
            <w:left w:w="15" w:type="dxa"/>
            <w:bottom w:w="15" w:type="dxa"/>
            <w:right w:w="15" w:type="dxa"/>
          </w:tblCellMar>
        </w:tblPrEx>
        <w:trPr>
          <w:trHeight w:val="40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三峡水库库区基金支出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 </w:t>
            </w:r>
          </w:p>
        </w:tc>
      </w:tr>
      <w:tr>
        <w:tblPrEx>
          <w:tblCellMar>
            <w:top w:w="15" w:type="dxa"/>
            <w:left w:w="15" w:type="dxa"/>
            <w:bottom w:w="15" w:type="dxa"/>
            <w:right w:w="15" w:type="dxa"/>
          </w:tblCellMar>
        </w:tblPrEx>
        <w:trPr>
          <w:trHeight w:val="28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其他三峡水库库区基金支出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30 </w:t>
            </w:r>
          </w:p>
        </w:tc>
      </w:tr>
      <w:tr>
        <w:tblPrEx>
          <w:tblCellMar>
            <w:top w:w="15" w:type="dxa"/>
            <w:left w:w="15" w:type="dxa"/>
            <w:bottom w:w="15" w:type="dxa"/>
            <w:right w:w="15" w:type="dxa"/>
          </w:tblCellMar>
        </w:tblPrEx>
        <w:trPr>
          <w:trHeight w:val="28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其他支出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2378 </w:t>
            </w:r>
          </w:p>
        </w:tc>
      </w:tr>
      <w:tr>
        <w:tblPrEx>
          <w:tblCellMar>
            <w:top w:w="15" w:type="dxa"/>
            <w:left w:w="15" w:type="dxa"/>
            <w:bottom w:w="15" w:type="dxa"/>
            <w:right w:w="15" w:type="dxa"/>
          </w:tblCellMar>
        </w:tblPrEx>
        <w:trPr>
          <w:trHeight w:val="28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彩票发行销售机构业务费安排的支出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 </w:t>
            </w:r>
          </w:p>
        </w:tc>
      </w:tr>
      <w:tr>
        <w:tblPrEx>
          <w:tblCellMar>
            <w:top w:w="15" w:type="dxa"/>
            <w:left w:w="15" w:type="dxa"/>
            <w:bottom w:w="15" w:type="dxa"/>
            <w:right w:w="15" w:type="dxa"/>
          </w:tblCellMar>
        </w:tblPrEx>
        <w:trPr>
          <w:trHeight w:val="28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彩票市场调控资金支出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18 </w:t>
            </w:r>
          </w:p>
        </w:tc>
      </w:tr>
      <w:tr>
        <w:tblPrEx>
          <w:tblCellMar>
            <w:top w:w="15" w:type="dxa"/>
            <w:left w:w="15" w:type="dxa"/>
            <w:bottom w:w="15" w:type="dxa"/>
            <w:right w:w="15" w:type="dxa"/>
          </w:tblCellMar>
        </w:tblPrEx>
        <w:trPr>
          <w:trHeight w:val="28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彩票公益金安排的支出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2360 </w:t>
            </w:r>
          </w:p>
        </w:tc>
      </w:tr>
      <w:tr>
        <w:tblPrEx>
          <w:tblCellMar>
            <w:top w:w="15" w:type="dxa"/>
            <w:left w:w="15" w:type="dxa"/>
            <w:bottom w:w="15" w:type="dxa"/>
            <w:right w:w="15" w:type="dxa"/>
          </w:tblCellMar>
        </w:tblPrEx>
        <w:trPr>
          <w:trHeight w:val="28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用于社会福利的彩票公益金支出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1248 </w:t>
            </w:r>
          </w:p>
        </w:tc>
      </w:tr>
      <w:tr>
        <w:tblPrEx>
          <w:tblCellMar>
            <w:top w:w="15" w:type="dxa"/>
            <w:left w:w="15" w:type="dxa"/>
            <w:bottom w:w="15" w:type="dxa"/>
            <w:right w:w="15" w:type="dxa"/>
          </w:tblCellMar>
        </w:tblPrEx>
        <w:trPr>
          <w:trHeight w:val="28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用于体育事业的彩票公益金支出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1012 </w:t>
            </w:r>
          </w:p>
        </w:tc>
      </w:tr>
      <w:tr>
        <w:tblPrEx>
          <w:tblCellMar>
            <w:top w:w="15" w:type="dxa"/>
            <w:left w:w="15" w:type="dxa"/>
            <w:bottom w:w="15" w:type="dxa"/>
            <w:right w:w="15" w:type="dxa"/>
          </w:tblCellMar>
        </w:tblPrEx>
        <w:trPr>
          <w:trHeight w:val="28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用于教育事业的彩票公益金支出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26 </w:t>
            </w:r>
          </w:p>
        </w:tc>
      </w:tr>
      <w:tr>
        <w:tblPrEx>
          <w:tblCellMar>
            <w:top w:w="15" w:type="dxa"/>
            <w:left w:w="15" w:type="dxa"/>
            <w:bottom w:w="15" w:type="dxa"/>
            <w:right w:w="15" w:type="dxa"/>
          </w:tblCellMar>
        </w:tblPrEx>
        <w:trPr>
          <w:trHeight w:val="28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用于残疾人事业的彩票公益金支出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24 </w:t>
            </w:r>
          </w:p>
        </w:tc>
      </w:tr>
      <w:tr>
        <w:tblPrEx>
          <w:tblCellMar>
            <w:top w:w="15" w:type="dxa"/>
            <w:left w:w="15" w:type="dxa"/>
            <w:bottom w:w="15" w:type="dxa"/>
            <w:right w:w="15" w:type="dxa"/>
          </w:tblCellMar>
        </w:tblPrEx>
        <w:trPr>
          <w:trHeight w:val="28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用于其他社会公益事业的彩票公益金支出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 </w:t>
            </w:r>
          </w:p>
        </w:tc>
      </w:tr>
      <w:tr>
        <w:tblPrEx>
          <w:tblCellMar>
            <w:top w:w="15" w:type="dxa"/>
            <w:left w:w="15" w:type="dxa"/>
            <w:bottom w:w="15" w:type="dxa"/>
            <w:right w:w="15" w:type="dxa"/>
          </w:tblCellMar>
        </w:tblPrEx>
        <w:trPr>
          <w:trHeight w:val="28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债务付息支出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1711 </w:t>
            </w:r>
          </w:p>
        </w:tc>
      </w:tr>
      <w:tr>
        <w:tblPrEx>
          <w:tblCellMar>
            <w:top w:w="15" w:type="dxa"/>
            <w:left w:w="15" w:type="dxa"/>
            <w:bottom w:w="15" w:type="dxa"/>
            <w:right w:w="15" w:type="dxa"/>
          </w:tblCellMar>
        </w:tblPrEx>
        <w:trPr>
          <w:trHeight w:val="28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地方政府专项债务付息支出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1711 </w:t>
            </w:r>
          </w:p>
        </w:tc>
      </w:tr>
      <w:tr>
        <w:tblPrEx>
          <w:tblCellMar>
            <w:top w:w="15" w:type="dxa"/>
            <w:left w:w="15" w:type="dxa"/>
            <w:bottom w:w="15" w:type="dxa"/>
            <w:right w:w="15" w:type="dxa"/>
          </w:tblCellMar>
        </w:tblPrEx>
        <w:trPr>
          <w:trHeight w:val="285" w:hRule="atLeast"/>
        </w:trPr>
        <w:tc>
          <w:tcPr>
            <w:tcW w:w="6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国有土地使用权出让金债务付息支出</w:t>
            </w:r>
          </w:p>
        </w:tc>
        <w:tc>
          <w:tcPr>
            <w:tcW w:w="2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1711 </w:t>
            </w:r>
          </w:p>
        </w:tc>
      </w:tr>
    </w:tbl>
    <w:p>
      <w:pPr>
        <w:spacing w:line="360" w:lineRule="exact"/>
        <w:jc w:val="left"/>
        <w:rPr>
          <w:rFonts w:hint="default" w:ascii="Times New Roman" w:hAnsi="Times New Roman"/>
          <w:color w:val="000000"/>
          <w:sz w:val="28"/>
          <w:szCs w:val="28"/>
        </w:rPr>
      </w:pPr>
      <w:r>
        <w:rPr>
          <w:rFonts w:hint="default" w:ascii="Times New Roman" w:hAnsi="Times New Roman"/>
          <w:color w:val="000000"/>
          <w:sz w:val="28"/>
          <w:szCs w:val="28"/>
        </w:rPr>
        <w:t>注：本表详细反映2019年政府性基金预算本级支出安排情况，按《预算法》要求细化到功能分类项级科目。</w:t>
      </w:r>
    </w:p>
    <w:p>
      <w:pPr>
        <w:spacing w:line="594" w:lineRule="exact"/>
        <w:jc w:val="center"/>
        <w:rPr>
          <w:rFonts w:ascii="方正小标宋_GBK" w:hAnsi="方正小标宋_GBK" w:eastAsia="方正小标宋_GBK" w:cs="方正小标宋_GBK"/>
          <w:color w:val="000000"/>
          <w:sz w:val="44"/>
          <w:szCs w:val="44"/>
        </w:rPr>
      </w:pPr>
    </w:p>
    <w:p>
      <w:pPr>
        <w:spacing w:line="594" w:lineRule="exact"/>
        <w:jc w:val="center"/>
        <w:rPr>
          <w:rFonts w:ascii="方正小标宋_GBK" w:hAnsi="方正小标宋_GBK" w:eastAsia="方正小标宋_GBK" w:cs="方正小标宋_GBK"/>
          <w:color w:val="000000"/>
          <w:sz w:val="44"/>
          <w:szCs w:val="44"/>
        </w:rPr>
      </w:pPr>
    </w:p>
    <w:p>
      <w:pPr>
        <w:spacing w:line="594" w:lineRule="exact"/>
        <w:rPr>
          <w:rFonts w:hint="eastAsia" w:ascii="方正黑体_GBK" w:hAnsi="方正黑体_GBK" w:eastAsia="方正黑体_GBK" w:cs="方正黑体_GBK"/>
          <w:color w:val="000000"/>
          <w:szCs w:val="32"/>
          <w:lang w:eastAsia="zh-CN"/>
        </w:rPr>
      </w:pPr>
      <w:r>
        <w:rPr>
          <w:rFonts w:hint="default" w:ascii="方正小标宋_GBK" w:hAnsi="方正小标宋_GBK" w:eastAsia="方正小标宋_GBK" w:cs="方正小标宋_GBK"/>
          <w:color w:val="000000"/>
          <w:sz w:val="44"/>
          <w:szCs w:val="44"/>
        </w:rPr>
        <w:br w:type="page"/>
      </w:r>
      <w:r>
        <w:rPr>
          <w:rFonts w:ascii="方正黑体_GBK" w:hAnsi="方正黑体_GBK" w:eastAsia="方正黑体_GBK" w:cs="方正黑体_GBK"/>
          <w:color w:val="000000"/>
          <w:szCs w:val="32"/>
        </w:rPr>
        <w:t>附件2</w:t>
      </w:r>
      <w:r>
        <w:rPr>
          <w:rFonts w:hint="eastAsia" w:ascii="方正黑体_GBK" w:hAnsi="方正黑体_GBK" w:eastAsia="方正黑体_GBK" w:cs="方正黑体_GBK"/>
          <w:color w:val="000000"/>
          <w:szCs w:val="32"/>
          <w:lang w:val="en-US" w:eastAsia="zh-CN"/>
        </w:rPr>
        <w:t>8</w:t>
      </w:r>
    </w:p>
    <w:p>
      <w:pPr>
        <w:spacing w:line="594" w:lineRule="exact"/>
        <w:jc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t xml:space="preserve">2019年区级国有资本经营预算收支预算表 </w:t>
      </w:r>
    </w:p>
    <w:p>
      <w:pPr>
        <w:spacing w:line="594" w:lineRule="exact"/>
        <w:jc w:val="right"/>
        <w:rPr>
          <w:rFonts w:cs="方正仿宋_GBK"/>
          <w:color w:val="000000"/>
          <w:szCs w:val="32"/>
        </w:rPr>
      </w:pPr>
      <w:r>
        <w:rPr>
          <w:rFonts w:cs="方正仿宋_GBK"/>
          <w:color w:val="000000"/>
          <w:szCs w:val="32"/>
        </w:rPr>
        <w:t>单位：万元</w:t>
      </w:r>
    </w:p>
    <w:tbl>
      <w:tblPr>
        <w:tblStyle w:val="6"/>
        <w:tblW w:w="8874" w:type="dxa"/>
        <w:tblInd w:w="0" w:type="dxa"/>
        <w:tblLayout w:type="fixed"/>
        <w:tblCellMar>
          <w:top w:w="15" w:type="dxa"/>
          <w:left w:w="15" w:type="dxa"/>
          <w:bottom w:w="15" w:type="dxa"/>
          <w:right w:w="15" w:type="dxa"/>
        </w:tblCellMar>
      </w:tblPr>
      <w:tblGrid>
        <w:gridCol w:w="2527"/>
        <w:gridCol w:w="1012"/>
        <w:gridCol w:w="898"/>
        <w:gridCol w:w="2527"/>
        <w:gridCol w:w="1012"/>
        <w:gridCol w:w="898"/>
      </w:tblGrid>
      <w:tr>
        <w:tblPrEx>
          <w:tblCellMar>
            <w:top w:w="15" w:type="dxa"/>
            <w:left w:w="15" w:type="dxa"/>
            <w:bottom w:w="15" w:type="dxa"/>
            <w:right w:w="15" w:type="dxa"/>
          </w:tblCellMar>
        </w:tblPrEx>
        <w:trPr>
          <w:trHeight w:val="482" w:hRule="atLeast"/>
          <w:tblHead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收        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增长%</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支        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预算数</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增长%</w:t>
            </w:r>
          </w:p>
        </w:tc>
      </w:tr>
      <w:tr>
        <w:tblPrEx>
          <w:tblCellMar>
            <w:top w:w="15" w:type="dxa"/>
            <w:left w:w="15" w:type="dxa"/>
            <w:bottom w:w="15" w:type="dxa"/>
            <w:right w:w="15" w:type="dxa"/>
          </w:tblCellMar>
        </w:tblPrEx>
        <w:trPr>
          <w:trHeight w:val="482"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总        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17149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-52.9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总  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17149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-52.9 </w:t>
            </w: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本级收入合计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5000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-9.1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本级支出合计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17149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-29.3 </w:t>
            </w: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一、利润收入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一、解决历史遗留问题及改革成本支出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12149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-35.2 </w:t>
            </w: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二、股利、股息收入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cs="方正仿宋_GBK"/>
                <w:color w:val="000000"/>
                <w:sz w:val="28"/>
                <w:szCs w:val="28"/>
              </w:rPr>
            </w:pPr>
            <w:r>
              <w:rPr>
                <w:rFonts w:cs="方正仿宋_GBK"/>
                <w:color w:val="000000"/>
                <w:sz w:val="28"/>
                <w:szCs w:val="28"/>
                <w:lang w:bidi="ar"/>
              </w:rPr>
              <w:t xml:space="preserve">    “三供一业”移交补助支出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12149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-35.2 </w:t>
            </w: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三、产权转让收入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其他解决历史遗留问题及改革成本支出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四、清算收入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二、国有企业资本金注入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五、其他国有资本经营收入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-9.1 </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支持科技进步支出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其他国有企业资本金注入</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三、国有企业政策性补贴</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国有企业政策性补贴</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四、金融国有资本经营预算支出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资本性支出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widowControl/>
              <w:spacing w:line="360" w:lineRule="exact"/>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五、其他国有资本经营预算支出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-9.1 </w:t>
            </w: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    其他国有资本经营预算支出</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5000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-9.1 </w:t>
            </w: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转移性收入合计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12149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w:t>
            </w:r>
            <w:r>
              <w:rPr>
                <w:rFonts w:ascii="方正黑体_GBK" w:hAnsi="方正黑体_GBK" w:eastAsia="方正黑体_GBK" w:cs="方正黑体_GBK"/>
                <w:color w:val="FFFFFF"/>
                <w:sz w:val="28"/>
                <w:szCs w:val="28"/>
                <w:lang w:bidi="ar"/>
              </w:rPr>
              <w:t>0</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转移性支出合计</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 xml:space="preserve">0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lang w:bidi="ar"/>
              </w:rPr>
              <w:t>—</w:t>
            </w:r>
            <w:r>
              <w:rPr>
                <w:rFonts w:ascii="方正黑体_GBK" w:hAnsi="方正黑体_GBK" w:eastAsia="方正黑体_GBK" w:cs="方正黑体_GBK"/>
                <w:color w:val="FFFFFF"/>
                <w:sz w:val="28"/>
                <w:szCs w:val="28"/>
                <w:lang w:bidi="ar"/>
              </w:rPr>
              <w:t>0</w:t>
            </w: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一、上级补助收入</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一、调出资金</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二、上年结转</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 xml:space="preserve">12149 </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二、补助镇街</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r>
        <w:tblPrEx>
          <w:tblCellMar>
            <w:top w:w="15" w:type="dxa"/>
            <w:left w:w="15" w:type="dxa"/>
            <w:bottom w:w="15" w:type="dxa"/>
            <w:right w:w="15" w:type="dxa"/>
          </w:tblCellMar>
        </w:tblPrEx>
        <w:trPr>
          <w:trHeight w:val="420" w:hRule="atLeast"/>
        </w:trPr>
        <w:tc>
          <w:tcPr>
            <w:tcW w:w="2527"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rPr>
                <w:rFonts w:hint="default" w:ascii="Times New Roman" w:hAnsi="Times New Roman"/>
                <w:color w:val="000000"/>
                <w:sz w:val="28"/>
                <w:szCs w:val="28"/>
              </w:rPr>
            </w:pP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default" w:ascii="Times New Roman" w:hAnsi="Times New Roman"/>
                <w:color w:val="000000"/>
                <w:sz w:val="28"/>
                <w:szCs w:val="28"/>
              </w:rPr>
            </w:pPr>
            <w:r>
              <w:rPr>
                <w:rFonts w:hint="default" w:ascii="Times New Roman" w:hAnsi="Times New Roman"/>
                <w:color w:val="000000"/>
                <w:sz w:val="28"/>
                <w:szCs w:val="28"/>
                <w:lang w:bidi="ar"/>
              </w:rPr>
              <w:t>三、结转下年</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default" w:ascii="Times New Roman" w:hAnsi="Times New Roman"/>
                <w:color w:val="000000"/>
                <w:sz w:val="28"/>
                <w:szCs w:val="28"/>
              </w:rPr>
            </w:pPr>
          </w:p>
        </w:tc>
      </w:tr>
    </w:tbl>
    <w:p>
      <w:pPr>
        <w:spacing w:line="360" w:lineRule="exact"/>
        <w:rPr>
          <w:rFonts w:hint="default" w:ascii="Times New Roman" w:hAnsi="Times New Roman"/>
          <w:color w:val="000000"/>
          <w:sz w:val="28"/>
          <w:szCs w:val="28"/>
        </w:rPr>
      </w:pPr>
      <w:r>
        <w:rPr>
          <w:rFonts w:hint="default" w:ascii="Times New Roman" w:hAnsi="Times New Roman"/>
          <w:color w:val="000000"/>
          <w:sz w:val="28"/>
          <w:szCs w:val="28"/>
        </w:rPr>
        <w:t>注：1.</w:t>
      </w:r>
      <w:r>
        <w:rPr>
          <w:rFonts w:ascii="Times New Roman" w:hAnsi="Times New Roman"/>
          <w:color w:val="000000"/>
          <w:sz w:val="28"/>
          <w:szCs w:val="28"/>
        </w:rPr>
        <w:t xml:space="preserve"> </w:t>
      </w:r>
      <w:r>
        <w:rPr>
          <w:rFonts w:hint="default" w:ascii="Times New Roman" w:hAnsi="Times New Roman"/>
          <w:color w:val="000000"/>
          <w:sz w:val="28"/>
          <w:szCs w:val="28"/>
        </w:rPr>
        <w:t>本表直观反映2019年国有资本经营预算收入与支出的平衡关系。</w:t>
      </w:r>
    </w:p>
    <w:p>
      <w:pPr>
        <w:spacing w:line="360" w:lineRule="exact"/>
        <w:ind w:firstLine="560"/>
        <w:rPr>
          <w:rFonts w:hint="default" w:ascii="Times New Roman" w:hAnsi="Times New Roman"/>
          <w:color w:val="000000"/>
          <w:sz w:val="28"/>
          <w:szCs w:val="28"/>
        </w:rPr>
      </w:pPr>
      <w:r>
        <w:rPr>
          <w:rFonts w:hint="default" w:ascii="Times New Roman" w:hAnsi="Times New Roman"/>
          <w:color w:val="000000"/>
          <w:sz w:val="28"/>
          <w:szCs w:val="28"/>
        </w:rPr>
        <w:t>2.</w:t>
      </w:r>
      <w:r>
        <w:rPr>
          <w:rFonts w:ascii="Times New Roman" w:hAnsi="Times New Roman"/>
          <w:color w:val="000000"/>
          <w:sz w:val="28"/>
          <w:szCs w:val="28"/>
        </w:rPr>
        <w:t xml:space="preserve"> </w:t>
      </w:r>
      <w:r>
        <w:rPr>
          <w:rFonts w:hint="default" w:ascii="Times New Roman" w:hAnsi="Times New Roman"/>
          <w:color w:val="000000"/>
          <w:sz w:val="28"/>
          <w:szCs w:val="28"/>
        </w:rPr>
        <w:t>收入总计（本级收入合计+转移性收入合计）=支出总计（本级支出合计+转移性支出合计）。</w:t>
      </w: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spacing w:line="360" w:lineRule="exact"/>
        <w:ind w:firstLine="560"/>
        <w:rPr>
          <w:rFonts w:hint="default" w:ascii="Times New Roman" w:hAnsi="Times New Roman"/>
          <w:color w:val="000000"/>
          <w:sz w:val="28"/>
          <w:szCs w:val="28"/>
        </w:rPr>
      </w:pPr>
    </w:p>
    <w:p>
      <w:pPr>
        <w:rPr>
          <w:rFonts w:hint="default" w:ascii="方正黑体_GBK" w:hAnsi="方正黑体_GBK" w:eastAsia="方正黑体_GBK" w:cs="方正黑体_GBK"/>
          <w:lang w:val="en-US" w:eastAsia="zh-CN"/>
        </w:rPr>
      </w:pPr>
      <w:r>
        <w:rPr>
          <w:rFonts w:hint="eastAsia" w:ascii="方正黑体_GBK" w:hAnsi="方正黑体_GBK" w:eastAsia="方正黑体_GBK" w:cs="方正黑体_GBK"/>
        </w:rPr>
        <w:t>附件</w:t>
      </w:r>
      <w:r>
        <w:rPr>
          <w:rFonts w:hint="eastAsia" w:ascii="方正黑体_GBK" w:hAnsi="方正黑体_GBK" w:eastAsia="方正黑体_GBK" w:cs="方正黑体_GBK"/>
          <w:lang w:val="en-US" w:eastAsia="zh-CN"/>
        </w:rPr>
        <w:t>29</w:t>
      </w:r>
    </w:p>
    <w:p>
      <w:pPr>
        <w:spacing w:line="594"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w:t>
      </w:r>
      <w:r>
        <w:rPr>
          <w:rFonts w:hint="eastAsia" w:ascii="方正小标宋_GBK" w:hAnsi="方正小标宋_GBK" w:eastAsia="方正小标宋_GBK" w:cs="方正小标宋_GBK"/>
          <w:sz w:val="44"/>
          <w:szCs w:val="44"/>
          <w:lang w:val="en-US" w:eastAsia="zh-CN"/>
        </w:rPr>
        <w:t>9</w:t>
      </w:r>
      <w:r>
        <w:rPr>
          <w:rFonts w:hint="eastAsia" w:ascii="方正小标宋_GBK" w:hAnsi="方正小标宋_GBK" w:eastAsia="方正小标宋_GBK" w:cs="方正小标宋_GBK"/>
          <w:sz w:val="44"/>
          <w:szCs w:val="44"/>
        </w:rPr>
        <w:t>年全区</w:t>
      </w:r>
      <w:r>
        <w:rPr>
          <w:rFonts w:hint="eastAsia" w:ascii="方正小标宋_GBK" w:hAnsi="方正小标宋_GBK" w:eastAsia="方正小标宋_GBK" w:cs="方正小标宋_GBK"/>
          <w:sz w:val="44"/>
          <w:szCs w:val="44"/>
          <w:lang w:eastAsia="zh-CN"/>
        </w:rPr>
        <w:t>社会保险基金</w:t>
      </w:r>
      <w:r>
        <w:rPr>
          <w:rFonts w:hint="eastAsia" w:ascii="方正小标宋_GBK" w:hAnsi="方正小标宋_GBK" w:eastAsia="方正小标宋_GBK" w:cs="方正小标宋_GBK"/>
          <w:sz w:val="44"/>
          <w:szCs w:val="44"/>
        </w:rPr>
        <w:t>预算收支决算表</w:t>
      </w:r>
    </w:p>
    <w:p>
      <w:pPr>
        <w:wordWrap w:val="0"/>
        <w:spacing w:line="594" w:lineRule="exact"/>
        <w:jc w:val="right"/>
        <w:rPr>
          <w:rFonts w:hint="eastAsia"/>
        </w:rPr>
      </w:pPr>
      <w:r>
        <w:rPr>
          <w:rFonts w:hint="eastAsia"/>
        </w:rPr>
        <w:t xml:space="preserve">单位：万元  </w:t>
      </w:r>
    </w:p>
    <w:tbl>
      <w:tblPr>
        <w:tblStyle w:val="6"/>
        <w:tblW w:w="8874" w:type="dxa"/>
        <w:tblInd w:w="0" w:type="dxa"/>
        <w:tblLayout w:type="fixed"/>
        <w:tblCellMar>
          <w:top w:w="15" w:type="dxa"/>
          <w:left w:w="15" w:type="dxa"/>
          <w:bottom w:w="15" w:type="dxa"/>
          <w:right w:w="15" w:type="dxa"/>
        </w:tblCellMar>
      </w:tblPr>
      <w:tblGrid>
        <w:gridCol w:w="2436"/>
        <w:gridCol w:w="903"/>
        <w:gridCol w:w="962"/>
        <w:gridCol w:w="2643"/>
        <w:gridCol w:w="979"/>
        <w:gridCol w:w="951"/>
      </w:tblGrid>
      <w:tr>
        <w:tblPrEx>
          <w:tblCellMar>
            <w:top w:w="15" w:type="dxa"/>
            <w:left w:w="15" w:type="dxa"/>
            <w:bottom w:w="15" w:type="dxa"/>
            <w:right w:w="15" w:type="dxa"/>
          </w:tblCellMar>
        </w:tblPrEx>
        <w:trPr>
          <w:trHeight w:val="330" w:hRule="atLeast"/>
        </w:trPr>
        <w:tc>
          <w:tcPr>
            <w:tcW w:w="2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方正黑体_GBK"/>
                <w:color w:val="000000"/>
                <w:sz w:val="24"/>
              </w:rPr>
            </w:pPr>
            <w:r>
              <w:rPr>
                <w:rFonts w:ascii="Times New Roman" w:hAnsi="Times New Roman" w:eastAsia="方正黑体_GBK"/>
                <w:color w:val="000000"/>
                <w:sz w:val="24"/>
                <w:lang w:bidi="ar"/>
              </w:rPr>
              <w:t>收入项目</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方正黑体_GBK"/>
                <w:color w:val="000000"/>
                <w:sz w:val="24"/>
                <w:lang w:eastAsia="zh-CN"/>
              </w:rPr>
            </w:pPr>
            <w:r>
              <w:rPr>
                <w:rFonts w:hint="eastAsia" w:ascii="Times New Roman" w:hAnsi="Times New Roman" w:eastAsia="方正黑体_GBK"/>
                <w:color w:val="000000"/>
                <w:sz w:val="24"/>
                <w:lang w:eastAsia="zh-CN" w:bidi="ar"/>
              </w:rPr>
              <w:t>预算数</w:t>
            </w: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方正黑体_GBK"/>
                <w:color w:val="000000"/>
                <w:sz w:val="24"/>
              </w:rPr>
            </w:pPr>
            <w:r>
              <w:rPr>
                <w:rFonts w:ascii="Times New Roman" w:hAnsi="Times New Roman" w:eastAsia="方正黑体_GBK"/>
                <w:color w:val="000000"/>
                <w:sz w:val="24"/>
                <w:lang w:bidi="ar"/>
              </w:rPr>
              <w:t>增长</w:t>
            </w:r>
            <w:r>
              <w:rPr>
                <w:rFonts w:hint="eastAsia" w:ascii="方正黑体_GBK" w:hAnsi="方正黑体_GBK" w:eastAsia="方正黑体_GBK" w:cs="方正黑体_GBK"/>
                <w:color w:val="000000"/>
                <w:sz w:val="24"/>
                <w:lang w:bidi="ar"/>
              </w:rPr>
              <w:t>%</w:t>
            </w:r>
          </w:p>
        </w:tc>
        <w:tc>
          <w:tcPr>
            <w:tcW w:w="2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方正黑体_GBK"/>
                <w:color w:val="000000"/>
                <w:sz w:val="24"/>
              </w:rPr>
            </w:pPr>
            <w:r>
              <w:rPr>
                <w:rFonts w:ascii="Times New Roman" w:hAnsi="Times New Roman" w:eastAsia="方正黑体_GBK"/>
                <w:color w:val="000000"/>
                <w:sz w:val="24"/>
                <w:lang w:bidi="ar"/>
              </w:rPr>
              <w:t>支出项目</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方正黑体_GBK"/>
                <w:color w:val="000000"/>
                <w:sz w:val="24"/>
                <w:lang w:eastAsia="zh-CN"/>
              </w:rPr>
            </w:pPr>
            <w:r>
              <w:rPr>
                <w:rFonts w:hint="eastAsia" w:ascii="Times New Roman" w:hAnsi="Times New Roman" w:eastAsia="方正黑体_GBK"/>
                <w:color w:val="000000"/>
                <w:sz w:val="24"/>
                <w:lang w:eastAsia="zh-CN" w:bidi="ar"/>
              </w:rPr>
              <w:t>预算数</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方正黑体_GBK"/>
                <w:color w:val="000000"/>
                <w:sz w:val="24"/>
              </w:rPr>
            </w:pPr>
            <w:r>
              <w:rPr>
                <w:rFonts w:ascii="Times New Roman" w:hAnsi="Times New Roman" w:eastAsia="方正黑体_GBK"/>
                <w:color w:val="000000"/>
                <w:sz w:val="24"/>
                <w:lang w:bidi="ar"/>
              </w:rPr>
              <w:t>增长</w:t>
            </w:r>
            <w:r>
              <w:rPr>
                <w:rFonts w:hint="eastAsia" w:ascii="方正黑体_GBK" w:hAnsi="方正黑体_GBK" w:eastAsia="方正黑体_GBK" w:cs="方正黑体_GBK"/>
                <w:color w:val="000000"/>
                <w:sz w:val="24"/>
                <w:lang w:bidi="ar"/>
              </w:rPr>
              <w:t>%</w:t>
            </w:r>
          </w:p>
        </w:tc>
      </w:tr>
      <w:tr>
        <w:tblPrEx>
          <w:tblCellMar>
            <w:top w:w="15" w:type="dxa"/>
            <w:left w:w="15" w:type="dxa"/>
            <w:bottom w:w="15" w:type="dxa"/>
            <w:right w:w="15" w:type="dxa"/>
          </w:tblCellMar>
        </w:tblPrEx>
        <w:trPr>
          <w:trHeight w:val="330" w:hRule="atLeast"/>
        </w:trPr>
        <w:tc>
          <w:tcPr>
            <w:tcW w:w="2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方正黑体_GBK" w:hAnsi="方正黑体_GBK" w:eastAsia="方正黑体_GBK" w:cs="方正黑体_GBK"/>
                <w:color w:val="000000"/>
                <w:sz w:val="24"/>
              </w:rPr>
            </w:pP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宋体"/>
                <w:color w:val="000000"/>
                <w:sz w:val="24"/>
              </w:rPr>
            </w:pPr>
          </w:p>
        </w:tc>
        <w:tc>
          <w:tcPr>
            <w:tcW w:w="2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方正黑体_GBK" w:hAnsi="方正黑体_GBK" w:eastAsia="方正黑体_GBK" w:cs="方正黑体_GBK"/>
                <w:color w:val="000000"/>
                <w:sz w:val="24"/>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宋体"/>
                <w:color w:val="000000"/>
                <w:sz w:val="24"/>
              </w:rPr>
            </w:pPr>
          </w:p>
        </w:tc>
      </w:tr>
      <w:tr>
        <w:tblPrEx>
          <w:tblCellMar>
            <w:top w:w="15" w:type="dxa"/>
            <w:left w:w="15" w:type="dxa"/>
            <w:bottom w:w="15" w:type="dxa"/>
            <w:right w:w="15" w:type="dxa"/>
          </w:tblCellMar>
        </w:tblPrEx>
        <w:trPr>
          <w:trHeight w:val="330" w:hRule="atLeast"/>
        </w:trPr>
        <w:tc>
          <w:tcPr>
            <w:tcW w:w="2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方正黑体_GBK" w:hAnsi="方正黑体_GBK" w:eastAsia="方正黑体_GBK" w:cs="方正黑体_GBK"/>
                <w:color w:val="000000"/>
                <w:sz w:val="24"/>
              </w:rPr>
            </w:pP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宋体"/>
                <w:color w:val="000000"/>
                <w:sz w:val="24"/>
              </w:rPr>
            </w:pPr>
          </w:p>
        </w:tc>
        <w:tc>
          <w:tcPr>
            <w:tcW w:w="2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方正黑体_GBK" w:hAnsi="方正黑体_GBK" w:eastAsia="方正黑体_GBK" w:cs="方正黑体_GBK"/>
                <w:color w:val="000000"/>
                <w:sz w:val="24"/>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宋体"/>
                <w:color w:val="000000"/>
                <w:sz w:val="24"/>
              </w:rPr>
            </w:pPr>
          </w:p>
        </w:tc>
      </w:tr>
      <w:tr>
        <w:tblPrEx>
          <w:tblCellMar>
            <w:top w:w="15" w:type="dxa"/>
            <w:left w:w="15" w:type="dxa"/>
            <w:bottom w:w="15" w:type="dxa"/>
            <w:right w:w="15" w:type="dxa"/>
          </w:tblCellMar>
        </w:tblPrEx>
        <w:trPr>
          <w:trHeight w:val="330" w:hRule="atLeast"/>
        </w:trPr>
        <w:tc>
          <w:tcPr>
            <w:tcW w:w="2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cs="方正仿宋_GBK"/>
                <w:color w:val="000000"/>
                <w:sz w:val="24"/>
              </w:rPr>
            </w:pP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宋体"/>
                <w:color w:val="000000"/>
                <w:sz w:val="24"/>
              </w:rPr>
            </w:pPr>
          </w:p>
        </w:tc>
        <w:tc>
          <w:tcPr>
            <w:tcW w:w="2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cs="方正仿宋_GBK"/>
                <w:color w:val="000000"/>
                <w:sz w:val="24"/>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ascii="Times New Roman" w:hAnsi="Times New Roman" w:eastAsia="宋体"/>
                <w:color w:val="000000"/>
                <w:sz w:val="24"/>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宋体"/>
                <w:color w:val="000000"/>
                <w:sz w:val="24"/>
              </w:rPr>
            </w:pPr>
          </w:p>
        </w:tc>
      </w:tr>
    </w:tbl>
    <w:p>
      <w:pPr>
        <w:snapToGrid w:val="0"/>
        <w:ind w:right="-384" w:rightChars="-120"/>
        <w:rPr>
          <w:rFonts w:hint="eastAsia" w:eastAsia="方正仿宋_GBK"/>
          <w:lang w:val="en-US" w:eastAsia="zh-CN"/>
        </w:rPr>
        <w:sectPr>
          <w:pgSz w:w="11906" w:h="16838"/>
          <w:pgMar w:top="2098" w:right="1531" w:bottom="2041" w:left="1531" w:header="851" w:footer="1474" w:gutter="0"/>
          <w:pgBorders>
            <w:top w:val="none" w:sz="0" w:space="0"/>
            <w:left w:val="none" w:sz="0" w:space="0"/>
            <w:bottom w:val="none" w:sz="0" w:space="0"/>
            <w:right w:val="none" w:sz="0" w:space="0"/>
          </w:pgBorders>
          <w:cols w:space="720" w:num="1"/>
          <w:docGrid w:type="lines" w:linePitch="577" w:charSpace="-849"/>
        </w:sectPr>
      </w:pPr>
      <w:r>
        <w:rPr>
          <w:rFonts w:hint="eastAsia" w:ascii="方正黑体_GBK" w:hAnsi="方正黑体_GBK" w:eastAsia="方正黑体_GBK" w:cs="方正黑体_GBK"/>
          <w:color w:val="000000"/>
          <w:sz w:val="21"/>
          <w:szCs w:val="21"/>
        </w:rPr>
        <w:t>注：</w:t>
      </w:r>
      <w:r>
        <w:rPr>
          <w:rFonts w:hint="eastAsia" w:ascii="Times New Roman" w:hAnsi="Times New Roman" w:eastAsia="方正仿宋_GBK"/>
          <w:color w:val="000000"/>
          <w:sz w:val="21"/>
          <w:szCs w:val="21"/>
          <w:lang w:eastAsia="zh-CN"/>
        </w:rPr>
        <w:t>社会保险基金预算由市级统筹管理，</w:t>
      </w:r>
      <w:bookmarkStart w:id="0" w:name="_GoBack"/>
      <w:bookmarkEnd w:id="0"/>
      <w:r>
        <w:rPr>
          <w:rFonts w:hint="eastAsia" w:ascii="Times New Roman" w:hAnsi="Times New Roman" w:eastAsia="方正仿宋_GBK"/>
          <w:color w:val="000000"/>
          <w:sz w:val="21"/>
          <w:szCs w:val="21"/>
          <w:lang w:eastAsia="zh-CN"/>
        </w:rPr>
        <w:t>区县无社会保险基金预算，因而本表无数据。</w:t>
      </w:r>
    </w:p>
    <w:p>
      <w:pPr>
        <w:spacing w:line="594" w:lineRule="exact"/>
        <w:jc w:val="both"/>
        <w:rPr>
          <w:rFonts w:ascii="方正小标宋_GBK" w:hAnsi="方正小标宋_GBK" w:eastAsia="方正小标宋_GBK" w:cs="方正小标宋_GBK"/>
          <w:color w:val="000000"/>
          <w:sz w:val="44"/>
          <w:szCs w:val="44"/>
        </w:rPr>
      </w:pPr>
    </w:p>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370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pPr>
      <w:widowControl w:val="0"/>
      <w:adjustRightInd w:val="0"/>
      <w:jc w:val="both"/>
    </w:pPr>
    <w:rPr>
      <w:rFonts w:hint="eastAsia" w:ascii="方正仿宋_GBK" w:hAnsi="方正仿宋_GBK" w:eastAsia="方正仿宋_GBK" w:cs="Times New Roman"/>
      <w:sz w:val="32"/>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ascii="Cambria" w:hAnsi="Cambria" w:eastAsia="宋体" w:cs="Times New Roman"/>
      <w:b/>
      <w:bCs/>
      <w:szCs w:val="32"/>
    </w:rPr>
  </w:style>
  <w:style w:type="paragraph" w:styleId="2">
    <w:name w:val="heading 4"/>
    <w:basedOn w:val="3"/>
    <w:next w:val="1"/>
    <w:qFormat/>
    <w:uiPriority w:val="0"/>
    <w:pPr>
      <w:outlineLvl w:val="3"/>
    </w:p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adjustRightInd/>
      <w:snapToGrid w:val="0"/>
      <w:jc w:val="left"/>
    </w:pPr>
    <w:rPr>
      <w:rFonts w:hint="eastAsia" w:ascii="Calibri" w:hAnsi="Calibri" w:eastAsia="宋体"/>
      <w:kern w:val="2"/>
      <w:sz w:val="18"/>
    </w:rPr>
  </w:style>
  <w:style w:type="paragraph" w:styleId="5">
    <w:name w:val="header"/>
    <w:basedOn w:val="1"/>
    <w:unhideWhenUsed/>
    <w:qFormat/>
    <w:uiPriority w:val="99"/>
    <w:pPr>
      <w:pBdr>
        <w:bottom w:val="single" w:color="auto" w:sz="6" w:space="1"/>
      </w:pBdr>
      <w:tabs>
        <w:tab w:val="center" w:pos="4153"/>
        <w:tab w:val="right" w:pos="8306"/>
      </w:tabs>
      <w:adjustRightInd/>
      <w:snapToGrid w:val="0"/>
      <w:jc w:val="center"/>
    </w:pPr>
    <w:rPr>
      <w:rFonts w:hint="eastAsia" w:ascii="Calibri" w:hAnsi="Calibri" w:eastAsia="宋体"/>
      <w:kern w:val="2"/>
      <w:sz w:val="18"/>
    </w:rPr>
  </w:style>
  <w:style w:type="character" w:styleId="8">
    <w:name w:val="page number"/>
    <w:unhideWhenUsed/>
    <w:qFormat/>
    <w:uiPriority w:val="99"/>
    <w:rPr>
      <w:rFonts w:hint="eastAsia" w:ascii="宋体" w:hAnsi="Times New Roman" w:eastAsia="宋体"/>
      <w:snapToGrid w:val="0"/>
      <w:sz w:val="28"/>
    </w:rPr>
  </w:style>
  <w:style w:type="character" w:customStyle="1" w:styleId="9">
    <w:name w:val="font11"/>
    <w:qFormat/>
    <w:uiPriority w:val="0"/>
    <w:rPr>
      <w:rFonts w:hint="eastAsia" w:ascii="宋体" w:hAnsi="宋体" w:eastAsia="宋体" w:cs="宋体"/>
      <w:color w:val="FFFFFF"/>
      <w:sz w:val="22"/>
      <w:szCs w:val="22"/>
      <w:u w:val="none"/>
    </w:rPr>
  </w:style>
  <w:style w:type="character" w:customStyle="1" w:styleId="10">
    <w:name w:val="font31"/>
    <w:qFormat/>
    <w:uiPriority w:val="0"/>
    <w:rPr>
      <w:rFonts w:hint="eastAsia" w:ascii="宋体" w:hAnsi="宋体" w:eastAsia="宋体" w:cs="宋体"/>
      <w:color w:val="000000"/>
      <w:sz w:val="22"/>
      <w:szCs w:val="22"/>
      <w:u w:val="none"/>
    </w:rPr>
  </w:style>
  <w:style w:type="character" w:customStyle="1" w:styleId="11">
    <w:name w:val="font81"/>
    <w:qFormat/>
    <w:uiPriority w:val="0"/>
    <w:rPr>
      <w:rFonts w:hint="eastAsia" w:ascii="宋体" w:hAnsi="宋体" w:eastAsia="宋体" w:cs="宋体"/>
      <w:b/>
      <w:color w:val="000000"/>
      <w:sz w:val="22"/>
      <w:szCs w:val="22"/>
      <w:u w:val="none"/>
    </w:rPr>
  </w:style>
  <w:style w:type="character" w:customStyle="1" w:styleId="12">
    <w:name w:val="font61"/>
    <w:qFormat/>
    <w:uiPriority w:val="0"/>
    <w:rPr>
      <w:rFonts w:hint="eastAsia" w:ascii="宋体" w:hAnsi="宋体" w:eastAsia="宋体" w:cs="宋体"/>
      <w:b/>
      <w:color w:val="000000"/>
      <w:sz w:val="22"/>
      <w:szCs w:val="22"/>
      <w:u w:val="none"/>
    </w:rPr>
  </w:style>
  <w:style w:type="character" w:customStyle="1" w:styleId="13">
    <w:name w:val="font41"/>
    <w:qFormat/>
    <w:uiPriority w:val="0"/>
    <w:rPr>
      <w:rFonts w:hint="eastAsia" w:ascii="宋体" w:hAnsi="宋体" w:eastAsia="宋体" w:cs="宋体"/>
      <w:b/>
      <w:color w:val="FFFFFF"/>
      <w:sz w:val="22"/>
      <w:szCs w:val="22"/>
      <w:u w:val="none"/>
    </w:rPr>
  </w:style>
  <w:style w:type="character" w:customStyle="1" w:styleId="14">
    <w:name w:val="font121"/>
    <w:qFormat/>
    <w:uiPriority w:val="0"/>
    <w:rPr>
      <w:rFonts w:hint="eastAsia" w:ascii="宋体" w:hAnsi="宋体" w:eastAsia="宋体" w:cs="宋体"/>
      <w:color w:val="000000"/>
      <w:sz w:val="22"/>
      <w:szCs w:val="22"/>
      <w:u w:val="none"/>
    </w:rPr>
  </w:style>
  <w:style w:type="character" w:customStyle="1" w:styleId="15">
    <w:name w:val="font91"/>
    <w:qFormat/>
    <w:uiPriority w:val="0"/>
    <w:rPr>
      <w:rFonts w:hint="eastAsia" w:ascii="宋体" w:hAnsi="宋体" w:eastAsia="宋体" w:cs="宋体"/>
      <w:color w:val="FFFFFF"/>
      <w:sz w:val="22"/>
      <w:szCs w:val="22"/>
      <w:u w:val="none"/>
    </w:rPr>
  </w:style>
  <w:style w:type="character" w:customStyle="1" w:styleId="16">
    <w:name w:val="font131"/>
    <w:qFormat/>
    <w:uiPriority w:val="0"/>
    <w:rPr>
      <w:rFonts w:hint="eastAsia" w:ascii="宋体" w:hAnsi="宋体" w:eastAsia="宋体" w:cs="宋体"/>
      <w:b/>
      <w:color w:val="000000"/>
      <w:sz w:val="22"/>
      <w:szCs w:val="22"/>
      <w:u w:val="none"/>
    </w:rPr>
  </w:style>
  <w:style w:type="character" w:customStyle="1" w:styleId="17">
    <w:name w:val="font141"/>
    <w:qFormat/>
    <w:uiPriority w:val="0"/>
    <w:rPr>
      <w:rFonts w:hint="eastAsia" w:ascii="宋体" w:hAnsi="宋体" w:eastAsia="宋体" w:cs="宋体"/>
      <w:b/>
      <w:color w:val="000000"/>
      <w:sz w:val="22"/>
      <w:szCs w:val="22"/>
      <w:u w:val="none"/>
    </w:rPr>
  </w:style>
  <w:style w:type="character" w:customStyle="1" w:styleId="18">
    <w:name w:val="font01"/>
    <w:basedOn w:val="7"/>
    <w:uiPriority w:val="0"/>
    <w:rPr>
      <w:rFonts w:hint="eastAsia" w:ascii="宋体" w:hAnsi="宋体" w:eastAsia="宋体" w:cs="宋体"/>
      <w:color w:val="000000"/>
      <w:sz w:val="24"/>
      <w:szCs w:val="24"/>
      <w:u w:val="none"/>
    </w:rPr>
  </w:style>
  <w:style w:type="character" w:customStyle="1" w:styleId="19">
    <w:name w:val="font111"/>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2021-05-24T09:59:19Z</dcterms:created>
  <dc:creator>Administrator</dc:creator>
  <cp:lastModifiedBy>、</cp:lastModifiedBy>
  <dcterms:modified xsi:type="dcterms:W3CDTF">2021-05-24T10:00:06Z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