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</w:tabs>
        <w:autoSpaceDE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关坝镇电鱼、毒鱼、炸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鱼等违法行为</w:t>
      </w:r>
    </w:p>
    <w:p>
      <w:pPr>
        <w:tabs>
          <w:tab w:val="left" w:pos="7728"/>
        </w:tabs>
        <w:autoSpaceDE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专项整治行动领导小组名单</w:t>
      </w:r>
    </w:p>
    <w:p>
      <w:pPr>
        <w:tabs>
          <w:tab w:val="left" w:pos="7728"/>
        </w:tabs>
        <w:autoSpaceDE w:val="0"/>
        <w:spacing w:line="400" w:lineRule="exact"/>
        <w:jc w:val="left"/>
        <w:rPr>
          <w:rFonts w:hint="eastAsia" w:ascii="方正仿宋_GBK" w:eastAsia="方正仿宋_GBK"/>
          <w:color w:val="000000"/>
          <w:szCs w:val="32"/>
        </w:rPr>
      </w:pPr>
    </w:p>
    <w:p>
      <w:pPr>
        <w:tabs>
          <w:tab w:val="left" w:pos="7728"/>
        </w:tabs>
        <w:autoSpaceDE w:val="0"/>
        <w:spacing w:line="560" w:lineRule="exact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组  长：王  禹  党委副书记、人大副主席</w:t>
      </w:r>
    </w:p>
    <w:p>
      <w:pPr>
        <w:tabs>
          <w:tab w:val="left" w:pos="7728"/>
        </w:tabs>
        <w:autoSpaceDE w:val="0"/>
        <w:spacing w:line="560" w:lineRule="exact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副组长：封  蕾  党委委员、派出所所长</w:t>
      </w:r>
    </w:p>
    <w:p>
      <w:pPr>
        <w:tabs>
          <w:tab w:val="left" w:pos="7728"/>
        </w:tabs>
        <w:autoSpaceDE w:val="0"/>
        <w:spacing w:line="560" w:lineRule="exact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成  员：王  磊  党政办负责人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沈明强  财政办负责人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犹元康  经发办主任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王  鹏  规建环保办负责人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万青明  农业服务中心主任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张  勇  文服中心主任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刘  海  派出所教导员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翁光福  凉风村委会主任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卢祥元  坪坝村委会主任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杨光其  兴隆村委会主任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赵  昕  双坝村委会主任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李万银  兴文村委会主任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曾凡刚  光明村委会主任</w:t>
      </w:r>
    </w:p>
    <w:p>
      <w:pPr>
        <w:tabs>
          <w:tab w:val="left" w:pos="7728"/>
        </w:tabs>
        <w:autoSpaceDE w:val="0"/>
        <w:spacing w:line="560" w:lineRule="exact"/>
        <w:ind w:firstLine="1280" w:firstLineChars="400"/>
        <w:jc w:val="left"/>
        <w:rPr>
          <w:rFonts w:hint="eastAsia"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Cs w:val="32"/>
        </w:rPr>
        <w:t>胡万梅  田坝村书记、主任</w:t>
      </w:r>
    </w:p>
    <w:p>
      <w:r>
        <w:rPr>
          <w:rFonts w:hint="eastAsia" w:ascii="方正仿宋_GBK" w:eastAsia="方正仿宋_GBK"/>
          <w:color w:val="000000"/>
          <w:szCs w:val="32"/>
        </w:rPr>
        <w:t>领导小组下设办公室，办公地点设在镇农业服务中心，由万青明兼任办公室主任，农业服务中心相关工作人员负责日常事务。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5991"/>
    <w:rsid w:val="4BD6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2020-09-07T02:17:00Z</dcterms:created>
  <dc:creator>Administrator</dc:creator>
  <cp:lastModifiedBy>Administrator</cp:lastModifiedBy>
  <dcterms:modified xsi:type="dcterms:W3CDTF">2020-09-07T02:18:09Z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