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600" w:lineRule="exact"/>
        <w:jc w:val="center"/>
        <w:rPr>
          <w:rFonts w:hint="eastAsia" w:ascii="Times New Roman" w:eastAsia="方正小标宋_GBK"/>
          <w:sz w:val="44"/>
          <w:szCs w:val="44"/>
        </w:rPr>
      </w:pPr>
      <w:r>
        <w:rPr>
          <w:rFonts w:hint="eastAsia" w:ascii="Times New Roman" w:hAnsi="方正小标宋_GBK" w:eastAsia="方正小标宋_GBK" w:cs="方正小标宋_GBK"/>
          <w:sz w:val="44"/>
          <w:szCs w:val="44"/>
        </w:rPr>
        <w:t>重庆市万盛经开区管委会</w:t>
      </w:r>
      <w:r>
        <w:rPr>
          <w:rFonts w:hint="eastAsia" w:ascii="Times New Roman" w:eastAsia="方正小标宋_GBK"/>
          <w:sz w:val="44"/>
          <w:szCs w:val="44"/>
        </w:rPr>
        <w:t>关于</w:t>
      </w:r>
    </w:p>
    <w:p>
      <w:pPr>
        <w:spacing w:line="600" w:lineRule="exact"/>
        <w:jc w:val="center"/>
        <w:rPr>
          <w:rFonts w:hint="eastAsia" w:ascii="Times New Roman" w:eastAsia="方正小标宋_GBK"/>
          <w:sz w:val="44"/>
          <w:szCs w:val="44"/>
        </w:rPr>
      </w:pPr>
      <w:r>
        <w:rPr>
          <w:rFonts w:hint="eastAsia" w:ascii="Times New Roman" w:eastAsia="方正小标宋_GBK"/>
          <w:sz w:val="44"/>
          <w:szCs w:val="44"/>
        </w:rPr>
        <w:t>规范国有土地上房屋征收与补偿标准制定和</w:t>
      </w:r>
    </w:p>
    <w:p>
      <w:pPr>
        <w:spacing w:line="560" w:lineRule="exact"/>
        <w:jc w:val="center"/>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Times New Roman" w:eastAsia="方正小标宋_GBK"/>
          <w:sz w:val="44"/>
          <w:szCs w:val="44"/>
        </w:rPr>
        <w:t>执行工作的通知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eastAsia="方正仿宋_GBK" w:hAnsiTheme="minorHAnsi" w:cstheme="minorBidi"/>
          <w:b w:val="0"/>
          <w:kern w:val="2"/>
          <w:sz w:val="32"/>
          <w:szCs w:val="32"/>
          <w:lang w:val="en-US" w:eastAsia="zh-CN" w:bidi="ar-SA"/>
        </w:rPr>
      </w:pPr>
      <w:r>
        <w:rPr>
          <w:rFonts w:hint="eastAsia" w:ascii="方正仿宋_GBK" w:eastAsia="方正仿宋_GBK" w:hAnsiTheme="minorHAnsi" w:cstheme="minorBidi"/>
          <w:b w:val="0"/>
          <w:kern w:val="2"/>
          <w:sz w:val="32"/>
          <w:szCs w:val="32"/>
          <w:lang w:val="en-US" w:eastAsia="zh-CN" w:bidi="ar-SA"/>
        </w:rPr>
        <w:t>万盛经开发〔2022〕</w:t>
      </w:r>
      <w:r>
        <w:rPr>
          <w:rFonts w:hint="eastAsia" w:ascii="方正仿宋_GBK" w:eastAsia="方正仿宋_GBK" w:cstheme="minorBidi"/>
          <w:b w:val="0"/>
          <w:kern w:val="2"/>
          <w:sz w:val="32"/>
          <w:szCs w:val="32"/>
          <w:lang w:val="en-US" w:eastAsia="zh-CN" w:bidi="ar-SA"/>
        </w:rPr>
        <w:t>20</w:t>
      </w:r>
      <w:r>
        <w:rPr>
          <w:rFonts w:hint="eastAsia" w:ascii="方正仿宋_GBK" w:eastAsia="方正仿宋_GBK" w:hAnsiTheme="minorHAnsi" w:cstheme="minorBidi"/>
          <w:b w:val="0"/>
          <w:kern w:val="2"/>
          <w:sz w:val="32"/>
          <w:szCs w:val="32"/>
          <w:lang w:val="en-US" w:eastAsia="zh-CN" w:bidi="ar-SA"/>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eastAsia="方正仿宋_GBK"/>
          <w:color w:val="000000"/>
          <w:sz w:val="32"/>
          <w:szCs w:val="32"/>
        </w:rPr>
      </w:pPr>
      <w:r>
        <w:rPr>
          <w:rFonts w:hint="eastAsia" w:eastAsia="方正仿宋_GBK"/>
          <w:color w:val="000000"/>
          <w:sz w:val="32"/>
          <w:szCs w:val="32"/>
        </w:rPr>
        <w:t>各镇人民政府，各街道办事处，管委会各部门，区属国有重点企业，驻经开区有关单位：</w:t>
      </w:r>
    </w:p>
    <w:p>
      <w:pPr>
        <w:spacing w:line="594" w:lineRule="exact"/>
        <w:ind w:firstLine="640" w:firstLineChars="200"/>
        <w:rPr>
          <w:rFonts w:eastAsia="方正仿宋_GBK"/>
          <w:sz w:val="32"/>
          <w:szCs w:val="32"/>
        </w:rPr>
      </w:pPr>
      <w:r>
        <w:rPr>
          <w:rFonts w:eastAsia="方正仿宋_GBK"/>
          <w:color w:val="000000"/>
          <w:sz w:val="32"/>
          <w:szCs w:val="32"/>
        </w:rPr>
        <w:t>为</w:t>
      </w:r>
      <w:r>
        <w:rPr>
          <w:rFonts w:eastAsia="方正仿宋_GBK"/>
          <w:sz w:val="32"/>
          <w:szCs w:val="32"/>
        </w:rPr>
        <w:t>进一步规范我区国有土地上房屋征收补偿</w:t>
      </w:r>
      <w:r>
        <w:rPr>
          <w:rFonts w:hint="eastAsia" w:eastAsia="方正仿宋_GBK"/>
          <w:sz w:val="32"/>
          <w:szCs w:val="32"/>
        </w:rPr>
        <w:t>工作</w:t>
      </w:r>
      <w:r>
        <w:rPr>
          <w:rFonts w:eastAsia="方正仿宋_GBK"/>
          <w:sz w:val="32"/>
          <w:szCs w:val="32"/>
        </w:rPr>
        <w:t>（以下简称</w:t>
      </w:r>
      <w:r>
        <w:rPr>
          <w:rFonts w:hint="eastAsia" w:ascii="方正仿宋_GBK" w:hAnsi="方正仿宋_GBK" w:eastAsia="方正仿宋_GBK" w:cs="方正仿宋_GBK"/>
          <w:sz w:val="32"/>
          <w:szCs w:val="32"/>
        </w:rPr>
        <w:t>“房屋征收补偿工作”）</w:t>
      </w:r>
      <w:r>
        <w:rPr>
          <w:rFonts w:eastAsia="方正仿宋_GBK"/>
          <w:sz w:val="32"/>
          <w:szCs w:val="32"/>
        </w:rPr>
        <w:t>，保障被征收人合法权益，推动房屋征收补偿工作可持续开展，根据《国有土地上房屋征收与补偿条例》《重庆市国有土地上房屋征收与补偿条例》《重庆市国有土地上房屋征收与补偿条例实施细则》</w:t>
      </w:r>
      <w:r>
        <w:rPr>
          <w:rFonts w:hint="eastAsia" w:ascii="方正仿宋_GBK" w:hAnsi="方正仿宋_GBK" w:eastAsia="方正仿宋_GBK" w:cs="方正仿宋_GBK"/>
          <w:sz w:val="32"/>
          <w:szCs w:val="32"/>
        </w:rPr>
        <w:t>（渝府发〔2022〕26号，</w:t>
      </w:r>
      <w:r>
        <w:rPr>
          <w:rFonts w:eastAsia="方正仿宋_GBK"/>
          <w:sz w:val="32"/>
          <w:szCs w:val="32"/>
        </w:rPr>
        <w:t>以下简称《实施细则》）</w:t>
      </w:r>
      <w:r>
        <w:rPr>
          <w:rFonts w:hint="eastAsia" w:eastAsia="方正仿宋_GBK"/>
          <w:sz w:val="32"/>
          <w:szCs w:val="32"/>
        </w:rPr>
        <w:t>和</w:t>
      </w:r>
      <w:r>
        <w:rPr>
          <w:rFonts w:eastAsia="方正仿宋_GBK"/>
          <w:sz w:val="32"/>
          <w:szCs w:val="32"/>
        </w:rPr>
        <w:t>《重庆市住房和城乡建设委员会关于</w:t>
      </w:r>
      <w:r>
        <w:rPr>
          <w:rFonts w:hint="eastAsia" w:eastAsia="方正仿宋_GBK"/>
          <w:sz w:val="32"/>
          <w:szCs w:val="32"/>
        </w:rPr>
        <w:t>全市</w:t>
      </w:r>
      <w:r>
        <w:rPr>
          <w:rFonts w:eastAsia="方正仿宋_GBK"/>
          <w:sz w:val="32"/>
          <w:szCs w:val="32"/>
        </w:rPr>
        <w:t>执行</w:t>
      </w:r>
      <w:r>
        <w:rPr>
          <w:rFonts w:hint="eastAsia" w:eastAsia="方正仿宋_GBK"/>
          <w:sz w:val="32"/>
          <w:szCs w:val="32"/>
        </w:rPr>
        <w:t>统一的</w:t>
      </w:r>
      <w:r>
        <w:rPr>
          <w:rFonts w:eastAsia="方正仿宋_GBK"/>
          <w:sz w:val="32"/>
          <w:szCs w:val="32"/>
        </w:rPr>
        <w:t>国有土地上房屋征收补偿科目及单项最高限额标准制度的通知》</w:t>
      </w:r>
      <w:r>
        <w:rPr>
          <w:rFonts w:hint="eastAsia" w:eastAsia="方正仿宋_GBK"/>
          <w:sz w:val="32"/>
          <w:szCs w:val="32"/>
        </w:rPr>
        <w:t>（渝建征</w:t>
      </w:r>
      <w:r>
        <w:rPr>
          <w:rFonts w:hint="eastAsia" w:ascii="方正仿宋_GBK" w:hAnsi="方正仿宋_GBK" w:eastAsia="方正仿宋_GBK" w:cs="方正仿宋_GBK"/>
          <w:sz w:val="32"/>
          <w:szCs w:val="32"/>
        </w:rPr>
        <w:t>〔2022〕10号</w:t>
      </w:r>
      <w:r>
        <w:rPr>
          <w:rFonts w:hint="eastAsia" w:eastAsia="方正仿宋_GBK"/>
          <w:sz w:val="32"/>
          <w:szCs w:val="32"/>
        </w:rPr>
        <w:t>）等规定，</w:t>
      </w:r>
      <w:r>
        <w:rPr>
          <w:rFonts w:hint="eastAsia" w:ascii="方正仿宋_GBK" w:hAnsi="方正仿宋_GBK" w:eastAsia="方正仿宋_GBK" w:cs="方正仿宋_GBK"/>
          <w:sz w:val="32"/>
          <w:szCs w:val="32"/>
        </w:rPr>
        <w:t>结合《万盛经开区国有土地上房屋征收与补偿</w:t>
      </w:r>
      <w:r>
        <w:rPr>
          <w:rFonts w:eastAsia="方正仿宋_GBK"/>
          <w:sz w:val="32"/>
          <w:szCs w:val="32"/>
        </w:rPr>
        <w:t>实施办法》</w:t>
      </w:r>
      <w:r>
        <w:rPr>
          <w:rFonts w:hint="eastAsia" w:eastAsia="方正仿宋_GBK"/>
          <w:sz w:val="32"/>
          <w:szCs w:val="32"/>
        </w:rPr>
        <w:t>（万盛经开发</w:t>
      </w:r>
      <w:r>
        <w:rPr>
          <w:rFonts w:hint="eastAsia" w:ascii="方正仿宋_GBK" w:hAnsi="方正仿宋_GBK" w:eastAsia="方正仿宋_GBK" w:cs="方正仿宋_GBK"/>
          <w:sz w:val="32"/>
          <w:szCs w:val="32"/>
        </w:rPr>
        <w:t>〔2022〕19号</w:t>
      </w:r>
      <w:r>
        <w:rPr>
          <w:rFonts w:hint="eastAsia" w:eastAsia="方正仿宋_GBK"/>
          <w:sz w:val="32"/>
          <w:szCs w:val="32"/>
        </w:rPr>
        <w:t>，</w:t>
      </w:r>
      <w:r>
        <w:rPr>
          <w:rFonts w:eastAsia="方正仿宋_GBK"/>
          <w:sz w:val="32"/>
          <w:szCs w:val="32"/>
        </w:rPr>
        <w:t>以下简称《实施办法》），现就有关事项通知如下：</w:t>
      </w:r>
    </w:p>
    <w:p>
      <w:pPr>
        <w:spacing w:line="594" w:lineRule="exact"/>
        <w:ind w:firstLine="640" w:firstLineChars="200"/>
        <w:rPr>
          <w:rFonts w:eastAsia="方正仿宋_GBK"/>
          <w:sz w:val="32"/>
          <w:szCs w:val="32"/>
        </w:rPr>
      </w:pPr>
      <w:r>
        <w:rPr>
          <w:rFonts w:hint="eastAsia" w:eastAsia="方正仿宋_GBK"/>
          <w:color w:val="000000"/>
          <w:sz w:val="32"/>
          <w:szCs w:val="32"/>
        </w:rPr>
        <w:t>一、</w:t>
      </w:r>
      <w:r>
        <w:rPr>
          <w:rFonts w:eastAsia="方正仿宋_GBK"/>
          <w:color w:val="000000"/>
          <w:sz w:val="32"/>
          <w:szCs w:val="32"/>
        </w:rPr>
        <w:t>我区</w:t>
      </w:r>
      <w:r>
        <w:rPr>
          <w:rFonts w:hint="eastAsia" w:eastAsia="方正仿宋_GBK"/>
          <w:color w:val="000000"/>
          <w:sz w:val="32"/>
          <w:szCs w:val="32"/>
        </w:rPr>
        <w:t>国有</w:t>
      </w:r>
      <w:r>
        <w:rPr>
          <w:rFonts w:hint="eastAsia" w:eastAsia="方正仿宋_GBK"/>
          <w:sz w:val="32"/>
          <w:szCs w:val="32"/>
        </w:rPr>
        <w:t>土地上</w:t>
      </w:r>
      <w:r>
        <w:rPr>
          <w:rFonts w:eastAsia="方正仿宋_GBK"/>
          <w:sz w:val="32"/>
          <w:szCs w:val="32"/>
        </w:rPr>
        <w:t>房屋征收补偿科目的单项标准</w:t>
      </w:r>
      <w:r>
        <w:rPr>
          <w:rFonts w:hint="eastAsia" w:eastAsia="方正仿宋_GBK"/>
          <w:sz w:val="32"/>
          <w:szCs w:val="32"/>
        </w:rPr>
        <w:t>由</w:t>
      </w:r>
      <w:r>
        <w:rPr>
          <w:rFonts w:eastAsia="方正仿宋_GBK"/>
          <w:sz w:val="32"/>
          <w:szCs w:val="32"/>
        </w:rPr>
        <w:t>经开区管委会制定。</w:t>
      </w:r>
    </w:p>
    <w:p>
      <w:pPr>
        <w:spacing w:line="594" w:lineRule="exact"/>
        <w:ind w:firstLine="640" w:firstLineChars="200"/>
        <w:rPr>
          <w:rFonts w:eastAsia="方正仿宋_GBK"/>
          <w:sz w:val="32"/>
          <w:szCs w:val="32"/>
        </w:rPr>
      </w:pPr>
      <w:r>
        <w:rPr>
          <w:rFonts w:eastAsia="方正仿宋_GBK"/>
          <w:sz w:val="32"/>
          <w:szCs w:val="32"/>
        </w:rPr>
        <w:t>在</w:t>
      </w:r>
      <w:r>
        <w:rPr>
          <w:rFonts w:hint="eastAsia" w:eastAsia="方正仿宋_GBK"/>
          <w:sz w:val="32"/>
          <w:szCs w:val="32"/>
        </w:rPr>
        <w:t>区住房城乡建设局、财政局</w:t>
      </w:r>
      <w:r>
        <w:rPr>
          <w:rFonts w:eastAsia="方正仿宋_GBK"/>
          <w:sz w:val="32"/>
          <w:szCs w:val="32"/>
        </w:rPr>
        <w:t>指导下，</w:t>
      </w:r>
      <w:r>
        <w:rPr>
          <w:rFonts w:hint="eastAsia" w:eastAsia="方正仿宋_GBK"/>
          <w:sz w:val="32"/>
          <w:szCs w:val="32"/>
        </w:rPr>
        <w:t>区</w:t>
      </w:r>
      <w:r>
        <w:rPr>
          <w:rFonts w:eastAsia="方正仿宋_GBK"/>
          <w:sz w:val="32"/>
          <w:szCs w:val="32"/>
        </w:rPr>
        <w:t>规划自然资源局负责我区房屋征收补偿科目单项标准的拟定、执行工作。</w:t>
      </w:r>
    </w:p>
    <w:p>
      <w:pPr>
        <w:spacing w:line="594" w:lineRule="exact"/>
        <w:ind w:firstLine="640" w:firstLineChars="200"/>
        <w:rPr>
          <w:rFonts w:eastAsia="方正仿宋_GBK"/>
          <w:sz w:val="32"/>
          <w:szCs w:val="32"/>
        </w:rPr>
      </w:pPr>
      <w:r>
        <w:rPr>
          <w:rFonts w:hint="eastAsia" w:eastAsia="方正仿宋_GBK"/>
          <w:sz w:val="32"/>
          <w:szCs w:val="32"/>
        </w:rPr>
        <w:t>二、我区国有土地上</w:t>
      </w:r>
      <w:r>
        <w:rPr>
          <w:rFonts w:eastAsia="方正仿宋_GBK"/>
          <w:sz w:val="32"/>
          <w:szCs w:val="32"/>
        </w:rPr>
        <w:t>房屋征收补偿科目归集为价值补偿、损失补偿、奖励补助三类。其中：</w:t>
      </w:r>
    </w:p>
    <w:p>
      <w:pPr>
        <w:spacing w:line="594" w:lineRule="exact"/>
        <w:ind w:firstLine="640" w:firstLineChars="200"/>
        <w:rPr>
          <w:rFonts w:hint="eastAsia" w:eastAsia="方正仿宋_GBK"/>
          <w:kern w:val="0"/>
          <w:sz w:val="32"/>
          <w:szCs w:val="32"/>
        </w:rPr>
      </w:pPr>
      <w:r>
        <w:rPr>
          <w:rFonts w:hint="eastAsia" w:eastAsia="方正仿宋_GBK"/>
          <w:kern w:val="0"/>
          <w:sz w:val="32"/>
          <w:szCs w:val="32"/>
        </w:rPr>
        <w:t>价值补偿：指按照《实施细则》规定应当给予被征收人房屋补偿面积的评估价值。房屋补偿面积包括被征收房屋产权证载建筑面积、按规定享受公摊系数补足部分的面积，以及按规定享受最低住房保障政策补足部分的面积。</w:t>
      </w:r>
    </w:p>
    <w:p>
      <w:pPr>
        <w:spacing w:line="594" w:lineRule="exact"/>
        <w:ind w:firstLine="640" w:firstLineChars="200"/>
        <w:rPr>
          <w:rFonts w:hint="eastAsia" w:eastAsia="方正仿宋_GBK"/>
          <w:kern w:val="0"/>
          <w:sz w:val="32"/>
          <w:szCs w:val="32"/>
        </w:rPr>
      </w:pPr>
      <w:r>
        <w:rPr>
          <w:rFonts w:hint="eastAsia" w:eastAsia="方正仿宋_GBK"/>
          <w:kern w:val="0"/>
          <w:sz w:val="32"/>
          <w:szCs w:val="32"/>
        </w:rPr>
        <w:t>损失补偿：指按照《实施细则》规定对被征收房屋室内装饰装修及附属设施，以及被征收非住宅的设施设备、停产停业的损失，应当给予被征收人的补偿。</w:t>
      </w:r>
    </w:p>
    <w:p>
      <w:pPr>
        <w:spacing w:line="594" w:lineRule="exact"/>
        <w:ind w:firstLine="640" w:firstLineChars="200"/>
        <w:rPr>
          <w:rFonts w:hint="eastAsia" w:eastAsia="方正仿宋_GBK"/>
          <w:kern w:val="0"/>
          <w:sz w:val="32"/>
          <w:szCs w:val="32"/>
        </w:rPr>
      </w:pPr>
      <w:r>
        <w:rPr>
          <w:rFonts w:hint="eastAsia" w:eastAsia="方正仿宋_GBK"/>
          <w:kern w:val="0"/>
          <w:sz w:val="32"/>
          <w:szCs w:val="32"/>
        </w:rPr>
        <w:t>奖励补助：指根据被征收房屋产权证载建筑面积和按规定享受最低住房保障政策补足部分的面积，给予符合相关条件和情形的被征收人的奖励和补助，包括补偿方式选择的引导、提前签约、按期搬迁和临时安置等方面的奖励和补助。</w:t>
      </w:r>
    </w:p>
    <w:p>
      <w:pPr>
        <w:spacing w:line="594" w:lineRule="exact"/>
        <w:ind w:firstLine="640" w:firstLineChars="200"/>
        <w:rPr>
          <w:rFonts w:hint="eastAsia" w:ascii="方正仿宋_GBK" w:hAnsi="方正仿宋_GBK" w:eastAsia="方正仿宋_GBK" w:cs="方正仿宋_GBK"/>
          <w:kern w:val="0"/>
          <w:sz w:val="32"/>
          <w:szCs w:val="32"/>
        </w:rPr>
      </w:pPr>
      <w:r>
        <w:rPr>
          <w:rFonts w:hint="eastAsia" w:eastAsia="方正仿宋_GBK"/>
          <w:kern w:val="0"/>
          <w:sz w:val="32"/>
          <w:szCs w:val="32"/>
        </w:rPr>
        <w:t>三、</w:t>
      </w:r>
      <w:r>
        <w:rPr>
          <w:rFonts w:hint="eastAsia" w:ascii="Times New Roman" w:hAnsi="Times New Roman" w:eastAsia="方正仿宋_GBK" w:cs="Times New Roman"/>
          <w:sz w:val="32"/>
          <w:szCs w:val="32"/>
        </w:rPr>
        <w:t>全</w:t>
      </w:r>
      <w:r>
        <w:rPr>
          <w:rFonts w:hint="eastAsia" w:eastAsia="方正仿宋_GBK" w:cs="Times New Roman"/>
          <w:sz w:val="32"/>
          <w:szCs w:val="32"/>
        </w:rPr>
        <w:t>区</w:t>
      </w:r>
      <w:r>
        <w:rPr>
          <w:rFonts w:hint="eastAsia" w:ascii="Times New Roman" w:hAnsi="Times New Roman" w:eastAsia="方正仿宋_GBK" w:cs="Times New Roman"/>
          <w:sz w:val="32"/>
          <w:szCs w:val="32"/>
        </w:rPr>
        <w:t>实行</w:t>
      </w:r>
      <w:r>
        <w:rPr>
          <w:rFonts w:hint="eastAsia" w:eastAsia="方正仿宋_GBK" w:cs="Times New Roman"/>
          <w:sz w:val="32"/>
          <w:szCs w:val="32"/>
        </w:rPr>
        <w:t>的</w:t>
      </w:r>
      <w:r>
        <w:rPr>
          <w:rFonts w:hint="eastAsia" w:ascii="Times New Roman" w:hAnsi="Times New Roman" w:eastAsia="方正仿宋_GBK" w:cs="Times New Roman"/>
          <w:sz w:val="32"/>
          <w:szCs w:val="32"/>
        </w:rPr>
        <w:t>损失补偿和奖励补助单项标准按附件执行，其中停产停业损失补偿标准按《实施</w:t>
      </w:r>
      <w:r>
        <w:rPr>
          <w:rFonts w:hint="eastAsia" w:eastAsia="方正仿宋_GBK" w:cs="Times New Roman"/>
          <w:sz w:val="32"/>
          <w:szCs w:val="32"/>
        </w:rPr>
        <w:t>办法</w:t>
      </w:r>
      <w:r>
        <w:rPr>
          <w:rFonts w:hint="eastAsia" w:ascii="Times New Roman" w:hAnsi="Times New Roman" w:eastAsia="方正仿宋_GBK" w:cs="Times New Roman"/>
          <w:sz w:val="32"/>
          <w:szCs w:val="32"/>
        </w:rPr>
        <w:t>》第四十</w:t>
      </w:r>
      <w:r>
        <w:rPr>
          <w:rFonts w:hint="eastAsia" w:eastAsia="方正仿宋_GBK" w:cs="Times New Roman"/>
          <w:sz w:val="32"/>
          <w:szCs w:val="32"/>
        </w:rPr>
        <w:t>四</w:t>
      </w:r>
      <w:r>
        <w:rPr>
          <w:rFonts w:hint="eastAsia" w:ascii="Times New Roman" w:hAnsi="Times New Roman" w:eastAsia="方正仿宋_GBK" w:cs="Times New Roman"/>
          <w:sz w:val="32"/>
          <w:szCs w:val="32"/>
        </w:rPr>
        <w:t>条</w:t>
      </w:r>
      <w:r>
        <w:rPr>
          <w:rFonts w:hint="eastAsia" w:ascii="方正仿宋_GBK" w:hAnsi="方正仿宋_GBK" w:eastAsia="方正仿宋_GBK" w:cs="方正仿宋_GBK"/>
          <w:kern w:val="0"/>
          <w:sz w:val="32"/>
          <w:szCs w:val="32"/>
        </w:rPr>
        <w:t>规定执行。</w:t>
      </w:r>
    </w:p>
    <w:p>
      <w:pPr>
        <w:spacing w:line="594" w:lineRule="exact"/>
        <w:ind w:firstLine="640" w:firstLineChars="200"/>
        <w:rPr>
          <w:rFonts w:hint="eastAsia" w:ascii="方正仿宋_GBK" w:hAnsi="方正仿宋_GBK" w:eastAsia="方正仿宋_GBK" w:cs="方正仿宋_GBK"/>
          <w:kern w:val="0"/>
          <w:sz w:val="32"/>
          <w:szCs w:val="32"/>
        </w:rPr>
      </w:pPr>
      <w:r>
        <w:rPr>
          <w:rFonts w:eastAsia="方正仿宋_GBK"/>
          <w:kern w:val="0"/>
          <w:sz w:val="32"/>
          <w:szCs w:val="32"/>
        </w:rPr>
        <w:t>认定为合法的未经登记建筑，以及未超过批准期限的临时建筑的征收补偿</w:t>
      </w:r>
      <w:r>
        <w:rPr>
          <w:rFonts w:hint="eastAsia" w:eastAsia="方正仿宋_GBK"/>
          <w:kern w:val="0"/>
          <w:sz w:val="32"/>
          <w:szCs w:val="32"/>
        </w:rPr>
        <w:t>科目</w:t>
      </w:r>
      <w:r>
        <w:rPr>
          <w:rFonts w:eastAsia="方正仿宋_GBK"/>
          <w:kern w:val="0"/>
          <w:sz w:val="32"/>
          <w:szCs w:val="32"/>
        </w:rPr>
        <w:t>参照本通知规定执行，但不得高于</w:t>
      </w:r>
      <w:r>
        <w:rPr>
          <w:rFonts w:hint="eastAsia" w:eastAsia="方正仿宋_GBK"/>
          <w:kern w:val="0"/>
          <w:sz w:val="32"/>
          <w:szCs w:val="32"/>
        </w:rPr>
        <w:t>本区经</w:t>
      </w:r>
      <w:r>
        <w:rPr>
          <w:rFonts w:eastAsia="方正仿宋_GBK"/>
          <w:kern w:val="0"/>
          <w:sz w:val="32"/>
          <w:szCs w:val="32"/>
        </w:rPr>
        <w:t>产权登记被征收房屋的相应</w:t>
      </w:r>
      <w:r>
        <w:rPr>
          <w:rFonts w:hint="eastAsia" w:eastAsia="方正仿宋_GBK"/>
          <w:kern w:val="0"/>
          <w:sz w:val="32"/>
          <w:szCs w:val="32"/>
        </w:rPr>
        <w:t>单项</w:t>
      </w:r>
      <w:r>
        <w:rPr>
          <w:rFonts w:eastAsia="方正仿宋_GBK"/>
          <w:kern w:val="0"/>
          <w:sz w:val="32"/>
          <w:szCs w:val="32"/>
        </w:rPr>
        <w:t>标准。</w:t>
      </w:r>
    </w:p>
    <w:p>
      <w:pPr>
        <w:spacing w:line="594" w:lineRule="exact"/>
        <w:ind w:firstLine="640" w:firstLineChars="200"/>
        <w:rPr>
          <w:rFonts w:eastAsia="方正仿宋_GBK"/>
          <w:kern w:val="0"/>
          <w:sz w:val="32"/>
          <w:szCs w:val="32"/>
        </w:rPr>
      </w:pPr>
      <w:r>
        <w:rPr>
          <w:rFonts w:hint="eastAsia" w:eastAsia="方正仿宋_GBK"/>
          <w:sz w:val="32"/>
          <w:szCs w:val="32"/>
        </w:rPr>
        <w:t>四、</w:t>
      </w:r>
      <w:r>
        <w:rPr>
          <w:rFonts w:eastAsia="方正仿宋_GBK"/>
          <w:sz w:val="32"/>
          <w:szCs w:val="32"/>
        </w:rPr>
        <w:t>根据</w:t>
      </w:r>
      <w:r>
        <w:rPr>
          <w:rFonts w:hint="eastAsia" w:eastAsia="方正仿宋_GBK"/>
          <w:kern w:val="0"/>
          <w:sz w:val="32"/>
          <w:szCs w:val="32"/>
        </w:rPr>
        <w:t>市级房屋征收</w:t>
      </w:r>
      <w:r>
        <w:rPr>
          <w:rFonts w:eastAsia="方正仿宋_GBK"/>
          <w:kern w:val="0"/>
          <w:sz w:val="32"/>
          <w:szCs w:val="32"/>
        </w:rPr>
        <w:t>损失补偿和奖励补助科目及单项最高限额标准</w:t>
      </w:r>
      <w:r>
        <w:rPr>
          <w:rFonts w:hint="eastAsia" w:eastAsia="方正仿宋_GBK"/>
          <w:kern w:val="0"/>
          <w:sz w:val="32"/>
          <w:szCs w:val="32"/>
        </w:rPr>
        <w:t>要求</w:t>
      </w:r>
      <w:r>
        <w:rPr>
          <w:rFonts w:eastAsia="方正仿宋_GBK"/>
          <w:sz w:val="32"/>
          <w:szCs w:val="32"/>
        </w:rPr>
        <w:t>，在</w:t>
      </w:r>
      <w:r>
        <w:rPr>
          <w:rFonts w:hint="eastAsia" w:eastAsia="方正仿宋_GBK"/>
          <w:sz w:val="32"/>
          <w:szCs w:val="32"/>
        </w:rPr>
        <w:t>区住房城乡建设局、财政局</w:t>
      </w:r>
      <w:r>
        <w:rPr>
          <w:rFonts w:eastAsia="方正仿宋_GBK"/>
          <w:sz w:val="32"/>
          <w:szCs w:val="32"/>
        </w:rPr>
        <w:t>指导下，</w:t>
      </w:r>
      <w:r>
        <w:rPr>
          <w:rFonts w:hint="eastAsia" w:eastAsia="方正仿宋_GBK"/>
          <w:sz w:val="32"/>
          <w:szCs w:val="32"/>
        </w:rPr>
        <w:t>区</w:t>
      </w:r>
      <w:r>
        <w:rPr>
          <w:rFonts w:eastAsia="方正仿宋_GBK"/>
          <w:sz w:val="32"/>
          <w:szCs w:val="32"/>
        </w:rPr>
        <w:t>规划自然资源局拟定我区国有土地上房屋征收与补偿标准后报经开区管委会。经开区管委会</w:t>
      </w:r>
      <w:r>
        <w:rPr>
          <w:rFonts w:hint="eastAsia" w:eastAsia="方正仿宋_GBK"/>
          <w:sz w:val="32"/>
          <w:szCs w:val="32"/>
        </w:rPr>
        <w:t>经论证、审查，</w:t>
      </w:r>
      <w:r>
        <w:rPr>
          <w:rFonts w:eastAsia="方正仿宋_GBK"/>
          <w:sz w:val="32"/>
          <w:szCs w:val="32"/>
        </w:rPr>
        <w:t>向社会公开征求意见并修改完善后</w:t>
      </w:r>
      <w:r>
        <w:rPr>
          <w:rFonts w:hint="eastAsia" w:eastAsia="方正仿宋_GBK"/>
          <w:sz w:val="32"/>
          <w:szCs w:val="32"/>
        </w:rPr>
        <w:t>，</w:t>
      </w:r>
      <w:r>
        <w:rPr>
          <w:rFonts w:hint="eastAsia" w:ascii="方正仿宋_GBK" w:hAnsi="方正仿宋_GBK" w:eastAsia="方正仿宋_GBK" w:cs="方正仿宋_GBK"/>
          <w:kern w:val="0"/>
          <w:sz w:val="32"/>
          <w:szCs w:val="32"/>
        </w:rPr>
        <w:t>印发实施本区的房屋征收补偿标准</w:t>
      </w:r>
      <w:r>
        <w:rPr>
          <w:rFonts w:eastAsia="方正仿宋_GBK"/>
          <w:sz w:val="32"/>
          <w:szCs w:val="32"/>
        </w:rPr>
        <w:t>。</w:t>
      </w:r>
      <w:r>
        <w:rPr>
          <w:rFonts w:eastAsia="方正仿宋_GBK"/>
          <w:kern w:val="0"/>
          <w:sz w:val="32"/>
          <w:szCs w:val="32"/>
        </w:rPr>
        <w:t>公开征求意见的期限不少于</w:t>
      </w:r>
      <w:r>
        <w:rPr>
          <w:rFonts w:hint="eastAsia" w:ascii="方正仿宋_GBK" w:hAnsi="方正仿宋_GBK" w:eastAsia="方正仿宋_GBK" w:cs="方正仿宋_GBK"/>
          <w:kern w:val="0"/>
          <w:sz w:val="32"/>
          <w:szCs w:val="32"/>
        </w:rPr>
        <w:t>7</w:t>
      </w:r>
      <w:r>
        <w:rPr>
          <w:rFonts w:eastAsia="方正仿宋_GBK"/>
          <w:kern w:val="0"/>
          <w:sz w:val="32"/>
          <w:szCs w:val="32"/>
        </w:rPr>
        <w:t>日。</w:t>
      </w:r>
      <w:r>
        <w:rPr>
          <w:rFonts w:eastAsia="方正仿宋_GBK"/>
          <w:sz w:val="32"/>
          <w:szCs w:val="32"/>
        </w:rPr>
        <w:t>具体补偿标准详见附件。</w:t>
      </w:r>
    </w:p>
    <w:p>
      <w:pPr>
        <w:spacing w:line="594" w:lineRule="exact"/>
        <w:ind w:firstLine="640" w:firstLineChars="200"/>
        <w:rPr>
          <w:rFonts w:eastAsia="方正仿宋_GBK"/>
          <w:sz w:val="32"/>
          <w:szCs w:val="32"/>
        </w:rPr>
      </w:pPr>
      <w:r>
        <w:rPr>
          <w:rFonts w:hint="eastAsia" w:eastAsia="方正仿宋_GBK"/>
          <w:sz w:val="32"/>
          <w:szCs w:val="32"/>
        </w:rPr>
        <w:t>五、区住房城乡建设局、规划自然资源局</w:t>
      </w:r>
      <w:r>
        <w:rPr>
          <w:rFonts w:eastAsia="方正仿宋_GBK"/>
          <w:sz w:val="32"/>
          <w:szCs w:val="32"/>
        </w:rPr>
        <w:t>负责补偿标准的宣传、解释工作。</w:t>
      </w:r>
    </w:p>
    <w:p>
      <w:pPr>
        <w:spacing w:line="594"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六、本通知自印发之日起实施。《重庆市万盛经开区管委会关于国有土地上房屋征收与补偿有关事项的通知》（万盛经开发〔2021〕6号</w:t>
      </w:r>
      <w:r>
        <w:rPr>
          <w:rFonts w:eastAsia="方正仿宋_GBK"/>
          <w:sz w:val="32"/>
          <w:szCs w:val="32"/>
        </w:rPr>
        <w:t>）同时废止。</w:t>
      </w:r>
    </w:p>
    <w:p>
      <w:pPr>
        <w:spacing w:line="594" w:lineRule="exact"/>
        <w:ind w:firstLine="640" w:firstLineChars="200"/>
        <w:rPr>
          <w:rFonts w:eastAsia="方正仿宋_GBK"/>
          <w:sz w:val="32"/>
          <w:szCs w:val="32"/>
        </w:rPr>
      </w:pPr>
      <w:r>
        <w:rPr>
          <w:rFonts w:hint="eastAsia" w:eastAsia="方正仿宋_GBK" w:cs="Times New Roman"/>
          <w:sz w:val="32"/>
          <w:szCs w:val="32"/>
        </w:rPr>
        <w:t>在本通知实施前已发布房屋征收决定公告的，房屋征收项目的补偿、补助和奖励按已公布的补偿方案执行。</w:t>
      </w:r>
    </w:p>
    <w:p>
      <w:pPr>
        <w:spacing w:line="594" w:lineRule="exact"/>
        <w:ind w:left="1493" w:leftChars="303" w:hanging="857" w:hangingChars="268"/>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w:t>
      </w:r>
    </w:p>
    <w:p>
      <w:pPr>
        <w:spacing w:line="594" w:lineRule="exact"/>
        <w:ind w:left="1493" w:leftChars="303" w:hanging="857" w:hangingChars="268"/>
        <w:rPr>
          <w:rFonts w:hint="eastAsia" w:eastAsia="方正仿宋_GBK"/>
          <w:sz w:val="32"/>
          <w:szCs w:val="32"/>
        </w:rPr>
      </w:pPr>
      <w:r>
        <w:rPr>
          <w:rFonts w:hint="eastAsia" w:ascii="方正仿宋_GBK" w:eastAsia="方正仿宋_GBK"/>
          <w:sz w:val="32"/>
          <w:szCs w:val="32"/>
          <w:lang w:val="en-US" w:eastAsia="zh-CN"/>
        </w:rPr>
        <w:t xml:space="preserve"> </w:t>
      </w:r>
      <w:r>
        <w:rPr>
          <w:rFonts w:eastAsia="方正仿宋_GBK"/>
          <w:sz w:val="32"/>
          <w:szCs w:val="32"/>
        </w:rPr>
        <w:t>附件：万盛经开区国有土地上房屋征收</w:t>
      </w:r>
      <w:r>
        <w:rPr>
          <w:rFonts w:hint="eastAsia" w:eastAsia="方正仿宋_GBK"/>
          <w:sz w:val="32"/>
          <w:szCs w:val="32"/>
        </w:rPr>
        <w:t>损失</w:t>
      </w:r>
      <w:r>
        <w:rPr>
          <w:rFonts w:eastAsia="方正仿宋_GBK"/>
          <w:sz w:val="32"/>
          <w:szCs w:val="32"/>
        </w:rPr>
        <w:t>补偿</w:t>
      </w:r>
      <w:r>
        <w:rPr>
          <w:rFonts w:hint="eastAsia" w:eastAsia="方正仿宋_GBK"/>
          <w:sz w:val="32"/>
          <w:szCs w:val="32"/>
        </w:rPr>
        <w:t>和奖励补助</w:t>
      </w:r>
      <w:r>
        <w:rPr>
          <w:rFonts w:eastAsia="方正仿宋_GBK"/>
          <w:sz w:val="32"/>
          <w:szCs w:val="32"/>
        </w:rPr>
        <w:t>标准</w:t>
      </w:r>
    </w:p>
    <w:p>
      <w:pPr>
        <w:wordWrap w:val="0"/>
        <w:spacing w:line="574" w:lineRule="exact"/>
        <w:jc w:val="right"/>
        <w:rPr>
          <w:rFonts w:hint="eastAsia" w:ascii="方正仿宋_GBK" w:eastAsia="方正仿宋_GBK"/>
          <w:sz w:val="32"/>
          <w:szCs w:val="32"/>
        </w:rPr>
      </w:pPr>
    </w:p>
    <w:p>
      <w:pPr>
        <w:wordWrap w:val="0"/>
        <w:spacing w:line="574" w:lineRule="exact"/>
        <w:jc w:val="right"/>
        <w:rPr>
          <w:rFonts w:hint="eastAsia" w:ascii="方正仿宋_GBK" w:eastAsia="方正仿宋_GBK"/>
          <w:sz w:val="32"/>
          <w:szCs w:val="32"/>
        </w:rPr>
      </w:pPr>
      <w:r>
        <w:rPr>
          <w:rFonts w:hint="eastAsia" w:ascii="方正仿宋_GBK" w:eastAsia="方正仿宋_GBK"/>
          <w:sz w:val="32"/>
          <w:szCs w:val="32"/>
        </w:rPr>
        <w:t xml:space="preserve">万盛经开区管委会        </w:t>
      </w:r>
    </w:p>
    <w:p>
      <w:pPr>
        <w:wordWrap w:val="0"/>
        <w:spacing w:line="574" w:lineRule="exact"/>
        <w:jc w:val="right"/>
        <w:rPr>
          <w:rFonts w:hint="eastAsia" w:ascii="方正仿宋_GBK" w:eastAsia="方正仿宋_GBK"/>
          <w:sz w:val="32"/>
          <w:szCs w:val="32"/>
        </w:rPr>
      </w:pPr>
      <w:r>
        <w:rPr>
          <w:rFonts w:hint="eastAsia" w:ascii="方正仿宋_GBK" w:eastAsia="方正仿宋_GBK"/>
          <w:sz w:val="32"/>
          <w:szCs w:val="32"/>
        </w:rPr>
        <w:t xml:space="preserve">2022年7月5日        </w:t>
      </w:r>
    </w:p>
    <w:p>
      <w:pPr>
        <w:spacing w:line="574" w:lineRule="exact"/>
        <w:ind w:firstLine="640" w:firstLineChars="200"/>
        <w:rPr>
          <w:rFonts w:hint="eastAsia" w:ascii="方正仿宋_GBK" w:eastAsia="方正仿宋_GBK"/>
          <w:sz w:val="32"/>
          <w:szCs w:val="32"/>
        </w:rPr>
      </w:pPr>
      <w:r>
        <w:rPr>
          <w:rFonts w:hint="eastAsia" w:ascii="方正仿宋_GBK" w:eastAsia="方正仿宋_GBK"/>
          <w:sz w:val="32"/>
          <w:szCs w:val="32"/>
        </w:rPr>
        <w:t>（此件公开发布）</w:t>
      </w:r>
    </w:p>
    <w:p>
      <w:pPr>
        <w:spacing w:line="594" w:lineRule="exact"/>
        <w:rPr>
          <w:rFonts w:hint="default" w:eastAsia="方正仿宋_GBK"/>
          <w:sz w:val="32"/>
          <w:szCs w:val="32"/>
          <w:lang w:val="en-US" w:eastAsia="zh-CN"/>
        </w:rPr>
      </w:pPr>
      <w:r>
        <w:rPr>
          <w:rFonts w:eastAsia="方正仿宋_GBK"/>
          <w:sz w:val="32"/>
          <w:szCs w:val="32"/>
        </w:rPr>
        <w:t>附件</w:t>
      </w:r>
    </w:p>
    <w:p>
      <w:pPr>
        <w:spacing w:line="600" w:lineRule="exact"/>
        <w:jc w:val="center"/>
        <w:rPr>
          <w:rFonts w:hint="eastAsia" w:ascii="Times New Roman" w:hAnsi="方正小标宋_GBK" w:eastAsia="方正小标宋_GBK" w:cs="方正小标宋_GBK"/>
          <w:sz w:val="36"/>
          <w:szCs w:val="36"/>
          <w:lang w:val="en-US" w:eastAsia="zh-CN"/>
        </w:rPr>
      </w:pPr>
      <w:r>
        <w:rPr>
          <w:rFonts w:hint="eastAsia" w:ascii="Times New Roman" w:hAnsi="方正小标宋_GBK" w:eastAsia="方正小标宋_GBK" w:cs="方正小标宋_GBK"/>
          <w:sz w:val="36"/>
          <w:szCs w:val="36"/>
          <w:lang w:val="en-US" w:eastAsia="zh-CN"/>
        </w:rPr>
        <w:t>万盛经开区国有土地上</w:t>
      </w:r>
    </w:p>
    <w:p>
      <w:pPr>
        <w:spacing w:line="600" w:lineRule="exact"/>
        <w:jc w:val="center"/>
        <w:rPr>
          <w:rFonts w:hint="eastAsia" w:ascii="Times New Roman" w:hAnsi="方正小标宋_GBK" w:eastAsia="方正小标宋_GBK" w:cs="方正小标宋_GBK"/>
          <w:sz w:val="36"/>
          <w:szCs w:val="36"/>
          <w:lang w:val="en-US" w:eastAsia="zh-CN"/>
        </w:rPr>
      </w:pPr>
      <w:r>
        <w:rPr>
          <w:rFonts w:hint="eastAsia" w:ascii="Times New Roman" w:hAnsi="方正小标宋_GBK" w:eastAsia="方正小标宋_GBK" w:cs="方正小标宋_GBK"/>
          <w:sz w:val="36"/>
          <w:szCs w:val="36"/>
          <w:lang w:val="en-US" w:eastAsia="zh-CN"/>
        </w:rPr>
        <w:t>房屋征收损失补偿和奖励补助标准</w:t>
      </w:r>
    </w:p>
    <w:p>
      <w:pPr>
        <w:spacing w:line="600" w:lineRule="exact"/>
        <w:jc w:val="both"/>
        <w:rPr>
          <w:rFonts w:hint="eastAsia" w:ascii="Times New Roman" w:hAnsi="方正小标宋_GBK" w:eastAsia="方正小标宋_GBK" w:cs="方正小标宋_GBK"/>
          <w:sz w:val="36"/>
          <w:szCs w:val="36"/>
          <w:lang w:val="en-US" w:eastAsia="zh-CN"/>
        </w:rPr>
      </w:pPr>
      <w:r>
        <w:rPr>
          <w:rFonts w:hint="eastAsia" w:ascii="Times New Roman" w:hAnsi="方正小标宋_GBK" w:eastAsia="方正小标宋_GBK" w:cs="方正小标宋_GBK"/>
          <w:sz w:val="36"/>
          <w:szCs w:val="36"/>
          <w:lang w:val="en-US" w:eastAsia="zh-CN"/>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420"/>
        <w:gridCol w:w="1282"/>
        <w:gridCol w:w="1167"/>
        <w:gridCol w:w="2046"/>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blHeader/>
          <w:jc w:val="center"/>
        </w:trPr>
        <w:tc>
          <w:tcPr>
            <w:tcW w:w="885" w:type="dxa"/>
            <w:gridSpan w:val="2"/>
            <w:noWrap w:val="0"/>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2449" w:type="dxa"/>
            <w:gridSpan w:val="2"/>
            <w:noWrap w:val="0"/>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补偿名称</w:t>
            </w:r>
          </w:p>
        </w:tc>
        <w:tc>
          <w:tcPr>
            <w:tcW w:w="5476" w:type="dxa"/>
            <w:gridSpan w:val="2"/>
            <w:noWrap w:val="0"/>
            <w:vAlign w:val="center"/>
          </w:tcPr>
          <w:p>
            <w:pPr>
              <w:ind w:firstLine="480" w:firstLineChars="20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65" w:type="dxa"/>
            <w:vMerge w:val="restart"/>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损</w:t>
            </w:r>
          </w:p>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失</w:t>
            </w:r>
          </w:p>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补</w:t>
            </w:r>
          </w:p>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偿</w:t>
            </w:r>
          </w:p>
          <w:p>
            <w:pPr>
              <w:widowControl/>
              <w:spacing w:line="380" w:lineRule="exact"/>
              <w:ind w:firstLine="480" w:firstLineChars="200"/>
              <w:jc w:val="center"/>
              <w:rPr>
                <w:rFonts w:hint="eastAsia" w:ascii="仿宋" w:hAnsi="仿宋" w:eastAsia="仿宋" w:cs="仿宋"/>
                <w:kern w:val="0"/>
                <w:sz w:val="24"/>
                <w:szCs w:val="24"/>
              </w:rPr>
            </w:pPr>
          </w:p>
          <w:p>
            <w:pPr>
              <w:widowControl/>
              <w:spacing w:line="380" w:lineRule="exact"/>
              <w:ind w:firstLine="480" w:firstLineChars="200"/>
              <w:jc w:val="center"/>
              <w:rPr>
                <w:rFonts w:hint="eastAsia" w:ascii="仿宋" w:hAnsi="仿宋" w:eastAsia="仿宋" w:cs="仿宋"/>
                <w:kern w:val="0"/>
                <w:sz w:val="24"/>
                <w:szCs w:val="24"/>
              </w:rPr>
            </w:pPr>
          </w:p>
        </w:tc>
        <w:tc>
          <w:tcPr>
            <w:tcW w:w="420"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449" w:type="dxa"/>
            <w:gridSpan w:val="2"/>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非住宅停产停业损失</w:t>
            </w:r>
          </w:p>
        </w:tc>
        <w:tc>
          <w:tcPr>
            <w:tcW w:w="5476" w:type="dxa"/>
            <w:gridSpan w:val="2"/>
            <w:noWrap w:val="0"/>
            <w:vAlign w:val="center"/>
          </w:tcPr>
          <w:p>
            <w:pPr>
              <w:widowControl/>
              <w:spacing w:line="38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按照《实施细则》第四十六条、《实施办法》第四十四条的规定执行。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465"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vMerge w:val="restart"/>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82" w:type="dxa"/>
            <w:vMerge w:val="restart"/>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室内装饰装修损失</w:t>
            </w:r>
          </w:p>
        </w:tc>
        <w:tc>
          <w:tcPr>
            <w:tcW w:w="1167" w:type="dxa"/>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住  宅</w:t>
            </w:r>
          </w:p>
        </w:tc>
        <w:tc>
          <w:tcPr>
            <w:tcW w:w="2046" w:type="dxa"/>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200元/平方米</w:t>
            </w:r>
          </w:p>
        </w:tc>
        <w:tc>
          <w:tcPr>
            <w:tcW w:w="3430"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1.补偿金额按被征收房屋建筑面积及补偿标准进行计算。</w:t>
            </w:r>
          </w:p>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2.若被征收人对补偿金额有异议的，征收当事人可以协商确定补偿金额，协商不成的，由委托按《实施办法》规定确定的房地产价格评估机构通过评估确定。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65"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vMerge w:val="continue"/>
            <w:noWrap w:val="0"/>
            <w:vAlign w:val="center"/>
          </w:tcPr>
          <w:p>
            <w:pPr>
              <w:widowControl/>
              <w:spacing w:line="380" w:lineRule="exact"/>
              <w:rPr>
                <w:rFonts w:hint="eastAsia" w:ascii="仿宋" w:hAnsi="仿宋" w:eastAsia="仿宋" w:cs="仿宋"/>
                <w:kern w:val="0"/>
                <w:sz w:val="24"/>
                <w:szCs w:val="24"/>
              </w:rPr>
            </w:pPr>
          </w:p>
        </w:tc>
        <w:tc>
          <w:tcPr>
            <w:tcW w:w="1282" w:type="dxa"/>
            <w:vMerge w:val="continue"/>
            <w:noWrap w:val="0"/>
            <w:vAlign w:val="center"/>
          </w:tcPr>
          <w:p>
            <w:pPr>
              <w:widowControl/>
              <w:spacing w:line="380" w:lineRule="exact"/>
              <w:rPr>
                <w:rFonts w:hint="eastAsia" w:ascii="仿宋" w:hAnsi="仿宋" w:eastAsia="仿宋" w:cs="仿宋"/>
                <w:kern w:val="0"/>
                <w:sz w:val="24"/>
                <w:szCs w:val="24"/>
              </w:rPr>
            </w:pPr>
          </w:p>
        </w:tc>
        <w:tc>
          <w:tcPr>
            <w:tcW w:w="1167" w:type="dxa"/>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w:t>
            </w:r>
          </w:p>
        </w:tc>
        <w:tc>
          <w:tcPr>
            <w:tcW w:w="5476" w:type="dxa"/>
            <w:gridSpan w:val="2"/>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由委托按《实施办法》规定确定的房地产价格评估机构通过评估确定。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465"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vMerge w:val="restart"/>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282" w:type="dxa"/>
            <w:vMerge w:val="restart"/>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附属设施</w:t>
            </w:r>
          </w:p>
        </w:tc>
        <w:tc>
          <w:tcPr>
            <w:tcW w:w="1167"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水电总表、天然气、闭路等设施的补偿</w:t>
            </w:r>
          </w:p>
        </w:tc>
        <w:tc>
          <w:tcPr>
            <w:tcW w:w="5476" w:type="dxa"/>
            <w:gridSpan w:val="2"/>
            <w:noWrap w:val="0"/>
            <w:vAlign w:val="center"/>
          </w:tcPr>
          <w:p>
            <w:pPr>
              <w:widowControl/>
              <w:spacing w:line="380" w:lineRule="exact"/>
              <w:rPr>
                <w:rFonts w:hint="eastAsia" w:ascii="仿宋" w:hAnsi="仿宋" w:eastAsia="仿宋" w:cs="仿宋"/>
                <w:sz w:val="24"/>
                <w:szCs w:val="24"/>
              </w:rPr>
            </w:pPr>
            <w:r>
              <w:rPr>
                <w:rFonts w:hint="eastAsia" w:ascii="仿宋" w:hAnsi="仿宋" w:eastAsia="仿宋" w:cs="仿宋"/>
                <w:sz w:val="24"/>
                <w:szCs w:val="24"/>
              </w:rPr>
              <w:t>1.选择货币补偿的，按被征收房屋附属设施安装时我区所属行业标准给予补偿；选择房屋产权调换的，不给予补偿。</w:t>
            </w:r>
          </w:p>
          <w:p>
            <w:pPr>
              <w:widowControl/>
              <w:spacing w:line="380" w:lineRule="exact"/>
              <w:rPr>
                <w:rFonts w:hint="eastAsia" w:ascii="仿宋" w:hAnsi="仿宋" w:eastAsia="仿宋" w:cs="仿宋"/>
                <w:sz w:val="24"/>
                <w:szCs w:val="24"/>
              </w:rPr>
            </w:pPr>
            <w:r>
              <w:rPr>
                <w:rFonts w:hint="eastAsia" w:ascii="仿宋" w:hAnsi="仿宋" w:eastAsia="仿宋" w:cs="仿宋"/>
                <w:sz w:val="24"/>
                <w:szCs w:val="24"/>
              </w:rPr>
              <w:t>2.本条所指的“户”以缴费户为单位。</w:t>
            </w:r>
          </w:p>
          <w:p>
            <w:pPr>
              <w:widowControl/>
              <w:spacing w:line="380" w:lineRule="exact"/>
              <w:rPr>
                <w:rFonts w:hint="eastAsia" w:ascii="仿宋" w:hAnsi="仿宋" w:eastAsia="仿宋" w:cs="仿宋"/>
                <w:sz w:val="24"/>
                <w:szCs w:val="24"/>
              </w:rPr>
            </w:pPr>
            <w:r>
              <w:rPr>
                <w:rFonts w:hint="eastAsia" w:ascii="仿宋" w:hAnsi="仿宋" w:eastAsia="仿宋" w:cs="仿宋"/>
                <w:sz w:val="24"/>
                <w:szCs w:val="24"/>
              </w:rPr>
              <w:t>3.其他附属设施损失根据项目实际情况进行补偿。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465"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1282"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6643" w:type="dxa"/>
            <w:gridSpan w:val="3"/>
            <w:noWrap w:val="0"/>
            <w:vAlign w:val="center"/>
          </w:tcPr>
          <w:p>
            <w:pPr>
              <w:widowControl/>
              <w:spacing w:line="3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非民用设施设备根据房屋所在的区域内的具体情况进行补偿。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465" w:type="dxa"/>
            <w:vMerge w:val="continue"/>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449" w:type="dxa"/>
            <w:gridSpan w:val="2"/>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非住宅的设施设备</w:t>
            </w:r>
          </w:p>
        </w:tc>
        <w:tc>
          <w:tcPr>
            <w:tcW w:w="5476" w:type="dxa"/>
            <w:gridSpan w:val="2"/>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根据《实施细则》第四十七条、《实施办法》第四十五条的规定，由委托按《实施办法》规定确定的房地产价格评估机构通过评估确定。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65" w:type="dxa"/>
            <w:vMerge w:val="restart"/>
            <w:noWrap w:val="0"/>
            <w:vAlign w:val="center"/>
          </w:tcPr>
          <w:p>
            <w:pPr>
              <w:widowControl/>
              <w:spacing w:line="360" w:lineRule="exact"/>
              <w:rPr>
                <w:rFonts w:hint="eastAsia" w:ascii="仿宋" w:hAnsi="仿宋" w:eastAsia="仿宋" w:cs="仿宋"/>
                <w:sz w:val="24"/>
                <w:szCs w:val="24"/>
              </w:rPr>
            </w:pPr>
            <w:r>
              <w:rPr>
                <w:rFonts w:hint="eastAsia" w:ascii="仿宋" w:hAnsi="仿宋" w:eastAsia="仿宋" w:cs="仿宋"/>
                <w:kern w:val="0"/>
                <w:sz w:val="24"/>
                <w:szCs w:val="24"/>
              </w:rPr>
              <w:t>奖</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励</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补</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助</w:t>
            </w:r>
          </w:p>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282"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补偿方式选择的引导奖励</w:t>
            </w: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住  宅</w:t>
            </w:r>
          </w:p>
        </w:tc>
        <w:tc>
          <w:tcPr>
            <w:tcW w:w="2046" w:type="dxa"/>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1.每户按被征收房屋评估价值的8%计算，若补助总额不足30000元的，按30000元补助。</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2.选择产权调换的，每户另可再给予5平方米房屋的奖励。</w:t>
            </w:r>
          </w:p>
        </w:tc>
        <w:tc>
          <w:tcPr>
            <w:tcW w:w="3430"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1.同一产权内既有住宅又有非住宅的，分别根据房屋性质相应的评估价值据实计算奖励，不享受保底补助。</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2.被征收房屋评估价值系指本通知规定的价值补偿金额。</w:t>
            </w:r>
          </w:p>
          <w:p>
            <w:pPr>
              <w:widowControl/>
              <w:spacing w:line="360" w:lineRule="exact"/>
              <w:jc w:val="left"/>
              <w:rPr>
                <w:rFonts w:hint="eastAsia" w:ascii="仿宋" w:hAnsi="仿宋" w:eastAsia="仿宋" w:cs="仿宋"/>
                <w:sz w:val="24"/>
                <w:szCs w:val="24"/>
              </w:rPr>
            </w:pPr>
            <w:r>
              <w:rPr>
                <w:rFonts w:hint="eastAsia" w:ascii="仿宋" w:hAnsi="仿宋" w:eastAsia="仿宋" w:cs="仿宋"/>
                <w:kern w:val="0"/>
                <w:sz w:val="24"/>
                <w:szCs w:val="24"/>
              </w:rPr>
              <w:t xml:space="preserve">3.补偿方式选择的引导奖励以项目实际情况确定。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282"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w:t>
            </w:r>
          </w:p>
        </w:tc>
        <w:tc>
          <w:tcPr>
            <w:tcW w:w="2046" w:type="dxa"/>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每户按被征收房屋评估价值的4%计算，若补助总额不足20000元的，按20000元补助。</w:t>
            </w:r>
          </w:p>
        </w:tc>
        <w:tc>
          <w:tcPr>
            <w:tcW w:w="3430"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282"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提前签约奖励费</w:t>
            </w:r>
          </w:p>
          <w:p>
            <w:pPr>
              <w:widowControl/>
              <w:spacing w:line="360" w:lineRule="exact"/>
              <w:ind w:firstLine="480" w:firstLineChars="200"/>
              <w:jc w:val="center"/>
              <w:rPr>
                <w:rFonts w:hint="eastAsia" w:ascii="仿宋" w:hAnsi="仿宋" w:eastAsia="仿宋" w:cs="仿宋"/>
                <w:kern w:val="0"/>
                <w:sz w:val="24"/>
                <w:szCs w:val="24"/>
              </w:rPr>
            </w:pP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住  宅</w:t>
            </w:r>
          </w:p>
        </w:tc>
        <w:tc>
          <w:tcPr>
            <w:tcW w:w="2046"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每日按300元/户计算</w:t>
            </w:r>
          </w:p>
        </w:tc>
        <w:tc>
          <w:tcPr>
            <w:tcW w:w="3430"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1.在项目征收公告及征收方案确定的签约期内，提前天数自签约期之日起计算，截止签约期限届满之日。</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 xml:space="preserve">2.同一产权内既有住宅又有非住宅的，按其两类房屋性质分别计算奖励金额，择其最高额度给予奖励，不得累加给予奖励。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282"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w:t>
            </w:r>
          </w:p>
        </w:tc>
        <w:tc>
          <w:tcPr>
            <w:tcW w:w="2046"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每日按15元/平方米计算</w:t>
            </w:r>
          </w:p>
        </w:tc>
        <w:tc>
          <w:tcPr>
            <w:tcW w:w="3430" w:type="dxa"/>
            <w:vMerge w:val="continue"/>
            <w:noWrap w:val="0"/>
            <w:vAlign w:val="center"/>
          </w:tcPr>
          <w:p>
            <w:pPr>
              <w:widowControl/>
              <w:spacing w:line="360" w:lineRule="exact"/>
              <w:ind w:firstLine="480" w:firstLineChars="20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449" w:type="dxa"/>
            <w:gridSpan w:val="2"/>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单户按期搬迁奖励</w:t>
            </w:r>
          </w:p>
        </w:tc>
        <w:tc>
          <w:tcPr>
            <w:tcW w:w="2046"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10000元/户</w:t>
            </w:r>
          </w:p>
        </w:tc>
        <w:tc>
          <w:tcPr>
            <w:tcW w:w="3430" w:type="dxa"/>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给予在规定期限内完成搬离的被征收人的单户奖励。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restart"/>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282" w:type="dxa"/>
            <w:vMerge w:val="restart"/>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搬迁补助</w:t>
            </w: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住  宅</w:t>
            </w:r>
          </w:p>
        </w:tc>
        <w:tc>
          <w:tcPr>
            <w:tcW w:w="2046"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每次按1500元/户计算</w:t>
            </w:r>
          </w:p>
        </w:tc>
        <w:tc>
          <w:tcPr>
            <w:tcW w:w="3430" w:type="dxa"/>
            <w:vMerge w:val="restart"/>
            <w:noWrap w:val="0"/>
            <w:vAlign w:val="center"/>
          </w:tcPr>
          <w:p>
            <w:pPr>
              <w:widowControl/>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1.被征收人选择货币补偿方式的，且按期搬离被征收房屋的，仅享受1次搬迁补助；选择产权调换补偿方式的，且按期搬离被征收房屋的，享受2次搬迁补助。</w:t>
            </w:r>
          </w:p>
          <w:p>
            <w:pPr>
              <w:widowControl/>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2.同一产权内既有住宅又有非住宅的，按其两类房屋性质分别计算补助金额，择其最高额度给予补助，不得累加给予补助。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465"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420"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282" w:type="dxa"/>
            <w:vMerge w:val="continue"/>
            <w:noWrap w:val="0"/>
            <w:vAlign w:val="center"/>
          </w:tcPr>
          <w:p>
            <w:pPr>
              <w:widowControl/>
              <w:spacing w:line="360" w:lineRule="exact"/>
              <w:ind w:firstLine="480" w:firstLineChars="200"/>
              <w:jc w:val="center"/>
              <w:rPr>
                <w:rFonts w:hint="eastAsia" w:ascii="仿宋" w:hAnsi="仿宋" w:eastAsia="仿宋" w:cs="仿宋"/>
                <w:kern w:val="0"/>
                <w:sz w:val="24"/>
                <w:szCs w:val="24"/>
              </w:rPr>
            </w:pPr>
          </w:p>
        </w:tc>
        <w:tc>
          <w:tcPr>
            <w:tcW w:w="116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非住宅</w:t>
            </w:r>
          </w:p>
        </w:tc>
        <w:tc>
          <w:tcPr>
            <w:tcW w:w="2046" w:type="dxa"/>
            <w:noWrap w:val="0"/>
            <w:vAlign w:val="center"/>
          </w:tcPr>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1.商业、办公、业务用房每户按30元/平方米·次计算；</w:t>
            </w:r>
          </w:p>
          <w:p>
            <w:pPr>
              <w:widowControl/>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2.生产用房按每户40元/平方米·次计算。</w:t>
            </w:r>
          </w:p>
        </w:tc>
        <w:tc>
          <w:tcPr>
            <w:tcW w:w="3430" w:type="dxa"/>
            <w:vMerge w:val="continue"/>
            <w:noWrap w:val="0"/>
            <w:vAlign w:val="center"/>
          </w:tcPr>
          <w:p>
            <w:pPr>
              <w:widowControl/>
              <w:spacing w:line="360" w:lineRule="exact"/>
              <w:ind w:firstLine="480" w:firstLineChars="20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465" w:type="dxa"/>
            <w:noWrap w:val="0"/>
            <w:vAlign w:val="center"/>
          </w:tcPr>
          <w:p>
            <w:pPr>
              <w:widowControl/>
              <w:spacing w:line="380" w:lineRule="exact"/>
              <w:ind w:firstLine="480" w:firstLineChars="200"/>
              <w:jc w:val="center"/>
              <w:rPr>
                <w:rFonts w:hint="eastAsia" w:ascii="仿宋" w:hAnsi="仿宋" w:eastAsia="仿宋" w:cs="仿宋"/>
                <w:kern w:val="0"/>
                <w:sz w:val="24"/>
                <w:szCs w:val="24"/>
              </w:rPr>
            </w:pPr>
          </w:p>
        </w:tc>
        <w:tc>
          <w:tcPr>
            <w:tcW w:w="420"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282"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选择产权调换补偿方式的临时安置补助</w:t>
            </w:r>
          </w:p>
        </w:tc>
        <w:tc>
          <w:tcPr>
            <w:tcW w:w="1167" w:type="dxa"/>
            <w:noWrap w:val="0"/>
            <w:vAlign w:val="center"/>
          </w:tcPr>
          <w:p>
            <w:pPr>
              <w:widowControl/>
              <w:spacing w:line="3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住  宅</w:t>
            </w:r>
          </w:p>
        </w:tc>
        <w:tc>
          <w:tcPr>
            <w:tcW w:w="2046"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sz w:val="24"/>
                <w:szCs w:val="24"/>
              </w:rPr>
              <w:t>每户按20元/平方米·月计算，但每户最高补助不超过2200元/月；若户补助不足1000元/月，按1000元/月补助。</w:t>
            </w:r>
          </w:p>
        </w:tc>
        <w:tc>
          <w:tcPr>
            <w:tcW w:w="3430" w:type="dxa"/>
            <w:noWrap w:val="0"/>
            <w:vAlign w:val="center"/>
          </w:tcPr>
          <w:p>
            <w:pPr>
              <w:widowControl/>
              <w:spacing w:line="380" w:lineRule="exact"/>
              <w:rPr>
                <w:rFonts w:hint="eastAsia" w:ascii="仿宋" w:hAnsi="仿宋" w:eastAsia="仿宋" w:cs="仿宋"/>
                <w:kern w:val="0"/>
                <w:sz w:val="24"/>
                <w:szCs w:val="24"/>
              </w:rPr>
            </w:pPr>
            <w:r>
              <w:rPr>
                <w:rFonts w:hint="eastAsia" w:ascii="仿宋" w:hAnsi="仿宋" w:eastAsia="仿宋" w:cs="仿宋"/>
                <w:kern w:val="0"/>
                <w:sz w:val="24"/>
                <w:szCs w:val="24"/>
              </w:rPr>
              <w:t>选择产权调换补偿方式，且征收人未提供临时周转房屋的，被征收人按照被征收房屋面积享受临时安置补助费。</w:t>
            </w:r>
          </w:p>
        </w:tc>
      </w:tr>
    </w:tbl>
    <w:p>
      <w:pPr>
        <w:spacing w:line="420" w:lineRule="exact"/>
        <w:ind w:firstLine="210" w:firstLineChars="100"/>
        <w:rPr>
          <w:rFonts w:hint="eastAsia" w:ascii="仿宋" w:hAnsi="仿宋" w:eastAsia="仿宋" w:cs="仿宋"/>
          <w:color w:val="000000"/>
          <w:spacing w:val="-6"/>
          <w:sz w:val="21"/>
          <w:szCs w:val="21"/>
        </w:rPr>
      </w:pPr>
      <w:r>
        <w:rPr>
          <w:rFonts w:hint="eastAsia" w:ascii="仿宋" w:hAnsi="仿宋" w:eastAsia="仿宋" w:cs="仿宋"/>
          <w:sz w:val="21"/>
          <w:szCs w:val="21"/>
        </w:rPr>
        <w:t>备注：</w:t>
      </w:r>
      <w:r>
        <w:rPr>
          <w:rFonts w:hint="eastAsia" w:ascii="仿宋" w:hAnsi="仿宋" w:eastAsia="仿宋" w:cs="仿宋"/>
          <w:color w:val="000000"/>
          <w:spacing w:val="-6"/>
          <w:sz w:val="21"/>
          <w:szCs w:val="21"/>
        </w:rPr>
        <w:t>1.除有特别说明外，本表格中的户是指被征收房屋的产权户；</w:t>
      </w:r>
    </w:p>
    <w:p>
      <w:pPr>
        <w:spacing w:line="420" w:lineRule="exact"/>
        <w:ind w:left="1038" w:leftChars="400" w:hanging="198" w:hangingChars="100"/>
        <w:rPr>
          <w:rFonts w:hint="eastAsia" w:ascii="仿宋" w:hAnsi="仿宋" w:eastAsia="仿宋" w:cs="仿宋"/>
          <w:color w:val="000000"/>
          <w:spacing w:val="-6"/>
          <w:sz w:val="21"/>
          <w:szCs w:val="21"/>
        </w:rPr>
      </w:pPr>
      <w:r>
        <w:rPr>
          <w:rFonts w:hint="eastAsia" w:ascii="仿宋" w:hAnsi="仿宋" w:eastAsia="仿宋" w:cs="仿宋"/>
          <w:color w:val="000000"/>
          <w:spacing w:val="-6"/>
          <w:sz w:val="21"/>
          <w:szCs w:val="21"/>
          <w:lang w:val="en-US" w:eastAsia="zh-CN"/>
        </w:rPr>
        <w:t>2.</w:t>
      </w:r>
      <w:r>
        <w:rPr>
          <w:rFonts w:hint="eastAsia" w:ascii="仿宋" w:hAnsi="仿宋" w:eastAsia="仿宋" w:cs="仿宋"/>
          <w:color w:val="000000"/>
          <w:spacing w:val="-6"/>
          <w:sz w:val="21"/>
          <w:szCs w:val="21"/>
        </w:rPr>
        <w:t>本表格中的</w:t>
      </w:r>
      <w:bookmarkStart w:id="0" w:name="_GoBack"/>
      <w:bookmarkEnd w:id="0"/>
      <w:r>
        <w:rPr>
          <w:rFonts w:hint="eastAsia" w:ascii="仿宋" w:hAnsi="仿宋" w:eastAsia="仿宋" w:cs="仿宋"/>
          <w:color w:val="000000"/>
          <w:spacing w:val="-6"/>
          <w:sz w:val="21"/>
          <w:szCs w:val="21"/>
        </w:rPr>
        <w:t>被征收房屋面积包含产权证载建筑面积和按规定享受最低住房保障政策补足</w:t>
      </w:r>
      <w:r>
        <w:rPr>
          <w:rFonts w:hint="eastAsia" w:ascii="仿宋" w:hAnsi="仿宋" w:eastAsia="仿宋" w:cs="仿宋"/>
          <w:color w:val="000000"/>
          <w:spacing w:val="-6"/>
          <w:sz w:val="21"/>
          <w:szCs w:val="21"/>
          <w:lang w:val="en-US" w:eastAsia="zh-CN"/>
        </w:rPr>
        <w:t xml:space="preserve">    </w:t>
      </w:r>
      <w:r>
        <w:rPr>
          <w:rFonts w:hint="eastAsia" w:ascii="仿宋" w:hAnsi="仿宋" w:eastAsia="仿宋" w:cs="仿宋"/>
          <w:color w:val="000000"/>
          <w:spacing w:val="-6"/>
          <w:sz w:val="21"/>
          <w:szCs w:val="21"/>
        </w:rPr>
        <w:t>部分的面积；</w:t>
      </w:r>
    </w:p>
    <w:p>
      <w:pPr>
        <w:spacing w:line="420" w:lineRule="exact"/>
        <w:ind w:left="1038" w:leftChars="400" w:hanging="198" w:hangingChars="100"/>
        <w:rPr>
          <w:rFonts w:hint="eastAsia" w:ascii="仿宋" w:hAnsi="仿宋" w:eastAsia="仿宋" w:cs="仿宋"/>
          <w:color w:val="000000"/>
          <w:spacing w:val="-6"/>
          <w:sz w:val="21"/>
          <w:szCs w:val="21"/>
        </w:rPr>
      </w:pPr>
      <w:r>
        <w:rPr>
          <w:rFonts w:hint="eastAsia" w:ascii="仿宋" w:hAnsi="仿宋" w:eastAsia="仿宋" w:cs="仿宋"/>
          <w:color w:val="000000"/>
          <w:spacing w:val="-6"/>
          <w:sz w:val="21"/>
          <w:szCs w:val="21"/>
        </w:rPr>
        <w:t>3.本</w:t>
      </w:r>
      <w:r>
        <w:rPr>
          <w:rFonts w:hint="eastAsia" w:ascii="仿宋" w:hAnsi="仿宋" w:eastAsia="仿宋" w:cs="仿宋"/>
          <w:color w:val="000000"/>
          <w:spacing w:val="-6"/>
          <w:sz w:val="21"/>
          <w:szCs w:val="21"/>
        </w:rPr>
        <w:t>表格中的被征收房屋评估价值是指被征收房屋产权证载建筑面积和按规定享受最低住房保障政策补足部分的面积所对应的评估价值。</w:t>
      </w:r>
    </w:p>
    <w:p>
      <w:pPr>
        <w:spacing w:line="600" w:lineRule="exact"/>
        <w:jc w:val="both"/>
        <w:rPr>
          <w:rFonts w:hint="eastAsia" w:ascii="仿宋" w:hAnsi="仿宋" w:eastAsia="仿宋" w:cs="仿宋"/>
          <w:b w:val="0"/>
          <w:kern w:val="2"/>
          <w:sz w:val="24"/>
          <w:szCs w:val="24"/>
          <w:lang w:val="en-US" w:eastAsia="zh-CN" w:bidi="ar-SA"/>
        </w:rPr>
      </w:pPr>
      <w:r>
        <w:rPr>
          <w:rFonts w:hint="eastAsia" w:ascii="仿宋" w:hAnsi="仿宋" w:eastAsia="仿宋" w:cs="仿宋"/>
          <w:sz w:val="24"/>
          <w:szCs w:val="24"/>
          <w:lang w:val="en-US" w:eastAsia="zh-CN"/>
        </w:rPr>
        <w:t xml:space="preserve">                                           </w:t>
      </w:r>
      <w:r>
        <w:rPr>
          <w:rFonts w:hint="eastAsia" w:ascii="仿宋" w:hAnsi="仿宋" w:eastAsia="仿宋" w:cs="仿宋"/>
          <w:b w:val="0"/>
          <w:kern w:val="2"/>
          <w:sz w:val="24"/>
          <w:szCs w:val="24"/>
          <w:lang w:val="en-US" w:eastAsia="zh-CN" w:bidi="ar-SA"/>
        </w:rPr>
        <w:t xml:space="preserve">       </w:t>
      </w:r>
    </w:p>
    <w:p>
      <w:pPr>
        <w:pStyle w:val="4"/>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仿宋" w:hAnsi="仿宋" w:eastAsia="仿宋" w:cs="仿宋"/>
          <w:b w:val="0"/>
          <w:i w:val="0"/>
          <w:caps w:val="0"/>
          <w:color w:val="000000"/>
          <w:spacing w:val="0"/>
          <w:sz w:val="24"/>
          <w:szCs w:val="24"/>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tabs>
        <w:tab w:val="center" w:pos="1260"/>
        <w:tab w:val="clear" w:pos="4153"/>
      </w:tabs>
      <w:wordWrap w:val="0"/>
      <w:ind w:left="1264" w:leftChars="602" w:firstLine="9916" w:firstLineChars="3099"/>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400050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31.5pt;height:0pt;width:442.55pt;z-index:251659264;mso-width-relative:page;mso-height-relative:page;" filled="f" stroked="t" coordsize="21600,21600" o:gfxdata="UEsDBAoAAAAAAIdO4kAAAAAAAAAAAAAAAAAEAAAAZHJzL1BLAwQUAAAACACHTuJAzT9idNIAAAAH&#10;AQAADwAAAGRycy9kb3ducmV2LnhtbE2PzU7DMBCE70i8g7VI3KjTVIpCiFOJSJyAA225u/E2juo/&#10;2W5S3p5FHOA4O6uZb9rt1Ro2Y0yTdwLWqwIYusGryY0CDvuXhxpYytIpabxDAV+YYNvd3rSyUX5x&#10;Hzjv8sgoxKVGCtA5h4bzNGi0Mq18QEfeyUcrM8k4chXlQuHW8LIoKm7l5KhBy4C9xuG8u1gB/Wso&#10;e/2+X2L5nN7GeWPC6fwpxP3dungClvGa/57hB5/QoSOmo784lZghTeBZQLWhRWTXdfUI7Ph74F3L&#10;//N331BLAwQUAAAACACHTuJABe67HvIBAAC9AwAADgAAAGRycy9lMm9Eb2MueG1srVNNjtMwFN4j&#10;cQfLe5o005YSNZ3FVMMGQSXgAK5jJ5b8Jz9P016CCyCxgxVL9tyG4Rg8O2EGhs0syMJ59nv+nr/P&#10;nzeXJ6PJUQRQzjZ0PispEZa7Vtmuoe/fXT9bUwKR2ZZpZ0VDzwLo5fbpk83ga1G53ulWBIIgFurB&#10;N7SP0ddFAbwXhsHMeWExKV0wLOI0dEUb2IDoRhdVWa6KwYXWB8cFAK7uxiSdEMNjAJ2Uioud4zdG&#10;2DiiBqFZRErQKw90m08rpeDxjZQgItENRaYxj9gE40Mai+2G1V1gvld8OgJ7zBEecDJMWWx6B7Vj&#10;kZGboP6BMooHB07GGXemGIlkRZDFvHygzdueeZG5oNTg70SH/wfLXx/3gai2oQtKLDN44bcfv/34&#10;8Pnn90843n79QhZJpMFDjbVXdh+mGfh9SIxPMpj0Ry7khDDzi4v1EuU9N3S9WqyfTxqLUyQc88tV&#10;VWIBJRwLcq64x/AB4kvhDElBQ7WyiT6r2fEVROyLpb9L0rJ110rrfIXakqGhFX4JmqEvJfoBQ+OR&#10;G9iOEqY7NDyPIUOC06pN2xMQhO5wpQM5smSTcjl/USXS2O6vstR7x6Af63JqNJBREd+EVgY5l+mb&#10;dmuLIEm6UawUHVx7zhrmdbzV3GZyYLLNn/O8+/7Vb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9idNIAAAAHAQAADwAAAAAAAAABACAAAAAiAAAAZHJzL2Rvd25yZXYueG1sUEsBAhQAFAAAAAgA&#10;h07iQAXuux7yAQAAvQMAAA4AAAAAAAAAAQAgAAAAIQEAAGRycy9lMm9Eb2MueG1sUEsFBgAAAAAG&#10;AAYAWQEAAIU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MzBmMDI3MWRiOGVhNzA5YTAzOTc1OTM3MDg0ODQifQ=="/>
  </w:docVars>
  <w:rsids>
    <w:rsidRoot w:val="00172A27"/>
    <w:rsid w:val="00BA600E"/>
    <w:rsid w:val="0131560C"/>
    <w:rsid w:val="019E71BD"/>
    <w:rsid w:val="021D1471"/>
    <w:rsid w:val="049D07AF"/>
    <w:rsid w:val="04B679C3"/>
    <w:rsid w:val="05F07036"/>
    <w:rsid w:val="06523BB3"/>
    <w:rsid w:val="068C2806"/>
    <w:rsid w:val="06E00104"/>
    <w:rsid w:val="072A0E34"/>
    <w:rsid w:val="080F63D8"/>
    <w:rsid w:val="09341458"/>
    <w:rsid w:val="098254C2"/>
    <w:rsid w:val="0A766EDE"/>
    <w:rsid w:val="0AD64BE8"/>
    <w:rsid w:val="0B0912D7"/>
    <w:rsid w:val="0C4843B9"/>
    <w:rsid w:val="0E025194"/>
    <w:rsid w:val="0F705A5C"/>
    <w:rsid w:val="14AF530F"/>
    <w:rsid w:val="152D2DCA"/>
    <w:rsid w:val="187168EA"/>
    <w:rsid w:val="19594DFC"/>
    <w:rsid w:val="196673CA"/>
    <w:rsid w:val="1CF734C9"/>
    <w:rsid w:val="1D4A6786"/>
    <w:rsid w:val="1D7274E7"/>
    <w:rsid w:val="1DEC284C"/>
    <w:rsid w:val="1E4E59B9"/>
    <w:rsid w:val="1E6523AC"/>
    <w:rsid w:val="1EB30E15"/>
    <w:rsid w:val="22440422"/>
    <w:rsid w:val="22BB4BBB"/>
    <w:rsid w:val="26445423"/>
    <w:rsid w:val="27B73740"/>
    <w:rsid w:val="2A3705BE"/>
    <w:rsid w:val="2AEB3417"/>
    <w:rsid w:val="2CF56953"/>
    <w:rsid w:val="2F1410A7"/>
    <w:rsid w:val="31A15F24"/>
    <w:rsid w:val="345E7CAE"/>
    <w:rsid w:val="3553697A"/>
    <w:rsid w:val="36FB1DF0"/>
    <w:rsid w:val="395347B5"/>
    <w:rsid w:val="39A232A0"/>
    <w:rsid w:val="39E745AA"/>
    <w:rsid w:val="3B5A6BBB"/>
    <w:rsid w:val="3C4A565A"/>
    <w:rsid w:val="3EC72240"/>
    <w:rsid w:val="3EDA13A6"/>
    <w:rsid w:val="3FE14054"/>
    <w:rsid w:val="414100C2"/>
    <w:rsid w:val="416C61EA"/>
    <w:rsid w:val="417B75E9"/>
    <w:rsid w:val="42D81E78"/>
    <w:rsid w:val="42F058B7"/>
    <w:rsid w:val="436109F6"/>
    <w:rsid w:val="441A38D4"/>
    <w:rsid w:val="4504239D"/>
    <w:rsid w:val="464E4D19"/>
    <w:rsid w:val="476F464E"/>
    <w:rsid w:val="48684670"/>
    <w:rsid w:val="48AD41B2"/>
    <w:rsid w:val="48CE394B"/>
    <w:rsid w:val="4BC77339"/>
    <w:rsid w:val="4C004D64"/>
    <w:rsid w:val="4C9236C5"/>
    <w:rsid w:val="4D6D4B15"/>
    <w:rsid w:val="4E250A85"/>
    <w:rsid w:val="4E71452B"/>
    <w:rsid w:val="4FFD4925"/>
    <w:rsid w:val="505C172E"/>
    <w:rsid w:val="506405EA"/>
    <w:rsid w:val="51744A4A"/>
    <w:rsid w:val="518D5D78"/>
    <w:rsid w:val="52F46F0B"/>
    <w:rsid w:val="532B6A10"/>
    <w:rsid w:val="539A7FDE"/>
    <w:rsid w:val="53D8014D"/>
    <w:rsid w:val="53DC7200"/>
    <w:rsid w:val="55E064E0"/>
    <w:rsid w:val="56D2100B"/>
    <w:rsid w:val="572C6D10"/>
    <w:rsid w:val="57840901"/>
    <w:rsid w:val="595866AD"/>
    <w:rsid w:val="5A9864F0"/>
    <w:rsid w:val="5D087974"/>
    <w:rsid w:val="5D346774"/>
    <w:rsid w:val="5DC34279"/>
    <w:rsid w:val="5FCD688E"/>
    <w:rsid w:val="5FF9BDAA"/>
    <w:rsid w:val="608816D1"/>
    <w:rsid w:val="60EF4E7F"/>
    <w:rsid w:val="62473204"/>
    <w:rsid w:val="648B0A32"/>
    <w:rsid w:val="64934B2E"/>
    <w:rsid w:val="65B97176"/>
    <w:rsid w:val="665233C1"/>
    <w:rsid w:val="678E1E10"/>
    <w:rsid w:val="69AC0D42"/>
    <w:rsid w:val="69AE7C10"/>
    <w:rsid w:val="6AD9688B"/>
    <w:rsid w:val="6BDF673D"/>
    <w:rsid w:val="6C956F3D"/>
    <w:rsid w:val="6D0E3F22"/>
    <w:rsid w:val="72A95934"/>
    <w:rsid w:val="72B73991"/>
    <w:rsid w:val="744E4660"/>
    <w:rsid w:val="753355A2"/>
    <w:rsid w:val="759F1C61"/>
    <w:rsid w:val="75A75EC4"/>
    <w:rsid w:val="769F2DE8"/>
    <w:rsid w:val="76FDEB7C"/>
    <w:rsid w:val="79C65162"/>
    <w:rsid w:val="7A5824FE"/>
    <w:rsid w:val="7A926BD1"/>
    <w:rsid w:val="7AFF3EF4"/>
    <w:rsid w:val="7C723D8E"/>
    <w:rsid w:val="7C9011D9"/>
    <w:rsid w:val="7DC651C5"/>
    <w:rsid w:val="7DE85D4E"/>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adjustRightInd w:val="0"/>
      <w:spacing w:line="580" w:lineRule="exact"/>
      <w:jc w:val="center"/>
      <w:outlineLvl w:val="0"/>
    </w:pPr>
    <w:rPr>
      <w:rFonts w:ascii="方正小标宋_GBK" w:eastAsia="方正小标宋_GBK"/>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5">
    <w:name w:val="index 5"/>
    <w:basedOn w:val="1"/>
    <w:next w:val="1"/>
    <w:qFormat/>
    <w:uiPriority w:val="0"/>
    <w:pPr>
      <w:ind w:left="1680"/>
    </w:pPr>
  </w:style>
  <w:style w:type="paragraph" w:styleId="6">
    <w:name w:val="annotation text"/>
    <w:basedOn w:val="1"/>
    <w:qFormat/>
    <w:uiPriority w:val="0"/>
    <w:pPr>
      <w:jc w:val="left"/>
    </w:pPr>
  </w:style>
  <w:style w:type="paragraph" w:styleId="7">
    <w:name w:val="Body Text"/>
    <w:basedOn w:val="1"/>
    <w:next w:val="1"/>
    <w:qFormat/>
    <w:uiPriority w:val="0"/>
    <w:pPr>
      <w:spacing w:after="120" w:afterLines="0"/>
    </w:pPr>
  </w:style>
  <w:style w:type="paragraph" w:styleId="8">
    <w:name w:val="Body Text Indent"/>
    <w:basedOn w:val="1"/>
    <w:qFormat/>
    <w:uiPriority w:val="0"/>
    <w:pPr>
      <w:adjustRightInd/>
      <w:spacing w:line="560" w:lineRule="exact"/>
      <w:ind w:firstLine="646"/>
    </w:pPr>
    <w:rPr>
      <w:rFonts w:ascii="Times New Roman" w:hAnsi="Times New Roman" w:eastAsia="宋体"/>
      <w:kern w:val="2"/>
      <w:sz w:val="28"/>
    </w:rPr>
  </w:style>
  <w:style w:type="paragraph" w:styleId="9">
    <w:name w:val="Body Text Indent 2"/>
    <w:basedOn w:val="1"/>
    <w:qFormat/>
    <w:uiPriority w:val="0"/>
    <w:pPr>
      <w:adjustRightInd/>
      <w:spacing w:line="520" w:lineRule="exact"/>
      <w:ind w:firstLine="570"/>
    </w:pPr>
    <w:rPr>
      <w:rFonts w:hAnsi="Times New Roman"/>
      <w:i/>
      <w:iCs/>
      <w:color w:val="FF0000"/>
      <w:kern w:val="2"/>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Default"/>
    <w:next w:val="5"/>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2343</Words>
  <Characters>2423</Characters>
  <Lines>1</Lines>
  <Paragraphs>1</Paragraphs>
  <TotalTime>1</TotalTime>
  <ScaleCrop>false</ScaleCrop>
  <LinksUpToDate>false</LinksUpToDate>
  <CharactersWithSpaces>2590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2022-07-14T11:25:11Z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48C61CB29D3F4D9384F5922CF0F7FFB4</vt:lpwstr>
  </property>
</Properties>
</file>