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szCs w:val="32"/>
          <w:lang w:eastAsia="zh-CN"/>
        </w:rPr>
      </w:pPr>
    </w:p>
    <w:p>
      <w:pPr>
        <w:bidi w:val="0"/>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bidi w:val="0"/>
        <w:jc w:val="center"/>
        <w:rPr>
          <w:rFonts w:hint="eastAsia" w:ascii="方正仿宋_GBK" w:hAnsi="方正仿宋_GBK" w:eastAsia="方正仿宋_GBK" w:cs="方正仿宋_GBK"/>
          <w:sz w:val="32"/>
          <w:szCs w:val="32"/>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重庆市万盛经开区管委会</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关于印发万盛经开区集体土地征收补偿安置</w:t>
      </w:r>
    </w:p>
    <w:p>
      <w:pPr>
        <w:pStyle w:val="1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napToGrid w:val="0"/>
          <w:kern w:val="0"/>
          <w:sz w:val="44"/>
          <w:szCs w:val="44"/>
          <w:highlight w:val="yellow"/>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实施办法的通知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仿宋_GBK" w:eastAsia="方正仿宋_GBK" w:hAnsiTheme="minorHAnsi" w:cstheme="minorBidi"/>
          <w:color w:val="000000"/>
          <w:kern w:val="2"/>
          <w:sz w:val="32"/>
          <w:szCs w:val="32"/>
          <w:lang w:val="en-US" w:eastAsia="zh-CN" w:bidi="ar-SA"/>
        </w:rPr>
      </w:pPr>
      <w:r>
        <w:rPr>
          <w:rFonts w:hint="eastAsia" w:ascii="方正仿宋_GBK" w:eastAsia="方正仿宋_GBK" w:hAnsiTheme="minorHAnsi" w:cstheme="minorBidi"/>
          <w:color w:val="000000"/>
          <w:kern w:val="2"/>
          <w:sz w:val="32"/>
          <w:szCs w:val="32"/>
          <w:lang w:val="en-US" w:eastAsia="zh-CN" w:bidi="ar-SA"/>
        </w:rPr>
        <w:t>万盛经开发〔2021〕12号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p>
    <w:p>
      <w:pPr>
        <w:keepNext w:val="0"/>
        <w:keepLines w:val="0"/>
        <w:pageBreakBefore w:val="0"/>
        <w:kinsoku/>
        <w:overflowPunct/>
        <w:topLinePunct w:val="0"/>
        <w:bidi w:val="0"/>
        <w:snapToGrid/>
        <w:spacing w:line="240" w:lineRule="auto"/>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各镇人民政府，各街道办事处，管委会各部门，经开区开发投资集团有限公司及有关国有企业，驻经开区有关单位：</w:t>
      </w:r>
    </w:p>
    <w:p>
      <w:pPr>
        <w:pStyle w:val="13"/>
        <w:keepNext w:val="0"/>
        <w:keepLines w:val="0"/>
        <w:pageBreakBefore w:val="0"/>
        <w:kinsoku/>
        <w:overflowPunct/>
        <w:topLinePunct w:val="0"/>
        <w:bidi w:val="0"/>
        <w:snapToGrid/>
        <w:spacing w:line="240" w:lineRule="auto"/>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《万盛经开区集体土地征收补偿安置实施办法》经管委会第10次主任办公会研究同意，现印发给你们，请认真贯彻执行。</w:t>
      </w:r>
    </w:p>
    <w:p>
      <w:pPr>
        <w:keepNext w:val="0"/>
        <w:keepLines w:val="0"/>
        <w:pageBreakBefore w:val="0"/>
        <w:kinsoku/>
        <w:overflowPunct/>
        <w:topLinePunct w:val="0"/>
        <w:bidi w:val="0"/>
        <w:snapToGrid/>
        <w:spacing w:line="240" w:lineRule="auto"/>
        <w:textAlignment w:val="auto"/>
        <w:rPr>
          <w:rFonts w:hint="eastAsia" w:ascii="方正仿宋_GBK" w:hAnsi="方正仿宋_GBK" w:eastAsia="方正仿宋_GBK" w:cs="方正仿宋_GBK"/>
          <w:sz w:val="32"/>
          <w:szCs w:val="32"/>
        </w:rPr>
      </w:pPr>
    </w:p>
    <w:p>
      <w:pPr>
        <w:pStyle w:val="13"/>
        <w:keepNext w:val="0"/>
        <w:keepLines w:val="0"/>
        <w:pageBreakBefore w:val="0"/>
        <w:kinsoku/>
        <w:overflowPunct/>
        <w:topLinePunct w:val="0"/>
        <w:bidi w:val="0"/>
        <w:snapToGrid/>
        <w:spacing w:line="240" w:lineRule="auto"/>
        <w:textAlignment w:val="auto"/>
        <w:rPr>
          <w:rFonts w:hint="eastAsia" w:ascii="方正仿宋_GBK" w:eastAsia="方正仿宋_GBK"/>
          <w:sz w:val="32"/>
          <w:szCs w:val="32"/>
        </w:rPr>
      </w:pPr>
      <w:r>
        <w:rPr>
          <w:rFonts w:hint="eastAsia" w:ascii="方正仿宋_GBK" w:eastAsia="方正仿宋_GBK"/>
          <w:sz w:val="32"/>
          <w:szCs w:val="32"/>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0116800"/>
                <wp:effectExtent l="0" t="0" r="0" b="0"/>
                <wp:wrapNone/>
                <wp:docPr id="1" name="矩形 1" hidden="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visibility:hidden;z-index:-251657216;mso-width-relative:page;mso-height-relative:page;" fillcolor="#FFFFFF" filled="t" stroked="t" coordsize="21600,21600" o:gfxdata="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vV/FfaAAAADwEAAA8AAAAAAAAAAQAgAAAA&#10;IgAAAGRycy9kb3ducmV2LnhtbFBLAQIUABQAAAAIAIdO4kBBUXMeCQIAAGYEAAAOAAAAAAAAAAEA&#10;IAAAACkBAABkcnMvZTJvRG9jLnhtbFBLBQYAAAAABgAGAFkBAACkBQAAAAA=&#10;">
                <v:fill on="t" opacity="0f" focussize="0,0"/>
                <v:stroke color="#FFFFFF" opacity="0f" joinstyle="miter"/>
                <v:imagedata o:title=""/>
                <o:lock v:ext="edit" aspectratio="f"/>
              </v:rect>
            </w:pict>
          </mc:Fallback>
        </mc:AlternateContent>
      </w:r>
    </w:p>
    <w:p>
      <w:pPr>
        <w:pStyle w:val="13"/>
        <w:keepNext w:val="0"/>
        <w:keepLines w:val="0"/>
        <w:pageBreakBefore w:val="0"/>
        <w:kinsoku/>
        <w:wordWrap w:val="0"/>
        <w:overflowPunct/>
        <w:topLinePunct w:val="0"/>
        <w:bidi w:val="0"/>
        <w:snapToGrid/>
        <w:spacing w:line="240" w:lineRule="auto"/>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万盛经开区管委会        </w:t>
      </w:r>
    </w:p>
    <w:p>
      <w:pPr>
        <w:keepNext w:val="0"/>
        <w:keepLines w:val="0"/>
        <w:pageBreakBefore w:val="0"/>
        <w:kinsoku/>
        <w:wordWrap w:val="0"/>
        <w:overflowPunct/>
        <w:topLinePunct w:val="0"/>
        <w:bidi w:val="0"/>
        <w:snapToGrid/>
        <w:spacing w:line="240" w:lineRule="auto"/>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2021年6月30日        </w:t>
      </w:r>
    </w:p>
    <w:p>
      <w:pPr>
        <w:pStyle w:val="13"/>
        <w:keepNext w:val="0"/>
        <w:keepLines w:val="0"/>
        <w:pageBreakBefore w:val="0"/>
        <w:kinsoku/>
        <w:overflowPunct/>
        <w:topLinePunct w:val="0"/>
        <w:bidi w:val="0"/>
        <w:snapToGrid/>
        <w:spacing w:line="240" w:lineRule="auto"/>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（此件公开发布）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napToGrid/>
        <w:spacing w:before="0" w:beforeAutospacing="0" w:after="0" w:afterAutospacing="0" w:line="240" w:lineRule="auto"/>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both"/>
        <w:rPr>
          <w:rFonts w:hint="eastAsia" w:ascii="方正仿宋_GBK" w:hAnsi="方正仿宋_GBK" w:eastAsia="方正仿宋_GBK" w:cs="方正仿宋_GBK"/>
          <w:b w:val="0"/>
          <w:i w:val="0"/>
          <w:caps w:val="0"/>
          <w:color w:val="000000"/>
          <w:spacing w:val="0"/>
          <w:sz w:val="31"/>
          <w:szCs w:val="31"/>
          <w:shd w:val="clear" w:fill="FFFFFF"/>
        </w:rPr>
      </w:pPr>
    </w:p>
    <w:p>
      <w:pPr>
        <w:adjustRightInd w:val="0"/>
        <w:spacing w:line="574" w:lineRule="exact"/>
        <w:jc w:val="center"/>
        <w:rPr>
          <w:rFonts w:ascii="Times New Roman" w:hAnsi="Times New Roman" w:eastAsia="方正小标宋_GBK" w:cs="Times New Roman"/>
          <w:color w:val="000000"/>
          <w:sz w:val="44"/>
          <w:szCs w:val="44"/>
        </w:rPr>
      </w:pPr>
    </w:p>
    <w:p>
      <w:pPr>
        <w:keepNext w:val="0"/>
        <w:keepLines w:val="0"/>
        <w:pageBreakBefore w:val="0"/>
        <w:kinsoku/>
        <w:wordWrap/>
        <w:overflowPunct/>
        <w:topLinePunct w:val="0"/>
        <w:bidi w:val="0"/>
        <w:adjustRightInd w:val="0"/>
        <w:spacing w:line="240" w:lineRule="auto"/>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万盛经开区集体土地征收补偿安置实施办法</w:t>
      </w:r>
    </w:p>
    <w:p>
      <w:pPr>
        <w:keepNext w:val="0"/>
        <w:keepLines w:val="0"/>
        <w:pageBreakBefore w:val="0"/>
        <w:kinsoku/>
        <w:wordWrap/>
        <w:overflowPunct/>
        <w:topLinePunct w:val="0"/>
        <w:bidi w:val="0"/>
        <w:adjustRightInd w:val="0"/>
        <w:spacing w:line="240" w:lineRule="auto"/>
        <w:jc w:val="center"/>
        <w:textAlignment w:val="auto"/>
        <w:rPr>
          <w:rFonts w:ascii="Times New Roman" w:hAnsi="Times New Roman" w:eastAsia="方正仿宋_GBK" w:cs="Times New Roman"/>
          <w:color w:val="000000"/>
          <w:sz w:val="32"/>
          <w:szCs w:val="32"/>
        </w:rPr>
      </w:pPr>
    </w:p>
    <w:p>
      <w:pPr>
        <w:keepNext w:val="0"/>
        <w:keepLines w:val="0"/>
        <w:pageBreakBefore w:val="0"/>
        <w:kinsoku/>
        <w:wordWrap/>
        <w:overflowPunct/>
        <w:topLinePunct w:val="0"/>
        <w:autoSpaceDE w:val="0"/>
        <w:bidi w:val="0"/>
        <w:adjustRightInd w:val="0"/>
        <w:snapToGrid w:val="0"/>
        <w:spacing w:line="240" w:lineRule="auto"/>
        <w:jc w:val="center"/>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第一章  总    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第一条</w:t>
      </w:r>
      <w:r>
        <w:rPr>
          <w:rFonts w:hint="eastAsia" w:ascii="仿宋" w:hAnsi="仿宋" w:eastAsia="仿宋" w:cs="仿宋"/>
          <w:b w:val="0"/>
          <w:i w:val="0"/>
          <w:caps w:val="0"/>
          <w:color w:val="000000"/>
          <w:spacing w:val="0"/>
          <w:sz w:val="31"/>
          <w:szCs w:val="31"/>
          <w:shd w:val="clear" w:fill="FFFFFF"/>
        </w:rPr>
        <w:t xml:space="preserve">  为了规范本区农民集体所有的土地（以下简称集体土地）征收的补偿安置工作，保障被征收土地的所有权人、使用权人的合法权益，根据《重庆市集体土地征地补偿安置办法》（重庆市人民政府令第344号）和《重庆市人民政府关于公布征地补偿安置标准有关事项的通知》（渝府发〔2021〕14号），结合本区实际，制定本实施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第二条</w:t>
      </w:r>
      <w:r>
        <w:rPr>
          <w:rFonts w:hint="eastAsia" w:ascii="仿宋" w:hAnsi="仿宋" w:eastAsia="仿宋" w:cs="仿宋"/>
          <w:b w:val="0"/>
          <w:i w:val="0"/>
          <w:caps w:val="0"/>
          <w:color w:val="000000"/>
          <w:spacing w:val="0"/>
          <w:sz w:val="31"/>
          <w:szCs w:val="31"/>
          <w:shd w:val="clear" w:fill="FFFFFF"/>
        </w:rPr>
        <w:t xml:space="preserve">  万盛经开区范围内集体土地征收的补偿、人员安置和住房安置，适用本实施办法。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第三条</w:t>
      </w:r>
      <w:r>
        <w:rPr>
          <w:rFonts w:hint="eastAsia" w:ascii="仿宋" w:hAnsi="仿宋" w:eastAsia="仿宋" w:cs="仿宋"/>
          <w:b w:val="0"/>
          <w:i w:val="0"/>
          <w:caps w:val="0"/>
          <w:color w:val="000000"/>
          <w:spacing w:val="0"/>
          <w:sz w:val="31"/>
          <w:szCs w:val="31"/>
          <w:shd w:val="clear" w:fill="FFFFFF"/>
        </w:rPr>
        <w:t xml:space="preserve">  经开区管委会负责本区管理范围内集体土地征收补偿安置的组织实施工作。区征地实施机构承担本区管理范围内集体土地征收补偿安置具体实施的事务性工作。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bookmarkStart w:id="0" w:name="_Hlk67338992"/>
      <w:r>
        <w:rPr>
          <w:rFonts w:hint="eastAsia" w:ascii="仿宋" w:hAnsi="仿宋" w:eastAsia="仿宋" w:cs="仿宋"/>
          <w:b w:val="0"/>
          <w:i w:val="0"/>
          <w:caps w:val="0"/>
          <w:color w:val="000000"/>
          <w:spacing w:val="0"/>
          <w:sz w:val="31"/>
          <w:szCs w:val="31"/>
          <w:shd w:val="clear" w:fill="FFFFFF"/>
        </w:rPr>
        <w:t>区</w:t>
      </w:r>
      <w:bookmarkEnd w:id="0"/>
      <w:r>
        <w:rPr>
          <w:rFonts w:hint="eastAsia" w:ascii="仿宋" w:hAnsi="仿宋" w:eastAsia="仿宋" w:cs="仿宋"/>
          <w:b w:val="0"/>
          <w:i w:val="0"/>
          <w:caps w:val="0"/>
          <w:color w:val="000000"/>
          <w:spacing w:val="0"/>
          <w:sz w:val="31"/>
          <w:szCs w:val="31"/>
          <w:shd w:val="clear" w:fill="FFFFFF"/>
        </w:rPr>
        <w:t>规划自然资源部门负责对集体土地征收补偿安置具体实施的事务性工作进行管理和监督。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区人力社保部门负责征地安置人员的基本养老保险和促进就业工作。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区公安机关负责被征地农村集体经济组织所在地居民户口信息提供和审核工作。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区农业农村部门负责征地涉及的农村土地承包经营及承包经营合同管理，农村集体资产管理的指导、协调和监督及农村宅基地管理工作。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区财政、住房城乡建设、民政、司法、信访等部门，按照各自职责做好集体土地征收补偿安置的相关工作。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镇人民政府（街道办事处）负责征地涉及的农村土地承包经营及承包经营合同管理，农村宅基地审核批准，征地拆迁矛盾纠纷调处、信访维稳等相关具体工作；并按照经开区管委会的要求，做好辖区内集体土地征收补偿安置的相关工作。</w:t>
      </w:r>
    </w:p>
    <w:p>
      <w:pPr>
        <w:keepNext w:val="0"/>
        <w:keepLines w:val="0"/>
        <w:pageBreakBefore w:val="0"/>
        <w:kinsoku/>
        <w:wordWrap/>
        <w:overflowPunct/>
        <w:topLinePunct w:val="0"/>
        <w:autoSpaceDE w:val="0"/>
        <w:bidi w:val="0"/>
        <w:adjustRightInd w:val="0"/>
        <w:snapToGrid w:val="0"/>
        <w:spacing w:line="240" w:lineRule="auto"/>
        <w:jc w:val="center"/>
        <w:textAlignment w:val="auto"/>
        <w:rPr>
          <w:rFonts w:ascii="Times New Roman" w:hAnsi="Times New Roman" w:eastAsia="方正仿宋_GBK" w:cs="Times New Roman"/>
          <w:color w:val="000000"/>
          <w:sz w:val="32"/>
          <w:szCs w:val="32"/>
        </w:rPr>
      </w:pPr>
    </w:p>
    <w:p>
      <w:pPr>
        <w:keepNext w:val="0"/>
        <w:keepLines w:val="0"/>
        <w:pageBreakBefore w:val="0"/>
        <w:kinsoku/>
        <w:wordWrap/>
        <w:overflowPunct/>
        <w:topLinePunct w:val="0"/>
        <w:autoSpaceDE w:val="0"/>
        <w:bidi w:val="0"/>
        <w:adjustRightInd w:val="0"/>
        <w:snapToGrid w:val="0"/>
        <w:spacing w:line="240" w:lineRule="auto"/>
        <w:jc w:val="center"/>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第二章  征地补偿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第四条</w:t>
      </w:r>
      <w:r>
        <w:rPr>
          <w:rFonts w:hint="eastAsia" w:ascii="仿宋" w:hAnsi="仿宋" w:eastAsia="仿宋" w:cs="仿宋"/>
          <w:b w:val="0"/>
          <w:i w:val="0"/>
          <w:caps w:val="0"/>
          <w:color w:val="000000"/>
          <w:spacing w:val="0"/>
          <w:sz w:val="31"/>
          <w:szCs w:val="31"/>
          <w:shd w:val="clear" w:fill="FFFFFF"/>
        </w:rPr>
        <w:t xml:space="preserve">  征收集体土地应当依法及时足额支付土地补偿费、安置补助费以及农村房屋、其他地上附着物和青苗等的补偿费用。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第五条</w:t>
      </w:r>
      <w:r>
        <w:rPr>
          <w:rFonts w:hint="eastAsia" w:ascii="仿宋" w:hAnsi="仿宋" w:eastAsia="仿宋" w:cs="仿宋"/>
          <w:b w:val="0"/>
          <w:i w:val="0"/>
          <w:caps w:val="0"/>
          <w:color w:val="000000"/>
          <w:spacing w:val="0"/>
          <w:sz w:val="31"/>
          <w:szCs w:val="31"/>
          <w:shd w:val="clear" w:fill="FFFFFF"/>
        </w:rPr>
        <w:t xml:space="preserve">  征收农用地、建设用地和未利用地的土地补偿费和安置补助费，不分地类，按照市人民政府制定公布的区片综合地价标准乘以被征收土地面积计算。区片综合地价中，土地补偿费占30%，安置补助费占70%。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本区管理范围内，区片综合地价标准按照附件1执行。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第六条</w:t>
      </w:r>
      <w:r>
        <w:rPr>
          <w:rFonts w:hint="eastAsia" w:ascii="仿宋" w:hAnsi="仿宋" w:eastAsia="仿宋" w:cs="仿宋"/>
          <w:b w:val="0"/>
          <w:i w:val="0"/>
          <w:caps w:val="0"/>
          <w:color w:val="000000"/>
          <w:spacing w:val="0"/>
          <w:sz w:val="31"/>
          <w:szCs w:val="31"/>
          <w:shd w:val="clear" w:fill="FFFFFF"/>
        </w:rPr>
        <w:t xml:space="preserve">  被征收土地的土地补偿费，按照市人民政府制定公布的土地补偿费标准（区片综合地价的30%）乘以农村集体经济组织被征收土地面积计算。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土地补偿费由区征地实施机构支付给被征地农村集体经济组织。其中，被征收土地为家庭承包土地的，土地补偿费的80%由农村集体经济组织按照被征收土地面积发放给承包经营户，土地补偿费的20%由农村集体经济组织依法管理和使用；被征收土地为未发包土地或者其他方式承包土地的，土地补偿费由农村集体经济组织依法管理和使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第七条</w:t>
      </w:r>
      <w:r>
        <w:rPr>
          <w:rFonts w:hint="eastAsia" w:ascii="仿宋" w:hAnsi="仿宋" w:eastAsia="仿宋" w:cs="仿宋"/>
          <w:b w:val="0"/>
          <w:i w:val="0"/>
          <w:caps w:val="0"/>
          <w:color w:val="000000"/>
          <w:spacing w:val="0"/>
          <w:sz w:val="31"/>
          <w:szCs w:val="31"/>
          <w:shd w:val="clear" w:fill="FFFFFF"/>
        </w:rPr>
        <w:t xml:space="preserve">  被征收土地的安置补助费，按照市人民政府制定公布的安置补助费标准（区片综合地价的70%）乘以农村集体经济组织被征收土地面积计算。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安置补助费由区征地实施机构按照36000元/人的发放标准支付给人员安置对象。前款计算的安置补助费按照发放标准支付后有结余的，结余部分交由农村集体经济组织依法管理和使用；不足的，由经开区管委会安排资金予以补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第八条</w:t>
      </w:r>
      <w:r>
        <w:rPr>
          <w:rFonts w:hint="eastAsia" w:ascii="仿宋" w:hAnsi="仿宋" w:eastAsia="仿宋" w:cs="仿宋"/>
          <w:b w:val="0"/>
          <w:i w:val="0"/>
          <w:caps w:val="0"/>
          <w:color w:val="000000"/>
          <w:spacing w:val="0"/>
          <w:sz w:val="31"/>
          <w:szCs w:val="31"/>
          <w:shd w:val="clear" w:fill="FFFFFF"/>
        </w:rPr>
        <w:t xml:space="preserve">  农村房屋以不动产权属证书记载的合法建筑面积为准，按照重置价格标准补偿（见附件2）。</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农村房屋包括农村村民住宅和乡镇企业、乡（镇）村公共设施、公益事业用房等。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对未取得不动产权属证书的房屋，由经开区管委会组织规划自然资源、农业农村等部门和镇人民政府（街道办事处）依法确认是否纳入补偿范围。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第九条</w:t>
      </w:r>
      <w:r>
        <w:rPr>
          <w:rFonts w:hint="eastAsia" w:ascii="仿宋" w:hAnsi="仿宋" w:eastAsia="仿宋" w:cs="仿宋"/>
          <w:b w:val="0"/>
          <w:i w:val="0"/>
          <w:caps w:val="0"/>
          <w:color w:val="000000"/>
          <w:spacing w:val="0"/>
          <w:sz w:val="31"/>
          <w:szCs w:val="31"/>
          <w:shd w:val="clear" w:fill="FFFFFF"/>
        </w:rPr>
        <w:t xml:space="preserve">  被搬迁房屋的装饰物由所有权人自行拆除。无法拆除的，给予适当补助，其补助标准见附件3。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被搬迁房屋安装的独立水、电、气、固定电话、有线电视等设施的补助，按区发展改革部门核定的安装标准支付给被搬迁户。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第十条</w:t>
      </w:r>
      <w:r>
        <w:rPr>
          <w:rFonts w:hint="eastAsia" w:ascii="仿宋" w:hAnsi="仿宋" w:eastAsia="仿宋" w:cs="仿宋"/>
          <w:b w:val="0"/>
          <w:i w:val="0"/>
          <w:caps w:val="0"/>
          <w:color w:val="000000"/>
          <w:spacing w:val="0"/>
          <w:sz w:val="31"/>
          <w:szCs w:val="31"/>
          <w:shd w:val="clear" w:fill="FFFFFF"/>
        </w:rPr>
        <w:t xml:space="preserve">  本办法所称其他地上附着物，是指除房屋外的建筑物、构筑物以及林木和其他经济作物等；青苗，是指土地上生长的农作物。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其他地上附着物（不含坟墓）和青苗实行综合定额补偿，以被征收土地面积扣除林地后的面积为准，每亩定额补偿14000元，由区征地实施机构委托被征收集体经济组织参照本实施办法附件4、5、6、7规定标准据实支付给所有权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坟墓按照单人坟4000元/座、双人坟4500元/座标准予以补偿，由坟主的亲属按照补偿协议约定时间自行处理，逾期未处理的，按无主坟处理。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征收林地的林木及附着物的补偿标准，按照国家和本市征收林地的有关规定执行，补偿标准低于综合定额标准的，按照综合定额标准进行补偿，每亩定额补偿14000元，其中，林木补偿按照本实施办法附件8规定标准计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第十一条</w:t>
      </w:r>
      <w:r>
        <w:rPr>
          <w:rFonts w:hint="eastAsia" w:ascii="仿宋" w:hAnsi="仿宋" w:eastAsia="仿宋" w:cs="仿宋"/>
          <w:b w:val="0"/>
          <w:i w:val="0"/>
          <w:caps w:val="0"/>
          <w:color w:val="000000"/>
          <w:spacing w:val="0"/>
          <w:sz w:val="31"/>
          <w:szCs w:val="31"/>
          <w:shd w:val="clear" w:fill="FFFFFF"/>
        </w:rPr>
        <w:t xml:space="preserve">  有下列情形之一的，不予补偿：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（一）违法建（构）筑物；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（二）已拆除的房屋、房屋已垮塌的部分；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（三）经开区管委会发布征收土地预公告后栽种的青苗及花草、树木等附着物；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（四）其他不应当增加补偿费用的情形。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第十二条</w:t>
      </w:r>
      <w:r>
        <w:rPr>
          <w:rFonts w:hint="eastAsia" w:ascii="仿宋" w:hAnsi="仿宋" w:eastAsia="仿宋" w:cs="仿宋"/>
          <w:b w:val="0"/>
          <w:i w:val="0"/>
          <w:caps w:val="0"/>
          <w:color w:val="000000"/>
          <w:spacing w:val="0"/>
          <w:sz w:val="31"/>
          <w:szCs w:val="31"/>
          <w:shd w:val="clear" w:fill="FFFFFF"/>
        </w:rPr>
        <w:t xml:space="preserve">  征收土地预公告发布之日，持有合法证照且从事生产经营活动的，应当综合考虑生产经营年限、规模、类别、搬迁损失、搬迁难易度等因素，对生产经营者一次性给予搬迁补助费。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一）农业类。征收土地预公告发布之日，对已经审批或者备案的规模化苗木花卉种植户（含花草树木等其他地上附着物），按照国家和我市设施农用地管理有关规定，以批准的种植规模内实际种植面积为准，每亩补助6400元；征收土地预公告之日，持有合法经营手续并实际经营的畜禽养殖户，在规定时间内交房并自行搬迁设施设备及畜禽养殖物，按本实施办法附件9规定的标准给予搬迁补助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（二）工业类。一次性搬迁补助费按所搬迁设施设备评估净值的20%计算；搬迁后丧失使用价值的，按照设施设备评估净值计算。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三）商业服务类。征收土地预公告之日，能够提供市场监管部门核发的有效营业执照和税务部门核发的税务登记证的个体工商户和个体经营户，一次性搬迁补助费标准按照实际用于商服经营房屋建筑面积200元／平方米计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为生产经营安装的水、电、气、管网等设施，按实际安装费用补助，无法提供实际安装票据的，按搬迁时区发展改革部门核定的安装价格进行补助。</w:t>
      </w:r>
    </w:p>
    <w:p>
      <w:pPr>
        <w:keepNext w:val="0"/>
        <w:keepLines w:val="0"/>
        <w:pageBreakBefore w:val="0"/>
        <w:kinsoku/>
        <w:wordWrap/>
        <w:overflowPunct/>
        <w:topLinePunct w:val="0"/>
        <w:autoSpaceDE w:val="0"/>
        <w:bidi w:val="0"/>
        <w:adjustRightInd w:val="0"/>
        <w:snapToGrid w:val="0"/>
        <w:spacing w:line="240" w:lineRule="auto"/>
        <w:jc w:val="center"/>
        <w:textAlignment w:val="auto"/>
        <w:rPr>
          <w:rFonts w:ascii="Times New Roman" w:hAnsi="Times New Roman" w:eastAsia="方正仿宋_GBK" w:cs="Times New Roman"/>
          <w:color w:val="000000"/>
          <w:sz w:val="32"/>
          <w:szCs w:val="32"/>
        </w:rPr>
      </w:pPr>
    </w:p>
    <w:p>
      <w:pPr>
        <w:keepNext w:val="0"/>
        <w:keepLines w:val="0"/>
        <w:pageBreakBefore w:val="0"/>
        <w:kinsoku/>
        <w:wordWrap/>
        <w:overflowPunct/>
        <w:topLinePunct w:val="0"/>
        <w:autoSpaceDE w:val="0"/>
        <w:bidi w:val="0"/>
        <w:adjustRightInd w:val="0"/>
        <w:snapToGrid w:val="0"/>
        <w:spacing w:line="240" w:lineRule="auto"/>
        <w:jc w:val="center"/>
        <w:textAlignment w:val="auto"/>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第三章  人员安置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第十三条</w:t>
      </w:r>
      <w:r>
        <w:rPr>
          <w:rFonts w:hint="eastAsia" w:ascii="仿宋" w:hAnsi="仿宋" w:eastAsia="仿宋" w:cs="仿宋"/>
          <w:b w:val="0"/>
          <w:i w:val="0"/>
          <w:caps w:val="0"/>
          <w:color w:val="000000"/>
          <w:spacing w:val="0"/>
          <w:sz w:val="31"/>
          <w:szCs w:val="31"/>
          <w:shd w:val="clear" w:fill="FFFFFF"/>
        </w:rPr>
        <w:t xml:space="preserve">  本办法所称人员安置对象应当从征收土地预公告之日计入被征地农村集体经济组织总人口的人员中产生。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下列人员计入被征地农村集体经济组织总人口：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（一）户口登记在被征地农村集体经济组织所在地，且取得该农村集体经济组织土地承包经营权的人员；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（二）因出生、政策性移民将户口登记在被征地农村集体经济组织所在地，且依法享有该农村集体经济组织土地承包经营权的人员；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（三）因合法收养、合法婚姻将户口从其他农村集体经济组织迁入并长期在被征地农村集体经济组织生产生活，且依法享有被征地农村集体经济组织土地承包经营权的人员；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（四）依法享有被征地农村集体经济组织土地承包经营权的在校大中专学生（含硕士、博士研究生）、现役军士和义务兵、儿童福利机构孤儿、服刑人员；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（五）按照重庆市统筹城乡户籍制度改革有关规定保留征地补偿安置权利的人员；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（六）因其他原因，户口从被征地农村集体经济组织所在地迁出进城落户，但长期在被征地农村集体经济组织生产生活，且取得该农村集体经济组织土地承包经营权的人员。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前款所称“长期”，是指经开区管委会发布征收土地预公告之日，已在被征地农村集体经济组织连续生产生活1年以上，其中，离婚后再婚配偶及随迁子女在被征地农村集体经济组织连续生产生活3年以上。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第十四条</w:t>
      </w:r>
      <w:r>
        <w:rPr>
          <w:rFonts w:hint="eastAsia" w:ascii="仿宋" w:hAnsi="仿宋" w:eastAsia="仿宋" w:cs="仿宋"/>
          <w:b w:val="0"/>
          <w:i w:val="0"/>
          <w:caps w:val="0"/>
          <w:color w:val="000000"/>
          <w:spacing w:val="0"/>
          <w:sz w:val="31"/>
          <w:szCs w:val="31"/>
          <w:shd w:val="clear" w:fill="FFFFFF"/>
        </w:rPr>
        <w:t xml:space="preserve">  符合本办法第十三条规定但有下列情形之一的人员，不计入被征地农村集体经济组织总人口：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（一）征地前已实行征地人员安置的人员；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（二）国家机关、人民团体、事业单位等在编在职和退休人员。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第十五条</w:t>
      </w:r>
      <w:r>
        <w:rPr>
          <w:rFonts w:hint="eastAsia" w:ascii="仿宋" w:hAnsi="仿宋" w:eastAsia="仿宋" w:cs="仿宋"/>
          <w:b w:val="0"/>
          <w:i w:val="0"/>
          <w:caps w:val="0"/>
          <w:color w:val="000000"/>
          <w:spacing w:val="0"/>
          <w:sz w:val="31"/>
          <w:szCs w:val="31"/>
          <w:shd w:val="clear" w:fill="FFFFFF"/>
        </w:rPr>
        <w:t xml:space="preserve">  农村集体经济组织的土地被全部征收的，按照本办法计入被征地农村集体经济组织总人口的人员全部为人员安置对象。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前款所称人均土地面积为集体土地所有权证登记的土地总面积（不含已被征收的面积）除以按照本办法计入被征地农村集体经济组织总人口数。前款所称农村集体经济组织耕地占比为集体土地所有权证登记的耕地面积（不含已被征收的面积）占土地总面积（不含已被征收的面积）的比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第十六条</w:t>
      </w:r>
      <w:r>
        <w:rPr>
          <w:rFonts w:hint="eastAsia" w:ascii="仿宋" w:hAnsi="仿宋" w:eastAsia="仿宋" w:cs="仿宋"/>
          <w:b w:val="0"/>
          <w:i w:val="0"/>
          <w:caps w:val="0"/>
          <w:color w:val="000000"/>
          <w:spacing w:val="0"/>
          <w:sz w:val="31"/>
          <w:szCs w:val="31"/>
          <w:shd w:val="clear" w:fill="FFFFFF"/>
        </w:rPr>
        <w:t xml:space="preserve">  具体的人员安置对象由被征地的农村集体经济组织按照农户被征地多少和剩余耕地情况在农村集体经济组织总人口中确定。镇人民政府（街道办事处）应按以下原则指导农村集体经济组织确定人员安置对象，按照本办法第十五条规定计算的人员安置对象人数，全部落实到具体人员：征收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仍有节余的人数，由农村集体经济组织全体成员会议或代表会议讨论确定具体人员；只征收未发包土地和其他方式承包土地的，由农村集体经济组织全体成员会议或代表会议讨论确定具体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具体的人员安置对象经农村集体经济组织公示7日无异议后，报镇人民政府（街道办事处）初审，区征地实施机构会同区规划自然资源、人力社保、公安、农业农村等部门复核，经开区管委会核准。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第十七条</w:t>
      </w:r>
      <w:r>
        <w:rPr>
          <w:rFonts w:hint="eastAsia" w:ascii="仿宋" w:hAnsi="仿宋" w:eastAsia="仿宋" w:cs="仿宋"/>
          <w:b w:val="0"/>
          <w:i w:val="0"/>
          <w:caps w:val="0"/>
          <w:color w:val="000000"/>
          <w:spacing w:val="0"/>
          <w:sz w:val="31"/>
          <w:szCs w:val="31"/>
          <w:shd w:val="clear" w:fill="FFFFFF"/>
        </w:rPr>
        <w:t xml:space="preserve">  经开区管委会应当将符合条件的人员安置对象纳入相应的养老等社会保障体系，并安排人员安置对象的社会保障费用，主要用于人员安置对象的养老保险等社会保险缴费补贴。人员安置对象的基本养老保险缴费补贴办法及标准，按照市人民政府有关规定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第十八条</w:t>
      </w:r>
      <w:r>
        <w:rPr>
          <w:rFonts w:hint="eastAsia" w:ascii="仿宋" w:hAnsi="仿宋" w:eastAsia="仿宋" w:cs="仿宋"/>
          <w:b w:val="0"/>
          <w:i w:val="0"/>
          <w:caps w:val="0"/>
          <w:color w:val="000000"/>
          <w:spacing w:val="0"/>
          <w:sz w:val="31"/>
          <w:szCs w:val="31"/>
          <w:shd w:val="clear" w:fill="FFFFFF"/>
        </w:rPr>
        <w:t xml:space="preserve">  区人力社保部门应当将劳动力年龄段内有劳动能力、有就业需求的人员安置对象纳入公共就业服务范围，组织开展就业创业服务活动，促进其就业创业。</w:t>
      </w:r>
    </w:p>
    <w:p>
      <w:pPr>
        <w:keepNext w:val="0"/>
        <w:keepLines w:val="0"/>
        <w:pageBreakBefore w:val="0"/>
        <w:kinsoku/>
        <w:wordWrap/>
        <w:overflowPunct/>
        <w:topLinePunct w:val="0"/>
        <w:autoSpaceDE w:val="0"/>
        <w:bidi w:val="0"/>
        <w:adjustRightInd w:val="0"/>
        <w:snapToGrid w:val="0"/>
        <w:spacing w:line="240" w:lineRule="auto"/>
        <w:jc w:val="center"/>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p>
    <w:p>
      <w:pPr>
        <w:keepNext w:val="0"/>
        <w:keepLines w:val="0"/>
        <w:pageBreakBefore w:val="0"/>
        <w:kinsoku/>
        <w:wordWrap/>
        <w:overflowPunct/>
        <w:topLinePunct w:val="0"/>
        <w:autoSpaceDE w:val="0"/>
        <w:bidi w:val="0"/>
        <w:adjustRightInd w:val="0"/>
        <w:snapToGrid w:val="0"/>
        <w:spacing w:line="240" w:lineRule="auto"/>
        <w:jc w:val="center"/>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第四章  住房安置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第十九条</w:t>
      </w:r>
      <w:r>
        <w:rPr>
          <w:rFonts w:hint="eastAsia" w:ascii="仿宋" w:hAnsi="仿宋" w:eastAsia="仿宋" w:cs="仿宋"/>
          <w:b w:val="0"/>
          <w:i w:val="0"/>
          <w:caps w:val="0"/>
          <w:color w:val="000000"/>
          <w:spacing w:val="0"/>
          <w:sz w:val="31"/>
          <w:szCs w:val="31"/>
          <w:shd w:val="clear" w:fill="FFFFFF"/>
        </w:rPr>
        <w:t xml:space="preserve">  农村集体经济组织的土地被全部征收的，按照本办法计入被征地农村集体经济组织总人口且享有被征地农村集体经济组织宅基地权利的人员全部为住房安置对象。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农村集体经济组织的土地被部分征收的，征收土地预公告之日，持有征地范围内被搬迁住房的不动产权属证书，且按照本办法计入被征地农村集体经济组织总人口的人员为住房安置对象。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征地前已实行征地人员安置但住房未被搬迁的人员，在其住房搬迁时纳入住房安置对象范围。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第二十条</w:t>
      </w:r>
      <w:r>
        <w:rPr>
          <w:rFonts w:hint="eastAsia" w:ascii="仿宋" w:hAnsi="仿宋" w:eastAsia="仿宋" w:cs="仿宋"/>
          <w:b w:val="0"/>
          <w:i w:val="0"/>
          <w:caps w:val="0"/>
          <w:color w:val="000000"/>
          <w:spacing w:val="0"/>
          <w:sz w:val="31"/>
          <w:szCs w:val="31"/>
          <w:shd w:val="clear" w:fill="FFFFFF"/>
        </w:rPr>
        <w:t xml:space="preserve">  符合本办法第十九条规定但有下列情形之一的人员，不属于住房安置对象：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（一）本办法施行前已实行征地住房安置的人员；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（二）已享受福利分房、划拨国有土地上自建房以及由单位修建并销售给职工的经济适用房等政策性实物住房的人员。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第二十一条</w:t>
      </w:r>
      <w:r>
        <w:rPr>
          <w:rFonts w:hint="eastAsia" w:ascii="仿宋" w:hAnsi="仿宋" w:eastAsia="仿宋" w:cs="仿宋"/>
          <w:b w:val="0"/>
          <w:i w:val="0"/>
          <w:caps w:val="0"/>
          <w:color w:val="000000"/>
          <w:spacing w:val="0"/>
          <w:sz w:val="31"/>
          <w:szCs w:val="31"/>
          <w:shd w:val="clear" w:fill="FFFFFF"/>
        </w:rPr>
        <w:t xml:space="preserve">  住房安置可以采取农村宅基地自建安置、安置房安置或者货币安置等方式。住房安置对象应当以户为单位统一选择一种安置方式，一处宅基地上的住房计为一户，即以不动产首次登记的或者合法建房手续批准的房屋作为计户依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选择农村宅基地自建安置的，应当符合乡（镇）土地利用总体规划、村庄规划，以及国家和本市关于宅基地建房的有关规定。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住房安置对象采取安置房安置或者货币安置后，该户家庭成员不得再申请农村宅基地新建住房。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第二十二条</w:t>
      </w:r>
      <w:r>
        <w:rPr>
          <w:rFonts w:hint="eastAsia" w:ascii="仿宋" w:hAnsi="仿宋" w:eastAsia="仿宋" w:cs="仿宋"/>
          <w:b w:val="0"/>
          <w:i w:val="0"/>
          <w:caps w:val="0"/>
          <w:color w:val="000000"/>
          <w:spacing w:val="0"/>
          <w:sz w:val="31"/>
          <w:szCs w:val="31"/>
          <w:shd w:val="clear" w:fill="FFFFFF"/>
        </w:rPr>
        <w:t xml:space="preserve">  农村宅基地自建安置的，按被搬迁房屋合法建筑面积给予自建住房补助，按照附件2规定标准的50%执行。另以户为单位，给予自建住房配套设施补助，1—3人户，每户补助12000元；4人户，每户补助16000元；5人以上户，每户补助20000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第二十三条</w:t>
      </w:r>
      <w:r>
        <w:rPr>
          <w:rFonts w:hint="eastAsia" w:ascii="仿宋" w:hAnsi="仿宋" w:eastAsia="仿宋" w:cs="仿宋"/>
          <w:b w:val="0"/>
          <w:i w:val="0"/>
          <w:caps w:val="0"/>
          <w:color w:val="000000"/>
          <w:spacing w:val="0"/>
          <w:sz w:val="31"/>
          <w:szCs w:val="31"/>
          <w:shd w:val="clear" w:fill="FFFFFF"/>
        </w:rPr>
        <w:t xml:space="preserve">  在万盛主城规划区（万盛城市规划划定的万东镇、南桐镇部分区域）范围外的区域，安置房安置或者货币安置的，住房安置对象的住房安置建筑面积标准为每人30平方米。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在万盛主城规划区（万盛城市规划划定的万东镇、南桐镇部分区域）范围内的区域，安置房安置或者货币安置的，以户为单位（即以不动产首次登记的或者合法建房手续批准的房屋作为计户依据。公安机关户口分户以及继承、司法处置等产权分户不作为计户依据），按照被搬迁的合法人居住房建筑面积进行住房安置。住房安置对象人均被搬迁的合法人居住房建筑面积低于30平方米的，按照每人30平方米建筑面积标准进行住房安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第二十四条</w:t>
      </w:r>
      <w:r>
        <w:rPr>
          <w:rFonts w:hint="eastAsia" w:ascii="仿宋" w:hAnsi="仿宋" w:eastAsia="仿宋" w:cs="仿宋"/>
          <w:b w:val="0"/>
          <w:i w:val="0"/>
          <w:caps w:val="0"/>
          <w:color w:val="000000"/>
          <w:spacing w:val="0"/>
          <w:sz w:val="31"/>
          <w:szCs w:val="31"/>
          <w:shd w:val="clear" w:fill="FFFFFF"/>
        </w:rPr>
        <w:t xml:space="preserve">  住房安置对象夫妻双方均无子女的，实行安置房安置或者货币安置时，可以申请增加15平方米建筑面积的住房安置。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住房安置对象的配偶或者未成年子女，不属于被征地农村集体经济组织总人口范围，但同时符合下列条件的，实行安置房安置或者货币安置时，可以申请15平方米建筑面积的住房，与住房安置对象合并安置：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一）经开区管委会发布征收土地预公告之日，已在被征地农村集体经济组织连续居住1年以上（离婚后再婚配偶及随迁子女在被征地农村集体经济组织连续居住3年以上）。其中，居住时间以结婚（收养或出生）之日起至经开区管委会发布征收土地预公告之日止计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（二）征地前未实行征地住房安置；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（三）住房安置对象及其配偶、未成年子女均无商品房、农村住房和未享受过福利房、经济适用房、安置房等住房；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（四）不享有其他农村集体经济组织宅基地权利。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第二十五条</w:t>
      </w:r>
      <w:r>
        <w:rPr>
          <w:rFonts w:hint="eastAsia" w:ascii="仿宋" w:hAnsi="仿宋" w:eastAsia="仿宋" w:cs="仿宋"/>
          <w:b w:val="0"/>
          <w:i w:val="0"/>
          <w:caps w:val="0"/>
          <w:color w:val="000000"/>
          <w:spacing w:val="0"/>
          <w:sz w:val="31"/>
          <w:szCs w:val="31"/>
          <w:shd w:val="clear" w:fill="FFFFFF"/>
        </w:rPr>
        <w:t xml:space="preserve">  安置房安置的，应安置建筑面积的部分，按照砖混结构房屋的重置价格标准（1020元/平方米）购买。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因户型设计等原因，以户为单位，安置房超过应安置建筑面积5平方米以内（含5平方米）的部分，按照安置房建安造价的50%购买；超过应安置建筑面积5平方米但在10平方米以内（含10平方米）的部分，按照安置房建安造价购买；超过应安置建筑面积10平方米的部分，按照住房货币安置价格标准购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因户型设计、住房安置对象意愿等原因，购买安置房未达到应安置建筑面积的，不足部分按照本实施办法第二十七条规定的住房货币安置价格标准支付给住房安置对象。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第二十六条</w:t>
      </w:r>
      <w:r>
        <w:rPr>
          <w:rFonts w:hint="eastAsia" w:ascii="仿宋" w:hAnsi="仿宋" w:eastAsia="仿宋" w:cs="仿宋"/>
          <w:b w:val="0"/>
          <w:i w:val="0"/>
          <w:caps w:val="0"/>
          <w:color w:val="000000"/>
          <w:spacing w:val="0"/>
          <w:sz w:val="31"/>
          <w:szCs w:val="31"/>
          <w:shd w:val="clear" w:fill="FFFFFF"/>
        </w:rPr>
        <w:t xml:space="preserve">  安置房应当在国有土地上建设。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经开区管委会应当安排安置房的建设资金、首期物业专项维修资金以及居民用电、自来水、天然气、有线电视的安装费用。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第二十七条</w:t>
      </w:r>
      <w:r>
        <w:rPr>
          <w:rFonts w:hint="eastAsia" w:ascii="仿宋" w:hAnsi="仿宋" w:eastAsia="仿宋" w:cs="仿宋"/>
          <w:b w:val="0"/>
          <w:i w:val="0"/>
          <w:caps w:val="0"/>
          <w:color w:val="000000"/>
          <w:spacing w:val="0"/>
          <w:sz w:val="31"/>
          <w:szCs w:val="31"/>
          <w:shd w:val="clear" w:fill="FFFFFF"/>
        </w:rPr>
        <w:t xml:space="preserve">  住房货币安置的，货币安置款额等于住房货币安置价格标准乘以应安置建筑面积。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住房货币安置价格标准按照征地范围周边普通商品住房平均价格与砖混结构房屋重置价格标准之差确定，按照附件10执行。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对选择住房货币安置方式的，按应安置面积给予每平方米300元的自购房补助。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第二十八条</w:t>
      </w:r>
      <w:r>
        <w:rPr>
          <w:rFonts w:hint="eastAsia" w:ascii="仿宋" w:hAnsi="仿宋" w:eastAsia="仿宋" w:cs="仿宋"/>
          <w:b w:val="0"/>
          <w:i w:val="0"/>
          <w:caps w:val="0"/>
          <w:color w:val="000000"/>
          <w:spacing w:val="0"/>
          <w:sz w:val="31"/>
          <w:szCs w:val="31"/>
          <w:shd w:val="clear" w:fill="FFFFFF"/>
        </w:rPr>
        <w:t xml:space="preserve">  住房安置对象合法拥有两处以上（含两处）农村住房的，只在其享有宅基地权利的住房被搬迁时安置1次住房，不得重复安置住房。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第二十九条</w:t>
      </w:r>
      <w:r>
        <w:rPr>
          <w:rFonts w:hint="eastAsia" w:ascii="仿宋" w:hAnsi="仿宋" w:eastAsia="仿宋" w:cs="仿宋"/>
          <w:b w:val="0"/>
          <w:i w:val="0"/>
          <w:caps w:val="0"/>
          <w:color w:val="000000"/>
          <w:spacing w:val="0"/>
          <w:sz w:val="31"/>
          <w:szCs w:val="31"/>
          <w:shd w:val="clear" w:fill="FFFFFF"/>
        </w:rPr>
        <w:t xml:space="preserve">  符合下列情形之一的，其被搬迁房屋不纳入安置范围，按重置价格标准（附件2）的100%予以补助：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（一）被搬迁住房所有权人均不属于住房安置对象的；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（二）被搬迁住房属于住房安置对象合法拥有两处以上（含两处）农村住房，且按本办法第二十八条规定不予住房安置的；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（三）乡（镇）村公共设施、公益事业用房等登记为非住宅的房屋。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第三十条</w:t>
      </w:r>
      <w:r>
        <w:rPr>
          <w:rFonts w:hint="eastAsia" w:ascii="仿宋" w:hAnsi="仿宋" w:eastAsia="仿宋" w:cs="仿宋"/>
          <w:b w:val="0"/>
          <w:i w:val="0"/>
          <w:caps w:val="0"/>
          <w:color w:val="000000"/>
          <w:spacing w:val="0"/>
          <w:sz w:val="31"/>
          <w:szCs w:val="31"/>
          <w:shd w:val="clear" w:fill="FFFFFF"/>
        </w:rPr>
        <w:t xml:space="preserve">  征地搬迁农村住房，按照每户1500元的标准支付搬迁费，用于被搬迁户搬家及生产生活设施迁移，按两次计发。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农村宅基地自建安置的，按照符合宅基地申请条件的人员每人每月200元计算并一次性支付18个月的临时安置费。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安置房安置的，按照应安置建筑面积每平方米每月10元计算并支付自搬迁之月起至安置房交付后6个月止期间的临时安置费。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仿宋" w:hAnsi="仿宋" w:eastAsia="仿宋" w:cs="仿宋"/>
          <w:b w:val="0"/>
          <w:i w:val="0"/>
          <w:caps w:val="0"/>
          <w:color w:val="000000"/>
          <w:spacing w:val="0"/>
          <w:sz w:val="31"/>
          <w:szCs w:val="31"/>
          <w:shd w:val="clear" w:fill="FFFFFF"/>
        </w:rPr>
        <w:t>住房货币安置的，按照应安置建筑面积每平方米每月10元计算并一次性支付12个月的临时安置费。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第三十一条</w:t>
      </w:r>
      <w:r>
        <w:rPr>
          <w:rFonts w:hint="eastAsia" w:ascii="仿宋" w:hAnsi="仿宋" w:eastAsia="仿宋" w:cs="仿宋"/>
          <w:b w:val="0"/>
          <w:i w:val="0"/>
          <w:caps w:val="0"/>
          <w:color w:val="000000"/>
          <w:spacing w:val="0"/>
          <w:sz w:val="31"/>
          <w:szCs w:val="31"/>
          <w:shd w:val="clear" w:fill="FFFFFF"/>
        </w:rPr>
        <w:t xml:space="preserve">  在征收土地公告规定期限内搬迁的，按被搬迁的合法房屋建筑面积每天每平方米发给提前搬迁奖励5元，提前搬迁奖励最长为20天。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第三十二条</w:t>
      </w:r>
      <w:r>
        <w:rPr>
          <w:rFonts w:hint="eastAsia" w:ascii="仿宋" w:hAnsi="仿宋" w:eastAsia="仿宋" w:cs="仿宋"/>
          <w:b w:val="0"/>
          <w:i w:val="0"/>
          <w:caps w:val="0"/>
          <w:color w:val="000000"/>
          <w:spacing w:val="0"/>
          <w:sz w:val="31"/>
          <w:szCs w:val="31"/>
          <w:shd w:val="clear" w:fill="FFFFFF"/>
        </w:rPr>
        <w:t xml:space="preserve">  对选择安置房安置或住房货币安置方式的，按应安置面积给予每平方米200元的房屋简装补助。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620" w:firstLineChars="200"/>
        <w:jc w:val="both"/>
        <w:textAlignment w:val="auto"/>
        <w:rPr>
          <w:rFonts w:hint="eastAsia" w:ascii="仿宋" w:hAnsi="仿宋" w:eastAsia="仿宋" w:cs="仿宋"/>
          <w:b w:val="0"/>
          <w:i w:val="0"/>
          <w:caps w:val="0"/>
          <w:color w:val="000000"/>
          <w:spacing w:val="0"/>
          <w:sz w:val="31"/>
          <w:szCs w:val="31"/>
          <w:shd w:val="clear" w:fill="FFFFFF"/>
        </w:rPr>
      </w:pPr>
      <w:r>
        <w:rPr>
          <w:rFonts w:hint="eastAsia" w:ascii="方正黑体_GBK" w:hAnsi="方正黑体_GBK" w:eastAsia="方正黑体_GBK" w:cs="方正黑体_GBK"/>
          <w:b w:val="0"/>
          <w:i w:val="0"/>
          <w:caps w:val="0"/>
          <w:color w:val="000000"/>
          <w:spacing w:val="0"/>
          <w:sz w:val="31"/>
          <w:szCs w:val="31"/>
          <w:shd w:val="clear" w:fill="FFFFFF"/>
        </w:rPr>
        <w:t>第三十三条</w:t>
      </w:r>
      <w:r>
        <w:rPr>
          <w:rFonts w:hint="eastAsia" w:ascii="仿宋" w:hAnsi="仿宋" w:eastAsia="仿宋" w:cs="仿宋"/>
          <w:b w:val="0"/>
          <w:i w:val="0"/>
          <w:caps w:val="0"/>
          <w:color w:val="000000"/>
          <w:spacing w:val="0"/>
          <w:sz w:val="31"/>
          <w:szCs w:val="31"/>
          <w:shd w:val="clear" w:fill="FFFFFF"/>
        </w:rPr>
        <w:t xml:space="preserve">  被搬迁人可申请对其合法房屋进行残值补助，补助后被搬迁人的房屋残值归区征地实施机构所有，由区征地实施机构统一组织拆除，补助标准见附件11。</w:t>
      </w:r>
    </w:p>
    <w:p>
      <w:pPr>
        <w:keepNext w:val="0"/>
        <w:keepLines w:val="0"/>
        <w:pageBreakBefore w:val="0"/>
        <w:kinsoku/>
        <w:wordWrap/>
        <w:overflowPunct/>
        <w:topLinePunct w:val="0"/>
        <w:autoSpaceDE w:val="0"/>
        <w:bidi w:val="0"/>
        <w:adjustRightInd w:val="0"/>
        <w:snapToGrid w:val="0"/>
        <w:spacing w:line="240" w:lineRule="auto"/>
        <w:jc w:val="center"/>
        <w:textAlignment w:val="auto"/>
        <w:rPr>
          <w:rFonts w:ascii="Times New Roman" w:hAnsi="Times New Roman" w:eastAsia="方正仿宋_GBK" w:cs="Times New Roman"/>
          <w:color w:val="000000"/>
          <w:sz w:val="32"/>
          <w:szCs w:val="32"/>
        </w:rPr>
      </w:pPr>
    </w:p>
    <w:p>
      <w:pPr>
        <w:keepNext w:val="0"/>
        <w:keepLines w:val="0"/>
        <w:pageBreakBefore w:val="0"/>
        <w:kinsoku/>
        <w:wordWrap/>
        <w:overflowPunct/>
        <w:topLinePunct w:val="0"/>
        <w:autoSpaceDE w:val="0"/>
        <w:bidi w:val="0"/>
        <w:adjustRightInd w:val="0"/>
        <w:snapToGrid w:val="0"/>
        <w:spacing w:line="240" w:lineRule="auto"/>
        <w:jc w:val="center"/>
        <w:textAlignment w:val="auto"/>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第五章  附    则</w:t>
      </w:r>
    </w:p>
    <w:p>
      <w:pPr>
        <w:keepNext w:val="0"/>
        <w:keepLines w:val="0"/>
        <w:pageBreakBefore w:val="0"/>
        <w:kinsoku/>
        <w:wordWrap/>
        <w:overflowPunct/>
        <w:topLinePunct w:val="0"/>
        <w:bidi w:val="0"/>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第三十四条</w:t>
      </w:r>
      <w:r>
        <w:rPr>
          <w:rFonts w:hint="eastAsia" w:ascii="仿宋" w:hAnsi="仿宋" w:eastAsia="仿宋" w:cs="仿宋"/>
          <w:b w:val="0"/>
          <w:i w:val="0"/>
          <w:caps w:val="0"/>
          <w:color w:val="000000"/>
          <w:spacing w:val="0"/>
          <w:kern w:val="0"/>
          <w:sz w:val="31"/>
          <w:szCs w:val="31"/>
          <w:shd w:val="clear" w:fill="FFFFFF"/>
          <w:lang w:val="en-US" w:eastAsia="zh-CN" w:bidi="ar"/>
        </w:rPr>
        <w:t xml:space="preserve">  无民事行为能力人或者限制民事行为能力人，获得的征地补偿安置费用，按照有关规定一次性支付给其法定监护人。</w:t>
      </w:r>
    </w:p>
    <w:p>
      <w:pPr>
        <w:keepNext w:val="0"/>
        <w:keepLines w:val="0"/>
        <w:pageBreakBefore w:val="0"/>
        <w:kinsoku/>
        <w:wordWrap/>
        <w:overflowPunct/>
        <w:topLinePunct w:val="0"/>
        <w:bidi w:val="0"/>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方正黑体_GBK" w:hAnsi="方正黑体_GBK" w:eastAsia="方正黑体_GBK" w:cs="方正黑体_GBK"/>
          <w:b w:val="0"/>
          <w:i w:val="0"/>
          <w:caps w:val="0"/>
          <w:color w:val="000000"/>
          <w:spacing w:val="0"/>
          <w:kern w:val="0"/>
          <w:sz w:val="31"/>
          <w:szCs w:val="31"/>
          <w:shd w:val="clear" w:fill="FFFFFF"/>
          <w:lang w:val="en-US" w:eastAsia="zh-CN" w:bidi="ar"/>
        </w:rPr>
        <w:t>第三十五条</w:t>
      </w:r>
      <w:r>
        <w:rPr>
          <w:rFonts w:hint="eastAsia" w:ascii="仿宋" w:hAnsi="仿宋" w:eastAsia="仿宋" w:cs="仿宋"/>
          <w:b w:val="0"/>
          <w:i w:val="0"/>
          <w:caps w:val="0"/>
          <w:color w:val="000000"/>
          <w:spacing w:val="0"/>
          <w:kern w:val="0"/>
          <w:sz w:val="31"/>
          <w:szCs w:val="31"/>
          <w:shd w:val="clear" w:fill="FFFFFF"/>
          <w:lang w:val="en-US" w:eastAsia="zh-CN" w:bidi="ar"/>
        </w:rPr>
        <w:t xml:space="preserve">  本办法自2021年7月1日起施行。《重庆市万盛经济技术开发区管委会关于印发万盛经开区征地补偿安置办法的通知》（万盛经开发〔2013〕67号）同时废止。</w:t>
      </w:r>
    </w:p>
    <w:p>
      <w:pPr>
        <w:pStyle w:val="13"/>
        <w:keepNext w:val="0"/>
        <w:keepLines w:val="0"/>
        <w:pageBreakBefore w:val="0"/>
        <w:kinsoku/>
        <w:wordWrap/>
        <w:overflowPunct/>
        <w:topLinePunct w:val="0"/>
        <w:bidi w:val="0"/>
        <w:spacing w:line="240" w:lineRule="auto"/>
        <w:ind w:firstLine="620" w:firstLineChars="2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本办法施行前已经确定征地补偿安置方案的项目，按照原政策执行。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 w:hAnsi="仿宋" w:eastAsia="仿宋" w:cs="仿宋"/>
          <w:b w:val="0"/>
          <w:i w:val="0"/>
          <w:caps w:val="0"/>
          <w:color w:val="000000"/>
          <w:spacing w:val="0"/>
          <w:sz w:val="31"/>
          <w:szCs w:val="31"/>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附件：1．万盛经开区区片综合地价标准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2．万盛经开区农村房屋重置价格补偿标准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3．万盛经开区农村房屋装饰装修补助标准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4．万盛经开区青苗补偿标准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5．万盛经开区经济作物补偿标准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6．万盛经开区构筑物补偿标准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7．万盛经开区零星栽种树木花草补偿标准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8．万盛经开区林木补偿标准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9．万盛经开区畜禽搬迁补助标准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10．万盛经开区住房货币安置价格标准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20" w:firstLineChars="200"/>
        <w:textAlignment w:val="auto"/>
        <w:rPr>
          <w:rFonts w:hint="eastAsia" w:ascii="仿宋" w:hAnsi="仿宋" w:eastAsia="仿宋" w:cs="仿宋"/>
          <w:b w:val="0"/>
          <w:i w:val="0"/>
          <w:caps w:val="0"/>
          <w:color w:val="000000"/>
          <w:spacing w:val="0"/>
          <w:sz w:val="31"/>
          <w:szCs w:val="31"/>
          <w:shd w:val="clear" w:fill="FFFFFF"/>
          <w:lang w:val="en-US" w:eastAsia="zh-CN"/>
        </w:rPr>
      </w:pPr>
      <w:r>
        <w:rPr>
          <w:rFonts w:hint="eastAsia" w:ascii="仿宋" w:hAnsi="仿宋" w:eastAsia="仿宋" w:cs="仿宋"/>
          <w:b w:val="0"/>
          <w:i w:val="0"/>
          <w:caps w:val="0"/>
          <w:color w:val="000000"/>
          <w:spacing w:val="0"/>
          <w:sz w:val="31"/>
          <w:szCs w:val="31"/>
          <w:shd w:val="clear" w:fill="FFFFFF"/>
          <w:lang w:val="en-US" w:eastAsia="zh-CN"/>
        </w:rPr>
        <w:t>11．万盛经开区合法房屋残值补助标准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0"/>
        <w:jc w:val="both"/>
        <w:textAlignment w:val="auto"/>
        <w:rPr>
          <w:rFonts w:ascii="Times New Roman" w:hAnsi="Times New Roman" w:eastAsia="方正仿宋_GBK" w:cs="Times New Roman"/>
          <w:sz w:val="32"/>
          <w:szCs w:val="32"/>
        </w:rPr>
      </w:pPr>
      <w:r>
        <w:rPr>
          <w:rFonts w:hint="eastAsia" w:ascii="仿宋" w:hAnsi="仿宋" w:eastAsia="仿宋" w:cs="仿宋"/>
          <w:b w:val="0"/>
          <w:i w:val="0"/>
          <w:caps w:val="0"/>
          <w:color w:val="000000"/>
          <w:spacing w:val="0"/>
          <w:sz w:val="31"/>
          <w:szCs w:val="31"/>
          <w:shd w:val="clear" w:fill="FFFFFF"/>
          <w:lang w:val="en-US" w:eastAsia="zh-CN"/>
        </w:rPr>
        <w:br w:type="page"/>
      </w:r>
      <w:r>
        <w:rPr>
          <w:rFonts w:hint="eastAsia" w:ascii="仿宋" w:hAnsi="仿宋" w:eastAsia="仿宋" w:cs="仿宋"/>
          <w:b w:val="0"/>
          <w:i w:val="0"/>
          <w:caps w:val="0"/>
          <w:color w:val="000000"/>
          <w:spacing w:val="0"/>
          <w:kern w:val="0"/>
          <w:sz w:val="31"/>
          <w:szCs w:val="31"/>
          <w:shd w:val="clear" w:fill="FFFFFF"/>
          <w:lang w:val="en-US" w:eastAsia="zh-CN" w:bidi="ar"/>
        </w:rPr>
        <w:t>附件1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0"/>
        <w:jc w:val="center"/>
        <w:textAlignment w:val="auto"/>
        <w:rPr>
          <w:rFonts w:hint="eastAsia" w:ascii="方正小标宋_GBK" w:hAnsi="方正小标宋_GBK" w:eastAsia="方正小标宋_GBK" w:cs="方正小标宋_GBK"/>
          <w:b w:val="0"/>
          <w:i w:val="0"/>
          <w:caps w:val="0"/>
          <w:color w:val="000000"/>
          <w:spacing w:val="0"/>
          <w:sz w:val="36"/>
          <w:szCs w:val="36"/>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0"/>
        <w:jc w:val="center"/>
        <w:textAlignment w:val="auto"/>
        <w:rPr>
          <w:rFonts w:hint="eastAsia" w:ascii="方正小标宋_GBK" w:hAnsi="方正小标宋_GBK" w:eastAsia="方正小标宋_GBK" w:cs="方正小标宋_GBK"/>
          <w:b w:val="0"/>
          <w:i w:val="0"/>
          <w:caps w:val="0"/>
          <w:color w:val="000000"/>
          <w:spacing w:val="0"/>
          <w:sz w:val="36"/>
          <w:szCs w:val="36"/>
          <w:shd w:val="clear" w:fill="FFFFFF"/>
        </w:rPr>
      </w:pPr>
      <w:r>
        <w:rPr>
          <w:rFonts w:hint="eastAsia" w:ascii="方正小标宋_GBK" w:hAnsi="方正小标宋_GBK" w:eastAsia="方正小标宋_GBK" w:cs="方正小标宋_GBK"/>
          <w:b w:val="0"/>
          <w:i w:val="0"/>
          <w:caps w:val="0"/>
          <w:color w:val="000000"/>
          <w:spacing w:val="0"/>
          <w:sz w:val="36"/>
          <w:szCs w:val="36"/>
          <w:shd w:val="clear" w:fill="FFFFFF"/>
        </w:rPr>
        <w:t>万盛经开区区片综合地价标准</w:t>
      </w:r>
    </w:p>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方正小标宋_GBK" w:cs="Times New Roman"/>
          <w:sz w:val="44"/>
          <w:szCs w:val="44"/>
        </w:rPr>
      </w:pPr>
    </w:p>
    <w:p>
      <w:pPr>
        <w:keepNext w:val="0"/>
        <w:keepLines w:val="0"/>
        <w:pageBreakBefore w:val="0"/>
        <w:widowControl/>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ascii="Times New Roman" w:hAnsi="Times New Roman" w:eastAsia="方正仿宋_GBK" w:cs="Times New Roman"/>
          <w:color w:val="000000"/>
          <w:sz w:val="28"/>
          <w:szCs w:val="28"/>
        </w:rPr>
        <w:t xml:space="preserve">                                       </w:t>
      </w:r>
      <w:r>
        <w:rPr>
          <w:rFonts w:ascii="Times New Roman" w:hAnsi="Times New Roman" w:eastAsia="方正仿宋_GBK" w:cs="Times New Roman"/>
          <w:color w:val="000000"/>
          <w:sz w:val="30"/>
          <w:szCs w:val="30"/>
        </w:rPr>
        <w:t xml:space="preserve"> </w:t>
      </w:r>
      <w:r>
        <w:rPr>
          <w:rFonts w:hint="eastAsia" w:ascii="仿宋" w:hAnsi="仿宋" w:eastAsia="仿宋" w:cs="仿宋"/>
          <w:b w:val="0"/>
          <w:i w:val="0"/>
          <w:caps w:val="0"/>
          <w:color w:val="000000"/>
          <w:spacing w:val="0"/>
          <w:kern w:val="0"/>
          <w:sz w:val="31"/>
          <w:szCs w:val="31"/>
          <w:shd w:val="clear" w:fill="FFFFFF"/>
          <w:lang w:val="en-US" w:eastAsia="zh-CN" w:bidi="ar"/>
        </w:rPr>
        <w:t>单位：万元/亩</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970"/>
        <w:gridCol w:w="2550"/>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032"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区片</w:t>
            </w:r>
          </w:p>
        </w:tc>
        <w:tc>
          <w:tcPr>
            <w:tcW w:w="1970"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区片综合地价标准</w:t>
            </w:r>
          </w:p>
        </w:tc>
        <w:tc>
          <w:tcPr>
            <w:tcW w:w="25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其中</w:t>
            </w:r>
          </w:p>
        </w:tc>
        <w:tc>
          <w:tcPr>
            <w:tcW w:w="3045"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范    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32"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c>
          <w:tcPr>
            <w:tcW w:w="1970"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c>
          <w:tcPr>
            <w:tcW w:w="25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土地补偿费标准</w:t>
            </w:r>
          </w:p>
        </w:tc>
        <w:tc>
          <w:tcPr>
            <w:tcW w:w="304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2"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Ⅰ</w:t>
            </w:r>
          </w:p>
        </w:tc>
        <w:tc>
          <w:tcPr>
            <w:tcW w:w="197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5.47</w:t>
            </w:r>
          </w:p>
        </w:tc>
        <w:tc>
          <w:tcPr>
            <w:tcW w:w="25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1.641</w:t>
            </w:r>
          </w:p>
        </w:tc>
        <w:tc>
          <w:tcPr>
            <w:tcW w:w="30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万盛街道、东林街道、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万东镇、南桐镇。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32"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Ⅱ</w:t>
            </w:r>
          </w:p>
        </w:tc>
        <w:tc>
          <w:tcPr>
            <w:tcW w:w="197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5.25</w:t>
            </w:r>
          </w:p>
        </w:tc>
        <w:tc>
          <w:tcPr>
            <w:tcW w:w="25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1.575</w:t>
            </w:r>
          </w:p>
        </w:tc>
        <w:tc>
          <w:tcPr>
            <w:tcW w:w="30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关坝镇、青年镇、丛林镇、</w:t>
            </w:r>
            <w:bookmarkStart w:id="1" w:name="_GoBack"/>
            <w:bookmarkEnd w:id="1"/>
            <w:r>
              <w:rPr>
                <w:rFonts w:hint="eastAsia" w:ascii="仿宋" w:hAnsi="仿宋" w:eastAsia="仿宋" w:cs="仿宋"/>
                <w:b w:val="0"/>
                <w:i w:val="0"/>
                <w:caps w:val="0"/>
                <w:color w:val="000000"/>
                <w:spacing w:val="0"/>
                <w:sz w:val="28"/>
                <w:szCs w:val="28"/>
              </w:rPr>
              <w:t>金桥镇、石林镇、黑山镇。</w:t>
            </w:r>
          </w:p>
        </w:tc>
      </w:tr>
    </w:tbl>
    <w:p>
      <w:pPr>
        <w:keepNext w:val="0"/>
        <w:keepLines w:val="0"/>
        <w:pageBreakBefore w:val="0"/>
        <w:kinsoku/>
        <w:wordWrap/>
        <w:overflowPunct/>
        <w:topLinePunct w:val="0"/>
        <w:bidi w:val="0"/>
        <w:spacing w:line="240" w:lineRule="auto"/>
        <w:textAlignment w:val="auto"/>
        <w:rPr>
          <w:rFonts w:ascii="Times New Roman" w:hAnsi="Times New Roman" w:cs="Times New Roman"/>
        </w:rPr>
      </w:pPr>
    </w:p>
    <w:p>
      <w:pPr>
        <w:pStyle w:val="13"/>
        <w:keepNext w:val="0"/>
        <w:keepLines w:val="0"/>
        <w:pageBreakBefore w:val="0"/>
        <w:kinsoku/>
        <w:wordWrap/>
        <w:overflowPunct/>
        <w:topLinePunct w:val="0"/>
        <w:bidi w:val="0"/>
        <w:spacing w:line="240" w:lineRule="auto"/>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r>
        <w:rPr>
          <w:rFonts w:hint="eastAsia" w:ascii="仿宋" w:hAnsi="仿宋" w:eastAsia="仿宋" w:cs="仿宋"/>
          <w:b w:val="0"/>
          <w:i w:val="0"/>
          <w:caps w:val="0"/>
          <w:color w:val="000000"/>
          <w:spacing w:val="0"/>
          <w:kern w:val="0"/>
          <w:sz w:val="31"/>
          <w:szCs w:val="31"/>
          <w:shd w:val="clear" w:fill="FFFFFF"/>
          <w:lang w:val="en-US" w:eastAsia="zh-CN" w:bidi="ar"/>
        </w:rPr>
        <w:t>附件2</w:t>
      </w:r>
    </w:p>
    <w:p>
      <w:pPr>
        <w:keepNext w:val="0"/>
        <w:keepLines w:val="0"/>
        <w:pageBreakBefore w:val="0"/>
        <w:kinsoku/>
        <w:wordWrap/>
        <w:overflowPunct/>
        <w:topLinePunct w:val="0"/>
        <w:bidi w:val="0"/>
        <w:spacing w:line="240" w:lineRule="auto"/>
        <w:jc w:val="center"/>
        <w:textAlignment w:val="auto"/>
        <w:rPr>
          <w:rFonts w:ascii="Times New Roman" w:hAnsi="Times New Roman" w:eastAsia="方正小标宋_GBK" w:cs="Times New Roman"/>
          <w:sz w:val="44"/>
          <w:szCs w:val="44"/>
        </w:rPr>
      </w:pPr>
    </w:p>
    <w:p>
      <w:pPr>
        <w:keepNext w:val="0"/>
        <w:keepLines w:val="0"/>
        <w:pageBreakBefore w:val="0"/>
        <w:kinsoku/>
        <w:wordWrap/>
        <w:overflowPunct/>
        <w:topLinePunct w:val="0"/>
        <w:bidi w:val="0"/>
        <w:spacing w:line="240" w:lineRule="auto"/>
        <w:jc w:val="center"/>
        <w:textAlignment w:val="auto"/>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pPr>
      <w:r>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t>万盛经开区农村房屋重置价格补偿标准</w:t>
      </w:r>
    </w:p>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方正小标宋_GBK" w:cs="Times New Roman"/>
          <w:sz w:val="44"/>
          <w:szCs w:val="44"/>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ascii="Times New Roman" w:hAnsi="Times New Roman" w:eastAsia="方正仿宋_GBK" w:cs="Times New Roman"/>
          <w:color w:val="000000"/>
          <w:sz w:val="28"/>
        </w:rPr>
        <w:t xml:space="preserve">                                           </w:t>
      </w:r>
      <w:r>
        <w:rPr>
          <w:rFonts w:hint="eastAsia" w:ascii="仿宋" w:hAnsi="仿宋" w:eastAsia="仿宋" w:cs="仿宋"/>
          <w:b w:val="0"/>
          <w:i w:val="0"/>
          <w:caps w:val="0"/>
          <w:color w:val="000000"/>
          <w:spacing w:val="0"/>
          <w:kern w:val="0"/>
          <w:sz w:val="31"/>
          <w:szCs w:val="31"/>
          <w:shd w:val="clear" w:fill="FFFFFF"/>
          <w:lang w:val="en-US" w:eastAsia="zh-CN" w:bidi="ar"/>
        </w:rPr>
        <w:t xml:space="preserve"> 单位：元/平方米</w:t>
      </w:r>
    </w:p>
    <w:tbl>
      <w:tblPr>
        <w:tblStyle w:val="9"/>
        <w:tblW w:w="0" w:type="auto"/>
        <w:jc w:val="center"/>
        <w:tblLayout w:type="fixed"/>
        <w:tblCellMar>
          <w:top w:w="0" w:type="dxa"/>
          <w:left w:w="0" w:type="dxa"/>
          <w:bottom w:w="0" w:type="dxa"/>
          <w:right w:w="0" w:type="dxa"/>
        </w:tblCellMar>
      </w:tblPr>
      <w:tblGrid>
        <w:gridCol w:w="1839"/>
        <w:gridCol w:w="4432"/>
        <w:gridCol w:w="2235"/>
      </w:tblGrid>
      <w:tr>
        <w:tblPrEx>
          <w:tblCellMar>
            <w:top w:w="0" w:type="dxa"/>
            <w:left w:w="0" w:type="dxa"/>
            <w:bottom w:w="0" w:type="dxa"/>
            <w:right w:w="0" w:type="dxa"/>
          </w:tblCellMar>
        </w:tblPrEx>
        <w:trPr>
          <w:cantSplit/>
          <w:trHeight w:val="630" w:hRule="atLeast"/>
          <w:jc w:val="center"/>
        </w:trPr>
        <w:tc>
          <w:tcPr>
            <w:tcW w:w="1839"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color w:val="000000"/>
                <w:sz w:val="30"/>
                <w:szCs w:val="30"/>
              </w:rPr>
            </w:pPr>
            <w:r>
              <w:rPr>
                <w:rFonts w:ascii="Times New Roman" w:hAnsi="Times New Roman" w:eastAsia="方正黑体_GBK" w:cs="Times New Roman"/>
                <w:color w:val="000000"/>
                <w:sz w:val="30"/>
                <w:szCs w:val="30"/>
              </w:rPr>
              <w:t>结构类别</w:t>
            </w:r>
          </w:p>
        </w:tc>
        <w:tc>
          <w:tcPr>
            <w:tcW w:w="443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color w:val="000000"/>
                <w:sz w:val="30"/>
                <w:szCs w:val="30"/>
              </w:rPr>
            </w:pPr>
            <w:r>
              <w:rPr>
                <w:rFonts w:ascii="Times New Roman" w:hAnsi="Times New Roman" w:eastAsia="方正黑体_GBK" w:cs="Times New Roman"/>
                <w:color w:val="000000"/>
                <w:sz w:val="30"/>
                <w:szCs w:val="30"/>
              </w:rPr>
              <w:t>房屋结构</w:t>
            </w:r>
          </w:p>
        </w:tc>
        <w:tc>
          <w:tcPr>
            <w:tcW w:w="223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color w:val="000000"/>
                <w:sz w:val="30"/>
                <w:szCs w:val="30"/>
              </w:rPr>
            </w:pPr>
            <w:r>
              <w:rPr>
                <w:rFonts w:ascii="Times New Roman" w:hAnsi="Times New Roman" w:eastAsia="方正黑体_GBK" w:cs="Times New Roman"/>
                <w:color w:val="000000"/>
                <w:sz w:val="30"/>
                <w:szCs w:val="30"/>
              </w:rPr>
              <w:t>补偿标准</w:t>
            </w:r>
          </w:p>
        </w:tc>
      </w:tr>
      <w:tr>
        <w:tblPrEx>
          <w:tblCellMar>
            <w:top w:w="0" w:type="dxa"/>
            <w:left w:w="0" w:type="dxa"/>
            <w:bottom w:w="0" w:type="dxa"/>
            <w:right w:w="0" w:type="dxa"/>
          </w:tblCellMar>
        </w:tblPrEx>
        <w:trPr>
          <w:cantSplit/>
          <w:trHeight w:val="567" w:hRule="atLeast"/>
          <w:jc w:val="center"/>
        </w:trPr>
        <w:tc>
          <w:tcPr>
            <w:tcW w:w="1839" w:type="dxa"/>
            <w:tcBorders>
              <w:top w:val="nil"/>
              <w:left w:val="single" w:color="auto" w:sz="4" w:space="0"/>
              <w:bottom w:val="single" w:color="000000"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钢砼结构</w:t>
            </w:r>
          </w:p>
        </w:tc>
        <w:tc>
          <w:tcPr>
            <w:tcW w:w="4432"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框架（剪力墙）现浇盖</w:t>
            </w:r>
          </w:p>
        </w:tc>
        <w:tc>
          <w:tcPr>
            <w:tcW w:w="223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1280</w:t>
            </w:r>
          </w:p>
        </w:tc>
      </w:tr>
      <w:tr>
        <w:tblPrEx>
          <w:tblCellMar>
            <w:top w:w="0" w:type="dxa"/>
            <w:left w:w="0" w:type="dxa"/>
            <w:bottom w:w="0" w:type="dxa"/>
            <w:right w:w="0" w:type="dxa"/>
          </w:tblCellMar>
        </w:tblPrEx>
        <w:trPr>
          <w:cantSplit/>
          <w:trHeight w:val="567" w:hRule="atLeast"/>
          <w:jc w:val="center"/>
        </w:trPr>
        <w:tc>
          <w:tcPr>
            <w:tcW w:w="1839" w:type="dxa"/>
            <w:tcBorders>
              <w:top w:val="nil"/>
              <w:left w:val="single" w:color="auto" w:sz="4" w:space="0"/>
              <w:bottom w:val="single" w:color="000000"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砖混结构</w:t>
            </w:r>
          </w:p>
        </w:tc>
        <w:tc>
          <w:tcPr>
            <w:tcW w:w="4432"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砖墙（条石）预制盖</w:t>
            </w:r>
          </w:p>
        </w:tc>
        <w:tc>
          <w:tcPr>
            <w:tcW w:w="223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1020</w:t>
            </w:r>
          </w:p>
        </w:tc>
      </w:tr>
      <w:tr>
        <w:tblPrEx>
          <w:tblCellMar>
            <w:top w:w="0" w:type="dxa"/>
            <w:left w:w="0" w:type="dxa"/>
            <w:bottom w:w="0" w:type="dxa"/>
            <w:right w:w="0" w:type="dxa"/>
          </w:tblCellMar>
        </w:tblPrEx>
        <w:trPr>
          <w:cantSplit/>
          <w:trHeight w:val="567" w:hRule="atLeast"/>
          <w:jc w:val="center"/>
        </w:trPr>
        <w:tc>
          <w:tcPr>
            <w:tcW w:w="1839" w:type="dxa"/>
            <w:vMerge w:val="restart"/>
            <w:tcBorders>
              <w:top w:val="nil"/>
              <w:left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砖木结构</w:t>
            </w:r>
          </w:p>
        </w:tc>
        <w:tc>
          <w:tcPr>
            <w:tcW w:w="4432" w:type="dxa"/>
            <w:tcBorders>
              <w:top w:val="single" w:color="auto" w:sz="4" w:space="0"/>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砖墙（木板）穿逗瓦盖</w:t>
            </w:r>
          </w:p>
        </w:tc>
        <w:tc>
          <w:tcPr>
            <w:tcW w:w="223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860</w:t>
            </w:r>
          </w:p>
        </w:tc>
      </w:tr>
      <w:tr>
        <w:trPr>
          <w:cantSplit/>
          <w:trHeight w:val="567" w:hRule="atLeast"/>
          <w:jc w:val="center"/>
        </w:trPr>
        <w:tc>
          <w:tcPr>
            <w:tcW w:w="1839" w:type="dxa"/>
            <w:vMerge w:val="continue"/>
            <w:tcBorders>
              <w:left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c>
          <w:tcPr>
            <w:tcW w:w="4432"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砖墙（片石）瓦盖</w:t>
            </w:r>
          </w:p>
        </w:tc>
        <w:tc>
          <w:tcPr>
            <w:tcW w:w="223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840</w:t>
            </w:r>
          </w:p>
        </w:tc>
      </w:tr>
      <w:tr>
        <w:trPr>
          <w:cantSplit/>
          <w:trHeight w:val="567" w:hRule="atLeast"/>
          <w:jc w:val="center"/>
        </w:trPr>
        <w:tc>
          <w:tcPr>
            <w:tcW w:w="1839" w:type="dxa"/>
            <w:vMerge w:val="continue"/>
            <w:tcBorders>
              <w:left w:val="single" w:color="auto" w:sz="4" w:space="0"/>
              <w:bottom w:val="single" w:color="000000"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c>
          <w:tcPr>
            <w:tcW w:w="4432"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砖墙石棉瓦盖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（油毡、玻纤瓦、彩钢盖）</w:t>
            </w:r>
          </w:p>
        </w:tc>
        <w:tc>
          <w:tcPr>
            <w:tcW w:w="223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820</w:t>
            </w:r>
          </w:p>
        </w:tc>
      </w:tr>
      <w:tr>
        <w:trPr>
          <w:cantSplit/>
          <w:trHeight w:val="567" w:hRule="atLeast"/>
          <w:jc w:val="center"/>
        </w:trPr>
        <w:tc>
          <w:tcPr>
            <w:tcW w:w="1839" w:type="dxa"/>
            <w:vMerge w:val="restart"/>
            <w:tcBorders>
              <w:top w:val="nil"/>
              <w:left w:val="single" w:color="auto" w:sz="4" w:space="0"/>
              <w:bottom w:val="single" w:color="000000"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土墙结构</w:t>
            </w:r>
          </w:p>
        </w:tc>
        <w:tc>
          <w:tcPr>
            <w:tcW w:w="4432"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穿逗、土墙瓦盖</w:t>
            </w:r>
          </w:p>
        </w:tc>
        <w:tc>
          <w:tcPr>
            <w:tcW w:w="223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795</w:t>
            </w:r>
          </w:p>
        </w:tc>
      </w:tr>
      <w:tr>
        <w:trPr>
          <w:cantSplit/>
          <w:trHeight w:val="567" w:hRule="atLeast"/>
          <w:jc w:val="center"/>
        </w:trPr>
        <w:tc>
          <w:tcPr>
            <w:tcW w:w="1839" w:type="dxa"/>
            <w:vMerge w:val="continue"/>
            <w:tcBorders>
              <w:top w:val="nil"/>
              <w:left w:val="single" w:color="auto" w:sz="4" w:space="0"/>
              <w:bottom w:val="single" w:color="000000"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p>
        </w:tc>
        <w:tc>
          <w:tcPr>
            <w:tcW w:w="4432"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石棉瓦、玻纤瓦盖</w:t>
            </w:r>
          </w:p>
        </w:tc>
        <w:tc>
          <w:tcPr>
            <w:tcW w:w="223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780</w:t>
            </w:r>
          </w:p>
        </w:tc>
      </w:tr>
      <w:tr>
        <w:trPr>
          <w:cantSplit/>
          <w:trHeight w:val="567" w:hRule="atLeast"/>
          <w:jc w:val="center"/>
        </w:trPr>
        <w:tc>
          <w:tcPr>
            <w:tcW w:w="1839" w:type="dxa"/>
            <w:vMerge w:val="restart"/>
            <w:tcBorders>
              <w:top w:val="nil"/>
              <w:left w:val="single" w:color="auto" w:sz="4" w:space="0"/>
              <w:bottom w:val="single" w:color="000000"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 xml:space="preserve">简易结构 </w:t>
            </w:r>
          </w:p>
        </w:tc>
        <w:tc>
          <w:tcPr>
            <w:tcW w:w="4432"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砖柱（石柱、木柱、钢柱）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石棉瓦盖（油毡、玻纤瓦、彩钢盖）</w:t>
            </w:r>
          </w:p>
        </w:tc>
        <w:tc>
          <w:tcPr>
            <w:tcW w:w="223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240" w:lineRule="auto"/>
              <w:ind w:left="0" w:right="0" w:firstLine="0"/>
              <w:jc w:val="center"/>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240</w:t>
            </w:r>
          </w:p>
        </w:tc>
      </w:tr>
      <w:tr>
        <w:trPr>
          <w:cantSplit/>
          <w:trHeight w:val="567" w:hRule="atLeast"/>
          <w:jc w:val="center"/>
        </w:trPr>
        <w:tc>
          <w:tcPr>
            <w:tcW w:w="1839"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240" w:lineRule="auto"/>
              <w:textAlignment w:val="auto"/>
              <w:rPr>
                <w:rFonts w:ascii="Times New Roman" w:hAnsi="Times New Roman" w:eastAsia="方正仿宋_GBK" w:cs="Times New Roman"/>
                <w:color w:val="000000"/>
                <w:szCs w:val="21"/>
              </w:rPr>
            </w:pPr>
          </w:p>
        </w:tc>
        <w:tc>
          <w:tcPr>
            <w:tcW w:w="443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简易棚房</w:t>
            </w:r>
          </w:p>
        </w:tc>
        <w:tc>
          <w:tcPr>
            <w:tcW w:w="223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190</w:t>
            </w:r>
          </w:p>
        </w:tc>
      </w:tr>
    </w:tbl>
    <w:p>
      <w:pPr>
        <w:keepNext w:val="0"/>
        <w:keepLines w:val="0"/>
        <w:pageBreakBefore w:val="0"/>
        <w:widowControl w:val="0"/>
        <w:kinsoku/>
        <w:wordWrap/>
        <w:overflowPunct/>
        <w:topLinePunct w:val="0"/>
        <w:bidi w:val="0"/>
        <w:adjustRightInd w:val="0"/>
        <w:snapToGrid w:val="0"/>
        <w:spacing w:line="300" w:lineRule="exact"/>
        <w:ind w:left="932" w:hanging="932" w:hangingChars="444"/>
        <w:textAlignment w:val="auto"/>
        <w:rPr>
          <w:rFonts w:ascii="Times New Roman" w:hAnsi="Times New Roman" w:eastAsia="方正仿宋_GBK" w:cs="Times New Roman"/>
          <w:color w:val="000000"/>
          <w:szCs w:val="21"/>
        </w:rPr>
      </w:pPr>
      <w:r>
        <w:rPr>
          <w:rFonts w:ascii="Times New Roman" w:hAnsi="Times New Roman" w:eastAsia="方正仿宋_GBK" w:cs="Times New Roman"/>
          <w:color w:val="000000"/>
          <w:szCs w:val="21"/>
        </w:rPr>
        <w:t>说明：1．房屋层高在2.2米以下（不含2.2米），1.5米以上（含1.5米）的，按同类房屋标准的70%计算补偿。</w:t>
      </w:r>
    </w:p>
    <w:p>
      <w:pPr>
        <w:keepNext w:val="0"/>
        <w:keepLines w:val="0"/>
        <w:pageBreakBefore w:val="0"/>
        <w:widowControl w:val="0"/>
        <w:kinsoku/>
        <w:wordWrap/>
        <w:overflowPunct/>
        <w:topLinePunct w:val="0"/>
        <w:bidi w:val="0"/>
        <w:adjustRightInd w:val="0"/>
        <w:snapToGrid w:val="0"/>
        <w:spacing w:line="300" w:lineRule="exact"/>
        <w:ind w:left="945" w:hanging="945" w:hangingChars="450"/>
        <w:textAlignment w:val="auto"/>
        <w:rPr>
          <w:rFonts w:ascii="Times New Roman" w:hAnsi="Times New Roman" w:eastAsia="方正仿宋_GBK" w:cs="Times New Roman"/>
          <w:color w:val="000000"/>
          <w:szCs w:val="21"/>
        </w:rPr>
      </w:pPr>
      <w:r>
        <w:rPr>
          <w:rFonts w:ascii="Times New Roman" w:hAnsi="Times New Roman" w:eastAsia="方正仿宋_GBK" w:cs="Times New Roman"/>
          <w:color w:val="000000"/>
          <w:szCs w:val="21"/>
        </w:rPr>
        <w:t xml:space="preserve">      2．房屋层高在1.5米以下（不含1.5米），1米以上（含1米）的，按同类房屋标准的50%计算补偿。</w:t>
      </w:r>
    </w:p>
    <w:p>
      <w:pPr>
        <w:keepNext w:val="0"/>
        <w:keepLines w:val="0"/>
        <w:pageBreakBefore w:val="0"/>
        <w:widowControl w:val="0"/>
        <w:kinsoku/>
        <w:wordWrap/>
        <w:overflowPunct/>
        <w:topLinePunct w:val="0"/>
        <w:bidi w:val="0"/>
        <w:adjustRightInd w:val="0"/>
        <w:snapToGrid w:val="0"/>
        <w:spacing w:line="300" w:lineRule="exact"/>
        <w:ind w:left="945" w:hanging="945" w:hangingChars="450"/>
        <w:textAlignment w:val="auto"/>
        <w:rPr>
          <w:rFonts w:ascii="Times New Roman" w:hAnsi="Times New Roman" w:eastAsia="方正仿宋_GBK" w:cs="Times New Roman"/>
          <w:color w:val="000000"/>
          <w:szCs w:val="21"/>
        </w:rPr>
      </w:pPr>
      <w:r>
        <w:rPr>
          <w:rFonts w:ascii="Times New Roman" w:hAnsi="Times New Roman" w:eastAsia="方正仿宋_GBK" w:cs="Times New Roman"/>
          <w:color w:val="000000"/>
          <w:szCs w:val="21"/>
        </w:rPr>
        <w:t xml:space="preserve">      3．房屋层高在1米以下（不含1米）的，按同类房屋标准的20%计算补偿。</w:t>
      </w:r>
    </w:p>
    <w:p>
      <w:pPr>
        <w:keepNext w:val="0"/>
        <w:keepLines w:val="0"/>
        <w:pageBreakBefore w:val="0"/>
        <w:widowControl w:val="0"/>
        <w:kinsoku/>
        <w:wordWrap/>
        <w:overflowPunct/>
        <w:topLinePunct w:val="0"/>
        <w:bidi w:val="0"/>
        <w:adjustRightInd w:val="0"/>
        <w:snapToGrid w:val="0"/>
        <w:spacing w:line="300" w:lineRule="exact"/>
        <w:textAlignment w:val="auto"/>
        <w:rPr>
          <w:rFonts w:ascii="Times New Roman" w:hAnsi="Times New Roman" w:eastAsia="方正仿宋_GBK" w:cs="Times New Roman"/>
          <w:color w:val="000000"/>
          <w:szCs w:val="21"/>
        </w:rPr>
      </w:pPr>
      <w:r>
        <w:rPr>
          <w:rFonts w:ascii="Times New Roman" w:hAnsi="Times New Roman" w:eastAsia="方正仿宋_GBK" w:cs="Times New Roman"/>
          <w:color w:val="000000"/>
          <w:szCs w:val="21"/>
        </w:rPr>
        <w:t xml:space="preserve">      4．外阳台按同类房屋的50%计算。</w:t>
      </w:r>
    </w:p>
    <w:p>
      <w:pPr>
        <w:pStyle w:val="13"/>
        <w:keepNext w:val="0"/>
        <w:keepLines w:val="0"/>
        <w:pageBreakBefore w:val="0"/>
        <w:widowControl w:val="0"/>
        <w:kinsoku/>
        <w:wordWrap/>
        <w:overflowPunct/>
        <w:topLinePunct w:val="0"/>
        <w:bidi w:val="0"/>
        <w:adjustRightInd w:val="0"/>
        <w:spacing w:line="300" w:lineRule="exact"/>
        <w:ind w:firstLine="630" w:firstLineChars="300"/>
        <w:textAlignment w:val="auto"/>
        <w:rPr>
          <w:rFonts w:ascii="Times New Roman" w:hAnsi="Times New Roman" w:eastAsia="方正仿宋_GBK" w:cs="Times New Roman"/>
          <w:sz w:val="21"/>
          <w:szCs w:val="21"/>
        </w:rPr>
      </w:pPr>
      <w:r>
        <w:rPr>
          <w:rFonts w:ascii="Times New Roman" w:hAnsi="Times New Roman" w:eastAsia="方正仿宋_GBK" w:cs="Times New Roman"/>
          <w:kern w:val="2"/>
          <w:sz w:val="21"/>
          <w:szCs w:val="21"/>
        </w:rPr>
        <w:t>5．房屋面积以外墙尺寸计算。</w:t>
      </w:r>
    </w:p>
    <w:p>
      <w:pPr>
        <w:pStyle w:val="13"/>
        <w:keepNext w:val="0"/>
        <w:keepLines w:val="0"/>
        <w:pageBreakBefore w:val="0"/>
        <w:kinsoku/>
        <w:wordWrap/>
        <w:overflowPunct/>
        <w:topLinePunct w:val="0"/>
        <w:bidi w:val="0"/>
        <w:spacing w:line="240" w:lineRule="auto"/>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r>
        <w:rPr>
          <w:rFonts w:hint="eastAsia" w:ascii="仿宋" w:hAnsi="仿宋" w:eastAsia="仿宋" w:cs="仿宋"/>
          <w:b w:val="0"/>
          <w:i w:val="0"/>
          <w:caps w:val="0"/>
          <w:color w:val="000000"/>
          <w:spacing w:val="0"/>
          <w:kern w:val="0"/>
          <w:sz w:val="31"/>
          <w:szCs w:val="31"/>
          <w:shd w:val="clear" w:fill="FFFFFF"/>
          <w:lang w:val="en-US" w:eastAsia="zh-CN" w:bidi="ar"/>
        </w:rPr>
        <w:t>附件3</w:t>
      </w:r>
    </w:p>
    <w:p>
      <w:pPr>
        <w:keepNext w:val="0"/>
        <w:keepLines w:val="0"/>
        <w:pageBreakBefore w:val="0"/>
        <w:kinsoku/>
        <w:wordWrap/>
        <w:overflowPunct/>
        <w:topLinePunct w:val="0"/>
        <w:bidi w:val="0"/>
        <w:spacing w:line="240" w:lineRule="auto"/>
        <w:jc w:val="center"/>
        <w:textAlignment w:val="auto"/>
        <w:rPr>
          <w:rFonts w:ascii="Times New Roman" w:hAnsi="Times New Roman" w:eastAsia="方正小标宋_GBK" w:cs="Times New Roman"/>
          <w:sz w:val="44"/>
          <w:szCs w:val="44"/>
        </w:rPr>
      </w:pPr>
    </w:p>
    <w:p>
      <w:pPr>
        <w:keepNext w:val="0"/>
        <w:keepLines w:val="0"/>
        <w:pageBreakBefore w:val="0"/>
        <w:kinsoku/>
        <w:wordWrap/>
        <w:overflowPunct/>
        <w:topLinePunct w:val="0"/>
        <w:bidi w:val="0"/>
        <w:spacing w:line="240" w:lineRule="auto"/>
        <w:jc w:val="center"/>
        <w:textAlignment w:val="auto"/>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pPr>
      <w:r>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t>万盛经开区农村房屋装饰装修补助标准</w:t>
      </w:r>
    </w:p>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方正小标宋_GBK" w:cs="Times New Roman"/>
          <w:sz w:val="44"/>
          <w:szCs w:val="44"/>
        </w:rPr>
      </w:pPr>
    </w:p>
    <w:p>
      <w:pPr>
        <w:keepNext w:val="0"/>
        <w:keepLines w:val="0"/>
        <w:pageBreakBefore w:val="0"/>
        <w:widowControl/>
        <w:shd w:val="clear" w:color="auto" w:fill="FFFFFF"/>
        <w:kinsoku/>
        <w:wordWrap/>
        <w:overflowPunct/>
        <w:topLinePunct w:val="0"/>
        <w:bidi w:val="0"/>
        <w:spacing w:after="180" w:line="240" w:lineRule="auto"/>
        <w:ind w:firstLine="6510" w:firstLineChars="2100"/>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单位：元/平方米</w:t>
      </w:r>
    </w:p>
    <w:tbl>
      <w:tblPr>
        <w:tblStyle w:val="9"/>
        <w:tblW w:w="0" w:type="auto"/>
        <w:jc w:val="center"/>
        <w:tblLayout w:type="fixed"/>
        <w:tblCellMar>
          <w:top w:w="0" w:type="dxa"/>
          <w:left w:w="0" w:type="dxa"/>
          <w:bottom w:w="0" w:type="dxa"/>
          <w:right w:w="0" w:type="dxa"/>
        </w:tblCellMar>
      </w:tblPr>
      <w:tblGrid>
        <w:gridCol w:w="1215"/>
        <w:gridCol w:w="3389"/>
        <w:gridCol w:w="2931"/>
        <w:gridCol w:w="1099"/>
      </w:tblGrid>
      <w:tr>
        <w:tblPrEx>
          <w:tblCellMar>
            <w:top w:w="0" w:type="dxa"/>
            <w:left w:w="0" w:type="dxa"/>
            <w:bottom w:w="0" w:type="dxa"/>
            <w:right w:w="0" w:type="dxa"/>
          </w:tblCellMar>
        </w:tblPrEx>
        <w:trPr>
          <w:trHeight w:val="567" w:hRule="atLeast"/>
          <w:jc w:val="center"/>
        </w:trPr>
        <w:tc>
          <w:tcPr>
            <w:tcW w:w="121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ind w:firstLine="160" w:firstLineChars="50"/>
              <w:jc w:val="center"/>
              <w:textAlignment w:val="auto"/>
              <w:rPr>
                <w:rFonts w:ascii="Times New Roman" w:hAnsi="Times New Roman" w:eastAsia="方正黑体_GBK" w:cs="Times New Roman"/>
                <w:color w:val="000000"/>
                <w:kern w:val="0"/>
                <w:sz w:val="32"/>
                <w:szCs w:val="32"/>
              </w:rPr>
            </w:pPr>
            <w:r>
              <w:rPr>
                <w:rFonts w:ascii="Times New Roman" w:hAnsi="Times New Roman" w:eastAsia="方正黑体_GBK" w:cs="Times New Roman"/>
                <w:color w:val="000000"/>
                <w:sz w:val="32"/>
                <w:szCs w:val="32"/>
              </w:rPr>
              <w:t>等级</w:t>
            </w:r>
          </w:p>
        </w:tc>
        <w:tc>
          <w:tcPr>
            <w:tcW w:w="338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jc w:val="center"/>
              <w:textAlignment w:val="auto"/>
              <w:rPr>
                <w:rFonts w:ascii="Times New Roman" w:hAnsi="Times New Roman" w:eastAsia="方正黑体_GBK" w:cs="Times New Roman"/>
                <w:color w:val="000000"/>
                <w:kern w:val="0"/>
                <w:sz w:val="32"/>
                <w:szCs w:val="32"/>
              </w:rPr>
            </w:pPr>
            <w:r>
              <w:rPr>
                <w:rFonts w:ascii="Times New Roman" w:hAnsi="Times New Roman" w:eastAsia="方正黑体_GBK" w:cs="Times New Roman"/>
                <w:color w:val="000000"/>
                <w:sz w:val="32"/>
                <w:szCs w:val="32"/>
              </w:rPr>
              <w:t>等级内容</w:t>
            </w:r>
          </w:p>
        </w:tc>
        <w:tc>
          <w:tcPr>
            <w:tcW w:w="2931"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jc w:val="center"/>
              <w:textAlignment w:val="auto"/>
              <w:rPr>
                <w:rFonts w:ascii="Times New Roman" w:hAnsi="Times New Roman" w:eastAsia="方正黑体_GBK" w:cs="Times New Roman"/>
                <w:color w:val="000000"/>
                <w:kern w:val="0"/>
                <w:sz w:val="32"/>
                <w:szCs w:val="32"/>
              </w:rPr>
            </w:pPr>
            <w:r>
              <w:rPr>
                <w:rFonts w:ascii="Times New Roman" w:hAnsi="Times New Roman" w:eastAsia="方正黑体_GBK" w:cs="Times New Roman"/>
                <w:color w:val="000000"/>
                <w:sz w:val="32"/>
                <w:szCs w:val="32"/>
              </w:rPr>
              <w:t>计算面积</w:t>
            </w:r>
          </w:p>
        </w:tc>
        <w:tc>
          <w:tcPr>
            <w:tcW w:w="109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jc w:val="center"/>
              <w:textAlignment w:val="auto"/>
              <w:rPr>
                <w:rFonts w:ascii="Times New Roman" w:hAnsi="Times New Roman" w:eastAsia="方正黑体_GBK" w:cs="Times New Roman"/>
                <w:color w:val="333333"/>
                <w:kern w:val="0"/>
                <w:sz w:val="32"/>
                <w:szCs w:val="32"/>
              </w:rPr>
            </w:pPr>
            <w:r>
              <w:rPr>
                <w:rFonts w:hint="eastAsia" w:ascii="Times New Roman" w:hAnsi="Times New Roman" w:eastAsia="方正黑体_GBK" w:cs="Times New Roman"/>
                <w:color w:val="000000"/>
                <w:sz w:val="32"/>
                <w:szCs w:val="32"/>
              </w:rPr>
              <w:t>标准</w:t>
            </w:r>
          </w:p>
        </w:tc>
      </w:tr>
      <w:tr>
        <w:tblPrEx>
          <w:tblCellMar>
            <w:top w:w="0" w:type="dxa"/>
            <w:left w:w="0" w:type="dxa"/>
            <w:bottom w:w="0" w:type="dxa"/>
            <w:right w:w="0" w:type="dxa"/>
          </w:tblCellMar>
        </w:tblPrEx>
        <w:trPr>
          <w:trHeight w:val="567" w:hRule="atLeast"/>
          <w:jc w:val="center"/>
        </w:trPr>
        <w:tc>
          <w:tcPr>
            <w:tcW w:w="1215" w:type="dxa"/>
            <w:tcBorders>
              <w:top w:val="single" w:color="auto" w:sz="4"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第一等级</w:t>
            </w:r>
          </w:p>
        </w:tc>
        <w:tc>
          <w:tcPr>
            <w:tcW w:w="3389" w:type="dxa"/>
            <w:tcBorders>
              <w:top w:val="single" w:color="auto" w:sz="4" w:space="0"/>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外墙粉水以上（安装太阳能热水器、空调等），室内地砖或木地板，墙面有乳胶漆、仿瓷或墙纸，吊顶，室内水电安装为暗线，室内门窗进行装饰材料包装等精装修</w:t>
            </w:r>
          </w:p>
        </w:tc>
        <w:tc>
          <w:tcPr>
            <w:tcW w:w="2931" w:type="dxa"/>
            <w:tcBorders>
              <w:top w:val="single" w:color="auto" w:sz="4" w:space="0"/>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实际装饰装修房屋建筑面积</w:t>
            </w:r>
          </w:p>
        </w:tc>
        <w:tc>
          <w:tcPr>
            <w:tcW w:w="1099" w:type="dxa"/>
            <w:tcBorders>
              <w:top w:val="single" w:color="auto" w:sz="4" w:space="0"/>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280</w:t>
            </w:r>
          </w:p>
        </w:tc>
      </w:tr>
      <w:tr>
        <w:tblPrEx>
          <w:tblCellMar>
            <w:top w:w="0" w:type="dxa"/>
            <w:left w:w="0" w:type="dxa"/>
            <w:bottom w:w="0" w:type="dxa"/>
            <w:right w:w="0" w:type="dxa"/>
          </w:tblCellMar>
        </w:tblPrEx>
        <w:trPr>
          <w:trHeight w:val="567" w:hRule="atLeast"/>
          <w:jc w:val="center"/>
        </w:trPr>
        <w:tc>
          <w:tcPr>
            <w:tcW w:w="121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第二等级</w:t>
            </w:r>
          </w:p>
        </w:tc>
        <w:tc>
          <w:tcPr>
            <w:tcW w:w="338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外墙粉水以上（安装太阳能热水器、空调等），室内地砖或木地板，墙面有乳胶漆、仿瓷，室内水电安装为暗线，室内门窗进行简单包装</w:t>
            </w:r>
          </w:p>
        </w:tc>
        <w:tc>
          <w:tcPr>
            <w:tcW w:w="29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实际装饰装修房屋建筑面积</w:t>
            </w:r>
          </w:p>
        </w:tc>
        <w:tc>
          <w:tcPr>
            <w:tcW w:w="109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220</w:t>
            </w:r>
          </w:p>
        </w:tc>
      </w:tr>
      <w:tr>
        <w:tblPrEx>
          <w:tblCellMar>
            <w:top w:w="0" w:type="dxa"/>
            <w:left w:w="0" w:type="dxa"/>
            <w:bottom w:w="0" w:type="dxa"/>
            <w:right w:w="0" w:type="dxa"/>
          </w:tblCellMar>
        </w:tblPrEx>
        <w:trPr>
          <w:trHeight w:val="567" w:hRule="atLeast"/>
          <w:jc w:val="center"/>
        </w:trPr>
        <w:tc>
          <w:tcPr>
            <w:tcW w:w="121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第三等级</w:t>
            </w:r>
          </w:p>
        </w:tc>
        <w:tc>
          <w:tcPr>
            <w:tcW w:w="338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地砖、墙面有腻子、室内水电安装为明线</w:t>
            </w:r>
          </w:p>
        </w:tc>
        <w:tc>
          <w:tcPr>
            <w:tcW w:w="29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实际装饰装修房屋建筑面积</w:t>
            </w:r>
          </w:p>
        </w:tc>
        <w:tc>
          <w:tcPr>
            <w:tcW w:w="109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170</w:t>
            </w:r>
          </w:p>
        </w:tc>
      </w:tr>
      <w:tr>
        <w:tblPrEx>
          <w:tblCellMar>
            <w:top w:w="0" w:type="dxa"/>
            <w:left w:w="0" w:type="dxa"/>
            <w:bottom w:w="0" w:type="dxa"/>
            <w:right w:w="0" w:type="dxa"/>
          </w:tblCellMar>
        </w:tblPrEx>
        <w:trPr>
          <w:trHeight w:val="567" w:hRule="atLeast"/>
          <w:jc w:val="center"/>
        </w:trPr>
        <w:tc>
          <w:tcPr>
            <w:tcW w:w="121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第四等级</w:t>
            </w:r>
          </w:p>
        </w:tc>
        <w:tc>
          <w:tcPr>
            <w:tcW w:w="338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地砖、墙面刷白、室内水电安装为明线</w:t>
            </w:r>
          </w:p>
        </w:tc>
        <w:tc>
          <w:tcPr>
            <w:tcW w:w="29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实际装饰装修房屋建筑面积</w:t>
            </w:r>
          </w:p>
        </w:tc>
        <w:tc>
          <w:tcPr>
            <w:tcW w:w="109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130</w:t>
            </w:r>
          </w:p>
        </w:tc>
      </w:tr>
      <w:tr>
        <w:tblPrEx>
          <w:tblCellMar>
            <w:top w:w="0" w:type="dxa"/>
            <w:left w:w="0" w:type="dxa"/>
            <w:bottom w:w="0" w:type="dxa"/>
            <w:right w:w="0" w:type="dxa"/>
          </w:tblCellMar>
        </w:tblPrEx>
        <w:trPr>
          <w:trHeight w:val="567" w:hRule="atLeast"/>
          <w:jc w:val="center"/>
        </w:trPr>
        <w:tc>
          <w:tcPr>
            <w:tcW w:w="1215"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第五等级</w:t>
            </w:r>
          </w:p>
        </w:tc>
        <w:tc>
          <w:tcPr>
            <w:tcW w:w="338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其他</w:t>
            </w:r>
          </w:p>
        </w:tc>
        <w:tc>
          <w:tcPr>
            <w:tcW w:w="29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实际装饰装修房屋建筑面积</w:t>
            </w:r>
          </w:p>
        </w:tc>
        <w:tc>
          <w:tcPr>
            <w:tcW w:w="109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80</w:t>
            </w:r>
          </w:p>
        </w:tc>
      </w:tr>
    </w:tbl>
    <w:p>
      <w:pPr>
        <w:keepNext w:val="0"/>
        <w:keepLines w:val="0"/>
        <w:pageBreakBefore w:val="0"/>
        <w:kinsoku/>
        <w:wordWrap/>
        <w:overflowPunct/>
        <w:topLinePunct w:val="0"/>
        <w:bidi w:val="0"/>
        <w:adjustRightInd w:val="0"/>
        <w:snapToGrid w:val="0"/>
        <w:spacing w:line="240" w:lineRule="auto"/>
        <w:ind w:firstLine="210" w:firstLineChars="100"/>
        <w:textAlignment w:val="auto"/>
        <w:rPr>
          <w:rFonts w:hint="eastAsia" w:ascii="方正仿宋_GBK" w:eastAsia="方正仿宋_GBK"/>
          <w:sz w:val="32"/>
          <w:szCs w:val="32"/>
        </w:rPr>
      </w:pPr>
      <w:r>
        <w:rPr>
          <w:rFonts w:hint="eastAsia" w:ascii="方正仿宋_GBK" w:eastAsia="方正仿宋_GBK"/>
        </w:rPr>
        <w:t>说明：经补助后的装饰物由区征地实施机构处置。</w:t>
      </w:r>
    </w:p>
    <w:p>
      <w:pPr>
        <w:pStyle w:val="13"/>
        <w:keepNext w:val="0"/>
        <w:keepLines w:val="0"/>
        <w:pageBreakBefore w:val="0"/>
        <w:kinsoku/>
        <w:wordWrap/>
        <w:overflowPunct/>
        <w:topLinePunct w:val="0"/>
        <w:bidi w:val="0"/>
        <w:spacing w:line="240" w:lineRule="auto"/>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r>
        <w:rPr>
          <w:rFonts w:hint="eastAsia" w:ascii="仿宋" w:hAnsi="仿宋" w:eastAsia="仿宋" w:cs="仿宋"/>
          <w:b w:val="0"/>
          <w:i w:val="0"/>
          <w:caps w:val="0"/>
          <w:color w:val="000000"/>
          <w:spacing w:val="0"/>
          <w:kern w:val="0"/>
          <w:sz w:val="31"/>
          <w:szCs w:val="31"/>
          <w:shd w:val="clear" w:fill="FFFFFF"/>
          <w:lang w:val="en-US" w:eastAsia="zh-CN" w:bidi="ar"/>
        </w:rPr>
        <w:t>附件4</w:t>
      </w:r>
    </w:p>
    <w:p>
      <w:pPr>
        <w:keepNext w:val="0"/>
        <w:keepLines w:val="0"/>
        <w:pageBreakBefore w:val="0"/>
        <w:kinsoku/>
        <w:wordWrap/>
        <w:overflowPunct/>
        <w:topLinePunct w:val="0"/>
        <w:bidi w:val="0"/>
        <w:spacing w:line="240" w:lineRule="auto"/>
        <w:jc w:val="center"/>
        <w:textAlignment w:val="auto"/>
        <w:rPr>
          <w:rFonts w:ascii="Times New Roman" w:hAnsi="Times New Roman" w:eastAsia="方正小标宋_GBK" w:cs="Times New Roman"/>
          <w:sz w:val="44"/>
          <w:szCs w:val="44"/>
        </w:rPr>
      </w:pPr>
    </w:p>
    <w:p>
      <w:pPr>
        <w:keepNext w:val="0"/>
        <w:keepLines w:val="0"/>
        <w:pageBreakBefore w:val="0"/>
        <w:kinsoku/>
        <w:wordWrap/>
        <w:overflowPunct/>
        <w:topLinePunct w:val="0"/>
        <w:bidi w:val="0"/>
        <w:spacing w:line="240" w:lineRule="auto"/>
        <w:jc w:val="center"/>
        <w:textAlignment w:val="auto"/>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pPr>
      <w:r>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t>万盛经开区青苗补偿标准</w:t>
      </w:r>
    </w:p>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方正仿宋_GBK" w:cs="Times New Roman"/>
          <w:szCs w:val="32"/>
        </w:rPr>
      </w:pPr>
    </w:p>
    <w:p>
      <w:pPr>
        <w:pStyle w:val="13"/>
        <w:keepNext w:val="0"/>
        <w:keepLines w:val="0"/>
        <w:pageBreakBefore w:val="0"/>
        <w:kinsoku/>
        <w:wordWrap/>
        <w:overflowPunct/>
        <w:topLinePunct w:val="0"/>
        <w:bidi w:val="0"/>
        <w:spacing w:line="240" w:lineRule="auto"/>
        <w:jc w:val="right"/>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单位：元/亩</w:t>
      </w:r>
    </w:p>
    <w:tbl>
      <w:tblPr>
        <w:tblStyle w:val="9"/>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3"/>
        <w:gridCol w:w="4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83" w:type="dxa"/>
            <w:noWrap w:val="0"/>
            <w:vAlign w:val="top"/>
          </w:tcPr>
          <w:p>
            <w:pPr>
              <w:pStyle w:val="13"/>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作物类别</w:t>
            </w:r>
          </w:p>
        </w:tc>
        <w:tc>
          <w:tcPr>
            <w:tcW w:w="4392" w:type="dxa"/>
            <w:noWrap w:val="0"/>
            <w:vAlign w:val="top"/>
          </w:tcPr>
          <w:p>
            <w:pPr>
              <w:pStyle w:val="13"/>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83" w:type="dxa"/>
            <w:noWrap w:val="0"/>
            <w:vAlign w:val="top"/>
          </w:tcPr>
          <w:p>
            <w:pPr>
              <w:pStyle w:val="13"/>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蔬菜类（粮食类）</w:t>
            </w:r>
          </w:p>
        </w:tc>
        <w:tc>
          <w:tcPr>
            <w:tcW w:w="4392" w:type="dxa"/>
            <w:noWrap w:val="0"/>
            <w:vAlign w:val="center"/>
          </w:tcPr>
          <w:p>
            <w:pPr>
              <w:pStyle w:val="13"/>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3000</w:t>
            </w:r>
          </w:p>
        </w:tc>
      </w:tr>
    </w:tbl>
    <w:p>
      <w:pPr>
        <w:keepNext w:val="0"/>
        <w:keepLines w:val="0"/>
        <w:pageBreakBefore w:val="0"/>
        <w:kinsoku/>
        <w:wordWrap/>
        <w:overflowPunct/>
        <w:topLinePunct w:val="0"/>
        <w:bidi w:val="0"/>
        <w:spacing w:line="240" w:lineRule="auto"/>
        <w:ind w:left="630" w:leftChars="100" w:hanging="420" w:hangingChars="200"/>
        <w:textAlignment w:val="auto"/>
        <w:rPr>
          <w:rFonts w:hint="eastAsia" w:ascii="Times New Roman" w:hAnsi="Times New Roman" w:eastAsia="方正仿宋_GBK" w:cs="Times New Roman"/>
          <w:szCs w:val="21"/>
        </w:rPr>
      </w:pPr>
      <w:r>
        <w:rPr>
          <w:rFonts w:ascii="Times New Roman" w:hAnsi="Times New Roman" w:eastAsia="方正仿宋_GBK" w:cs="Times New Roman"/>
          <w:szCs w:val="21"/>
        </w:rPr>
        <w:t>说明：1</w:t>
      </w:r>
      <w:r>
        <w:rPr>
          <w:rFonts w:hint="eastAsia" w:ascii="Times New Roman" w:hAnsi="Times New Roman" w:eastAsia="方正仿宋_GBK" w:cs="Times New Roman"/>
          <w:szCs w:val="21"/>
        </w:rPr>
        <w:t>．</w:t>
      </w:r>
      <w:r>
        <w:rPr>
          <w:rFonts w:ascii="Times New Roman" w:hAnsi="Times New Roman" w:eastAsia="方正仿宋_GBK" w:cs="Times New Roman"/>
          <w:szCs w:val="21"/>
        </w:rPr>
        <w:t>专用鱼池按水面积计算补偿（含鱼苗损失等），其补偿标准按照蔬菜类增加1倍计算</w:t>
      </w:r>
      <w:r>
        <w:rPr>
          <w:rFonts w:hint="eastAsia" w:ascii="Times New Roman" w:hAnsi="Times New Roman" w:eastAsia="方正仿宋_GBK" w:cs="Times New Roman"/>
          <w:szCs w:val="21"/>
        </w:rPr>
        <w:t>；</w:t>
      </w:r>
    </w:p>
    <w:p>
      <w:pPr>
        <w:keepNext w:val="0"/>
        <w:keepLines w:val="0"/>
        <w:pageBreakBefore w:val="0"/>
        <w:kinsoku/>
        <w:wordWrap/>
        <w:overflowPunct/>
        <w:topLinePunct w:val="0"/>
        <w:bidi w:val="0"/>
        <w:spacing w:line="240" w:lineRule="auto"/>
        <w:ind w:left="1155" w:leftChars="400" w:hanging="315" w:hangingChars="150"/>
        <w:textAlignment w:val="auto"/>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w:t>
      </w:r>
      <w:r>
        <w:rPr>
          <w:rFonts w:ascii="Times New Roman" w:hAnsi="Times New Roman" w:eastAsia="方正仿宋_GBK" w:cs="Times New Roman"/>
          <w:szCs w:val="21"/>
        </w:rPr>
        <w:t>草本类果园（草莓、西瓜等，不含蔬菜类）按种植面积计算补偿，其补偿标准按照蔬菜类增加1倍计算。</w:t>
      </w:r>
    </w:p>
    <w:p>
      <w:pPr>
        <w:pStyle w:val="13"/>
        <w:keepNext w:val="0"/>
        <w:keepLines w:val="0"/>
        <w:pageBreakBefore w:val="0"/>
        <w:kinsoku/>
        <w:wordWrap/>
        <w:overflowPunct/>
        <w:topLinePunct w:val="0"/>
        <w:bidi w:val="0"/>
        <w:spacing w:line="240" w:lineRule="auto"/>
        <w:textAlignment w:val="auto"/>
        <w:rPr>
          <w:rFonts w:ascii="Times New Roman" w:hAnsi="Times New Roman" w:eastAsia="方正仿宋_GBK" w:cs="Times New Roman"/>
          <w:sz w:val="32"/>
          <w:szCs w:val="32"/>
        </w:rPr>
      </w:pPr>
    </w:p>
    <w:p>
      <w:pPr>
        <w:pStyle w:val="13"/>
        <w:keepNext w:val="0"/>
        <w:keepLines w:val="0"/>
        <w:pageBreakBefore w:val="0"/>
        <w:kinsoku/>
        <w:wordWrap/>
        <w:overflowPunct/>
        <w:topLinePunct w:val="0"/>
        <w:bidi w:val="0"/>
        <w:spacing w:line="240" w:lineRule="auto"/>
        <w:textAlignment w:val="auto"/>
        <w:rPr>
          <w:rFonts w:ascii="Times New Roman" w:hAnsi="Times New Roman" w:eastAsia="方正黑体_GBK" w:cs="Times New Roman"/>
          <w:color w:val="auto"/>
          <w:kern w:val="2"/>
          <w:sz w:val="32"/>
          <w:szCs w:val="32"/>
        </w:rPr>
      </w:pPr>
      <w:r>
        <w:rPr>
          <w:rFonts w:ascii="Times New Roman" w:hAnsi="Times New Roman" w:eastAsia="方正仿宋_GBK" w:cs="Times New Roman"/>
          <w:sz w:val="32"/>
          <w:szCs w:val="32"/>
        </w:rPr>
        <w:br w:type="page"/>
      </w:r>
      <w:r>
        <w:rPr>
          <w:rFonts w:hint="eastAsia" w:ascii="仿宋" w:hAnsi="仿宋" w:eastAsia="仿宋" w:cs="仿宋"/>
          <w:b w:val="0"/>
          <w:i w:val="0"/>
          <w:caps w:val="0"/>
          <w:color w:val="000000"/>
          <w:spacing w:val="0"/>
          <w:kern w:val="0"/>
          <w:sz w:val="31"/>
          <w:szCs w:val="31"/>
          <w:shd w:val="clear" w:fill="FFFFFF"/>
          <w:lang w:val="en-US" w:eastAsia="zh-CN" w:bidi="ar"/>
        </w:rPr>
        <w:t>附件5</w:t>
      </w:r>
    </w:p>
    <w:p>
      <w:pPr>
        <w:keepNext w:val="0"/>
        <w:keepLines w:val="0"/>
        <w:pageBreakBefore w:val="0"/>
        <w:kinsoku/>
        <w:wordWrap/>
        <w:overflowPunct/>
        <w:topLinePunct w:val="0"/>
        <w:bidi w:val="0"/>
        <w:spacing w:line="240" w:lineRule="auto"/>
        <w:jc w:val="center"/>
        <w:textAlignment w:val="auto"/>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pPr>
    </w:p>
    <w:p>
      <w:pPr>
        <w:keepNext w:val="0"/>
        <w:keepLines w:val="0"/>
        <w:pageBreakBefore w:val="0"/>
        <w:kinsoku/>
        <w:wordWrap/>
        <w:overflowPunct/>
        <w:topLinePunct w:val="0"/>
        <w:bidi w:val="0"/>
        <w:spacing w:line="240" w:lineRule="auto"/>
        <w:jc w:val="center"/>
        <w:textAlignment w:val="auto"/>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pPr>
      <w:r>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t>万盛经开区经济作物补偿标准</w:t>
      </w:r>
    </w:p>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方正小标宋_GBK" w:cs="Times New Roman"/>
          <w:sz w:val="44"/>
          <w:szCs w:val="44"/>
        </w:rPr>
      </w:pPr>
    </w:p>
    <w:p>
      <w:pPr>
        <w:pStyle w:val="13"/>
        <w:keepNext w:val="0"/>
        <w:keepLines w:val="0"/>
        <w:pageBreakBefore w:val="0"/>
        <w:kinsoku/>
        <w:wordWrap/>
        <w:overflowPunct/>
        <w:topLinePunct w:val="0"/>
        <w:bidi w:val="0"/>
        <w:spacing w:line="240" w:lineRule="auto"/>
        <w:jc w:val="right"/>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单位：元/亩</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241"/>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noWrap w:val="0"/>
            <w:vAlign w:val="top"/>
          </w:tcPr>
          <w:p>
            <w:pPr>
              <w:pStyle w:val="13"/>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类别</w:t>
            </w:r>
          </w:p>
        </w:tc>
        <w:tc>
          <w:tcPr>
            <w:tcW w:w="5241" w:type="dxa"/>
            <w:noWrap w:val="0"/>
            <w:vAlign w:val="top"/>
          </w:tcPr>
          <w:p>
            <w:pPr>
              <w:pStyle w:val="13"/>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规格及规模</w:t>
            </w:r>
          </w:p>
        </w:tc>
        <w:tc>
          <w:tcPr>
            <w:tcW w:w="1883" w:type="dxa"/>
            <w:noWrap w:val="0"/>
            <w:vAlign w:val="top"/>
          </w:tcPr>
          <w:p>
            <w:pPr>
              <w:pStyle w:val="13"/>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经济树木</w:t>
            </w:r>
          </w:p>
        </w:tc>
        <w:tc>
          <w:tcPr>
            <w:tcW w:w="5241"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1公分以下移栽苗，一亩80株以上。</w:t>
            </w:r>
          </w:p>
        </w:tc>
        <w:tc>
          <w:tcPr>
            <w:tcW w:w="1883"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Merge w:val="continue"/>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5241"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1公分以上未投产，一亩80株以上。</w:t>
            </w:r>
          </w:p>
        </w:tc>
        <w:tc>
          <w:tcPr>
            <w:tcW w:w="1883"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Merge w:val="continue"/>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5241"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初投产，一亩80株以上。</w:t>
            </w:r>
          </w:p>
        </w:tc>
        <w:tc>
          <w:tcPr>
            <w:tcW w:w="1883"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Merge w:val="continue"/>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5241"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盛产，一亩80株以上。</w:t>
            </w:r>
          </w:p>
        </w:tc>
        <w:tc>
          <w:tcPr>
            <w:tcW w:w="1883"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果树</w:t>
            </w:r>
          </w:p>
        </w:tc>
        <w:tc>
          <w:tcPr>
            <w:tcW w:w="5241"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1公分以下移栽苗，一亩80株以上。</w:t>
            </w:r>
          </w:p>
        </w:tc>
        <w:tc>
          <w:tcPr>
            <w:tcW w:w="1883"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Merge w:val="continue"/>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5241"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1公分以上未投产，一亩80株以上。</w:t>
            </w:r>
          </w:p>
        </w:tc>
        <w:tc>
          <w:tcPr>
            <w:tcW w:w="1883"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Merge w:val="continue"/>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5241"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挂果园，一亩80株以上。</w:t>
            </w:r>
          </w:p>
        </w:tc>
        <w:tc>
          <w:tcPr>
            <w:tcW w:w="1883"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Merge w:val="continue"/>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5241"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盛果园，一亩80株以上。</w:t>
            </w:r>
          </w:p>
        </w:tc>
        <w:tc>
          <w:tcPr>
            <w:tcW w:w="1883" w:type="dxa"/>
            <w:noWrap w:val="0"/>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13000</w:t>
            </w:r>
          </w:p>
        </w:tc>
      </w:tr>
    </w:tbl>
    <w:p>
      <w:pPr>
        <w:pStyle w:val="13"/>
        <w:keepNext w:val="0"/>
        <w:keepLines w:val="0"/>
        <w:pageBreakBefore w:val="0"/>
        <w:kinsoku/>
        <w:wordWrap/>
        <w:overflowPunct/>
        <w:topLinePunct w:val="0"/>
        <w:bidi w:val="0"/>
        <w:spacing w:line="240" w:lineRule="auto"/>
        <w:ind w:left="630" w:leftChars="100" w:hanging="420" w:hangingChars="200"/>
        <w:textAlignment w:val="auto"/>
        <w:rPr>
          <w:rFonts w:ascii="Times New Roman" w:hAnsi="Times New Roman" w:eastAsia="方正仿宋_GBK" w:cs="Times New Roman"/>
          <w:sz w:val="21"/>
          <w:szCs w:val="21"/>
        </w:rPr>
      </w:pPr>
      <w:r>
        <w:rPr>
          <w:rFonts w:ascii="Times New Roman" w:hAnsi="Times New Roman" w:eastAsia="方正仿宋_GBK" w:cs="Times New Roman"/>
          <w:sz w:val="21"/>
          <w:szCs w:val="21"/>
        </w:rPr>
        <w:t>说明：1</w:t>
      </w:r>
      <w:r>
        <w:rPr>
          <w:rFonts w:hint="eastAsia" w:ascii="Times New Roman" w:hAnsi="Times New Roman" w:eastAsia="方正仿宋_GBK" w:cs="Times New Roman"/>
          <w:sz w:val="21"/>
          <w:szCs w:val="21"/>
        </w:rPr>
        <w:t>．</w:t>
      </w:r>
      <w:r>
        <w:rPr>
          <w:rFonts w:ascii="Times New Roman" w:hAnsi="Times New Roman" w:eastAsia="方正仿宋_GBK" w:cs="Times New Roman"/>
          <w:sz w:val="21"/>
          <w:szCs w:val="21"/>
        </w:rPr>
        <w:t>本表是对集中成片（一亩在80株以上）栽种的经济树木及果树的补偿标准。</w:t>
      </w:r>
    </w:p>
    <w:p>
      <w:pPr>
        <w:pStyle w:val="13"/>
        <w:keepNext w:val="0"/>
        <w:keepLines w:val="0"/>
        <w:pageBreakBefore w:val="0"/>
        <w:kinsoku/>
        <w:wordWrap/>
        <w:overflowPunct/>
        <w:topLinePunct w:val="0"/>
        <w:bidi w:val="0"/>
        <w:spacing w:line="240" w:lineRule="auto"/>
        <w:ind w:left="840" w:leftChars="400"/>
        <w:textAlignment w:val="auto"/>
        <w:rPr>
          <w:rFonts w:ascii="Times New Roman" w:hAnsi="Times New Roman" w:eastAsia="方正仿宋_GBK" w:cs="Times New Roman"/>
          <w:sz w:val="21"/>
          <w:szCs w:val="21"/>
        </w:rPr>
      </w:pPr>
      <w:r>
        <w:rPr>
          <w:rFonts w:ascii="Times New Roman" w:hAnsi="Times New Roman" w:eastAsia="方正仿宋_GBK" w:cs="Times New Roman"/>
          <w:sz w:val="21"/>
          <w:szCs w:val="21"/>
        </w:rPr>
        <w:t>2</w:t>
      </w:r>
      <w:r>
        <w:rPr>
          <w:rFonts w:hint="eastAsia" w:ascii="Times New Roman" w:hAnsi="Times New Roman" w:eastAsia="方正仿宋_GBK" w:cs="Times New Roman"/>
          <w:sz w:val="21"/>
          <w:szCs w:val="21"/>
        </w:rPr>
        <w:t>．</w:t>
      </w:r>
      <w:r>
        <w:rPr>
          <w:rFonts w:ascii="Times New Roman" w:hAnsi="Times New Roman" w:eastAsia="方正仿宋_GBK" w:cs="Times New Roman"/>
          <w:sz w:val="21"/>
          <w:szCs w:val="21"/>
        </w:rPr>
        <w:t>按集中成片栽种的经济树木及果树补偿标准进行补偿后，不再进行青苗补偿。</w:t>
      </w:r>
    </w:p>
    <w:p>
      <w:pPr>
        <w:pStyle w:val="13"/>
        <w:keepNext w:val="0"/>
        <w:keepLines w:val="0"/>
        <w:pageBreakBefore w:val="0"/>
        <w:kinsoku/>
        <w:wordWrap/>
        <w:overflowPunct/>
        <w:topLinePunct w:val="0"/>
        <w:bidi w:val="0"/>
        <w:spacing w:line="240" w:lineRule="auto"/>
        <w:ind w:firstLine="840" w:firstLineChars="400"/>
        <w:textAlignment w:val="auto"/>
        <w:rPr>
          <w:rFonts w:ascii="Times New Roman" w:hAnsi="Times New Roman" w:eastAsia="方正仿宋_GBK" w:cs="Times New Roman"/>
          <w:sz w:val="21"/>
          <w:szCs w:val="21"/>
        </w:rPr>
      </w:pPr>
      <w:r>
        <w:rPr>
          <w:rFonts w:ascii="Times New Roman" w:hAnsi="Times New Roman" w:eastAsia="方正仿宋_GBK" w:cs="Times New Roman"/>
          <w:sz w:val="21"/>
          <w:szCs w:val="21"/>
        </w:rPr>
        <w:t>3</w:t>
      </w:r>
      <w:r>
        <w:rPr>
          <w:rFonts w:hint="eastAsia" w:ascii="Times New Roman" w:hAnsi="Times New Roman" w:eastAsia="方正仿宋_GBK" w:cs="Times New Roman"/>
          <w:sz w:val="21"/>
          <w:szCs w:val="21"/>
        </w:rPr>
        <w:t>．</w:t>
      </w:r>
      <w:r>
        <w:rPr>
          <w:rFonts w:ascii="Times New Roman" w:hAnsi="Times New Roman" w:eastAsia="方正仿宋_GBK" w:cs="Times New Roman"/>
          <w:sz w:val="21"/>
          <w:szCs w:val="21"/>
        </w:rPr>
        <w:t>按本补偿标准对经济作物进行补偿后，不再另行支付搬迁补助费。</w:t>
      </w:r>
    </w:p>
    <w:p>
      <w:pPr>
        <w:pStyle w:val="13"/>
        <w:keepNext w:val="0"/>
        <w:keepLines w:val="0"/>
        <w:pageBreakBefore w:val="0"/>
        <w:kinsoku/>
        <w:wordWrap/>
        <w:overflowPunct/>
        <w:topLinePunct w:val="0"/>
        <w:bidi w:val="0"/>
        <w:spacing w:line="240" w:lineRule="auto"/>
        <w:textAlignment w:val="auto"/>
        <w:rPr>
          <w:rFonts w:hint="eastAsia" w:ascii="Times New Roman" w:hAnsi="Times New Roman" w:eastAsia="方正黑体_GBK" w:cs="Times New Roman"/>
          <w:sz w:val="32"/>
          <w:szCs w:val="32"/>
        </w:rPr>
      </w:pPr>
      <w:r>
        <w:rPr>
          <w:rFonts w:ascii="Times New Roman" w:hAnsi="Times New Roman" w:eastAsia="方正仿宋_GBK" w:cs="Times New Roman"/>
          <w:sz w:val="32"/>
          <w:szCs w:val="32"/>
        </w:rPr>
        <w:br w:type="page"/>
      </w:r>
      <w:r>
        <w:rPr>
          <w:rFonts w:hint="eastAsia" w:ascii="仿宋" w:hAnsi="仿宋" w:eastAsia="仿宋" w:cs="仿宋"/>
          <w:b w:val="0"/>
          <w:i w:val="0"/>
          <w:caps w:val="0"/>
          <w:color w:val="000000"/>
          <w:spacing w:val="0"/>
          <w:kern w:val="0"/>
          <w:sz w:val="31"/>
          <w:szCs w:val="31"/>
          <w:shd w:val="clear" w:fill="FFFFFF"/>
          <w:lang w:val="en-US" w:eastAsia="zh-CN" w:bidi="ar"/>
        </w:rPr>
        <w:t>附件6</w:t>
      </w:r>
    </w:p>
    <w:p>
      <w:pPr>
        <w:pStyle w:val="3"/>
        <w:keepNext w:val="0"/>
        <w:keepLines w:val="0"/>
        <w:pageBreakBefore w:val="0"/>
        <w:kinsoku/>
        <w:wordWrap/>
        <w:overflowPunct/>
        <w:topLinePunct w:val="0"/>
        <w:bidi w:val="0"/>
        <w:spacing w:line="240" w:lineRule="auto"/>
        <w:textAlignment w:val="auto"/>
        <w:rPr>
          <w:rFonts w:hint="eastAsia"/>
        </w:rPr>
      </w:pPr>
    </w:p>
    <w:p>
      <w:pPr>
        <w:keepNext w:val="0"/>
        <w:keepLines w:val="0"/>
        <w:pageBreakBefore w:val="0"/>
        <w:kinsoku/>
        <w:wordWrap/>
        <w:overflowPunct/>
        <w:topLinePunct w:val="0"/>
        <w:bidi w:val="0"/>
        <w:spacing w:line="240" w:lineRule="auto"/>
        <w:jc w:val="center"/>
        <w:textAlignment w:val="auto"/>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pPr>
      <w:r>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t>万盛经开区构筑物补偿标准</w:t>
      </w:r>
    </w:p>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方正小标宋_GBK" w:cs="Times New Roman"/>
          <w:sz w:val="44"/>
          <w:szCs w:val="4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6"/>
        <w:gridCol w:w="1764"/>
        <w:gridCol w:w="1035"/>
        <w:gridCol w:w="1350"/>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tblHeader/>
          <w:jc w:val="center"/>
        </w:trPr>
        <w:tc>
          <w:tcPr>
            <w:tcW w:w="1386" w:type="dxa"/>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Cs w:val="21"/>
              </w:rPr>
            </w:pPr>
            <w:r>
              <w:rPr>
                <w:rFonts w:ascii="Times New Roman" w:hAnsi="Times New Roman" w:eastAsia="方正黑体_GBK" w:cs="Times New Roman"/>
                <w:szCs w:val="21"/>
              </w:rPr>
              <w:t>名称</w:t>
            </w: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Cs w:val="21"/>
              </w:rPr>
            </w:pPr>
            <w:r>
              <w:rPr>
                <w:rFonts w:ascii="Times New Roman" w:hAnsi="Times New Roman" w:eastAsia="方正黑体_GBK" w:cs="Times New Roman"/>
                <w:szCs w:val="21"/>
              </w:rPr>
              <w:t>结构</w:t>
            </w:r>
          </w:p>
        </w:tc>
        <w:tc>
          <w:tcPr>
            <w:tcW w:w="1035" w:type="dxa"/>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Cs w:val="21"/>
              </w:rPr>
            </w:pPr>
            <w:r>
              <w:rPr>
                <w:rFonts w:ascii="Times New Roman" w:hAnsi="Times New Roman" w:eastAsia="方正黑体_GBK" w:cs="Times New Roman"/>
                <w:szCs w:val="21"/>
              </w:rPr>
              <w:t>单位</w:t>
            </w: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Cs w:val="21"/>
              </w:rPr>
            </w:pPr>
            <w:r>
              <w:rPr>
                <w:rFonts w:ascii="Times New Roman" w:hAnsi="Times New Roman" w:eastAsia="方正黑体_GBK" w:cs="Times New Roman"/>
                <w:szCs w:val="21"/>
              </w:rPr>
              <w:t>补偿标准（元）</w:t>
            </w:r>
          </w:p>
        </w:tc>
        <w:tc>
          <w:tcPr>
            <w:tcW w:w="3285" w:type="dxa"/>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Cs w:val="21"/>
              </w:rPr>
            </w:pPr>
            <w:r>
              <w:rPr>
                <w:rFonts w:ascii="Times New Roman" w:hAnsi="Times New Roman" w:eastAsia="方正黑体_GBK"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386"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堡坎、围墙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（含鱼塘坎）</w:t>
            </w: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条石</w:t>
            </w:r>
          </w:p>
        </w:tc>
        <w:tc>
          <w:tcPr>
            <w:tcW w:w="1035"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米</w:t>
            </w: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180</w:t>
            </w:r>
          </w:p>
        </w:tc>
        <w:tc>
          <w:tcPr>
            <w:tcW w:w="3285"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政府投资建设、集体改田改土堡坎、承包地上的干打垒、房屋基础堡坎不予补偿。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1386"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片石</w:t>
            </w:r>
          </w:p>
        </w:tc>
        <w:tc>
          <w:tcPr>
            <w:tcW w:w="103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150</w:t>
            </w:r>
          </w:p>
        </w:tc>
        <w:tc>
          <w:tcPr>
            <w:tcW w:w="328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1386"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w:t>
            </w:r>
          </w:p>
        </w:tc>
        <w:tc>
          <w:tcPr>
            <w:tcW w:w="103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210</w:t>
            </w:r>
          </w:p>
        </w:tc>
        <w:tc>
          <w:tcPr>
            <w:tcW w:w="328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386"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土围墙</w:t>
            </w:r>
          </w:p>
        </w:tc>
        <w:tc>
          <w:tcPr>
            <w:tcW w:w="103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20</w:t>
            </w:r>
          </w:p>
        </w:tc>
        <w:tc>
          <w:tcPr>
            <w:tcW w:w="328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1386"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道路</w:t>
            </w: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水泥路面</w:t>
            </w:r>
          </w:p>
        </w:tc>
        <w:tc>
          <w:tcPr>
            <w:tcW w:w="1035"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米</w:t>
            </w: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100</w:t>
            </w:r>
          </w:p>
        </w:tc>
        <w:tc>
          <w:tcPr>
            <w:tcW w:w="3285"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政府投资的人行道路一律不予补偿；水泥路面厚度在10厘米以上按水泥路面补偿，低于10厘米按碎石泥结路面标准补偿。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jc w:val="center"/>
        </w:trPr>
        <w:tc>
          <w:tcPr>
            <w:tcW w:w="1386"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碎石泥结路面（含条石）</w:t>
            </w:r>
          </w:p>
        </w:tc>
        <w:tc>
          <w:tcPr>
            <w:tcW w:w="103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80</w:t>
            </w:r>
          </w:p>
        </w:tc>
        <w:tc>
          <w:tcPr>
            <w:tcW w:w="328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386"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简易路面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（含机耕道）</w:t>
            </w:r>
          </w:p>
        </w:tc>
        <w:tc>
          <w:tcPr>
            <w:tcW w:w="103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40</w:t>
            </w:r>
          </w:p>
        </w:tc>
        <w:tc>
          <w:tcPr>
            <w:tcW w:w="328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386"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水井</w:t>
            </w: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条石</w:t>
            </w:r>
          </w:p>
        </w:tc>
        <w:tc>
          <w:tcPr>
            <w:tcW w:w="1035"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立方米</w:t>
            </w: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100</w:t>
            </w:r>
          </w:p>
        </w:tc>
        <w:tc>
          <w:tcPr>
            <w:tcW w:w="3285"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水井按容积计算补偿后，一律不再计算材料偿。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1386"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水泥</w:t>
            </w:r>
          </w:p>
        </w:tc>
        <w:tc>
          <w:tcPr>
            <w:tcW w:w="103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90</w:t>
            </w:r>
          </w:p>
        </w:tc>
        <w:tc>
          <w:tcPr>
            <w:tcW w:w="328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1386"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简易</w:t>
            </w:r>
          </w:p>
        </w:tc>
        <w:tc>
          <w:tcPr>
            <w:tcW w:w="103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30</w:t>
            </w:r>
          </w:p>
        </w:tc>
        <w:tc>
          <w:tcPr>
            <w:tcW w:w="328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386"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机井</w:t>
            </w:r>
          </w:p>
        </w:tc>
        <w:tc>
          <w:tcPr>
            <w:tcW w:w="103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个</w:t>
            </w: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3000</w:t>
            </w:r>
          </w:p>
        </w:tc>
        <w:tc>
          <w:tcPr>
            <w:tcW w:w="328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386"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坟墓</w:t>
            </w: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单人(土、石)</w:t>
            </w:r>
          </w:p>
        </w:tc>
        <w:tc>
          <w:tcPr>
            <w:tcW w:w="1035"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座</w:t>
            </w: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4000</w:t>
            </w:r>
          </w:p>
        </w:tc>
        <w:tc>
          <w:tcPr>
            <w:tcW w:w="3285"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由征地实施机构公告坟主，按期迁葬，逾期不迁葬，按无坟主处理。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386"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双人（土、石）</w:t>
            </w:r>
          </w:p>
        </w:tc>
        <w:tc>
          <w:tcPr>
            <w:tcW w:w="103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4500</w:t>
            </w:r>
          </w:p>
        </w:tc>
        <w:tc>
          <w:tcPr>
            <w:tcW w:w="3285"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jc w:val="center"/>
        </w:trPr>
        <w:tc>
          <w:tcPr>
            <w:tcW w:w="1386"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地坝</w:t>
            </w:r>
          </w:p>
        </w:tc>
        <w:tc>
          <w:tcPr>
            <w:tcW w:w="1764"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石板</w:t>
            </w:r>
          </w:p>
        </w:tc>
        <w:tc>
          <w:tcPr>
            <w:tcW w:w="1035"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米</w:t>
            </w:r>
          </w:p>
        </w:tc>
        <w:tc>
          <w:tcPr>
            <w:tcW w:w="135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80</w:t>
            </w:r>
          </w:p>
        </w:tc>
        <w:tc>
          <w:tcPr>
            <w:tcW w:w="3285"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集体和个人修建的人行道路按地坝标准补偿。地坝：指正规成形的晒坝或院坝，非正规不成形的零星小块弃平地，不论是三合土地面或土质地面等，一律不计算补偿。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仿宋_GBK" w:cs="Times New Roman"/>
                <w:szCs w:val="21"/>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水泥</w:t>
            </w:r>
          </w:p>
        </w:tc>
        <w:tc>
          <w:tcPr>
            <w:tcW w:w="103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70</w:t>
            </w:r>
          </w:p>
        </w:tc>
        <w:tc>
          <w:tcPr>
            <w:tcW w:w="3285" w:type="dxa"/>
            <w:vMerge w:val="continue"/>
            <w:noWrap w:val="0"/>
            <w:vAlign w:val="center"/>
          </w:tcPr>
          <w:p>
            <w:pPr>
              <w:keepNext w:val="0"/>
              <w:keepLines w:val="0"/>
              <w:pageBreakBefore w:val="0"/>
              <w:kinsoku/>
              <w:wordWrap/>
              <w:overflowPunct/>
              <w:topLinePunct w:val="0"/>
              <w:bidi w:val="0"/>
              <w:spacing w:line="240" w:lineRule="auto"/>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仿宋_GBK" w:cs="Times New Roman"/>
                <w:szCs w:val="21"/>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三合土</w:t>
            </w:r>
          </w:p>
        </w:tc>
        <w:tc>
          <w:tcPr>
            <w:tcW w:w="103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50</w:t>
            </w:r>
          </w:p>
        </w:tc>
        <w:tc>
          <w:tcPr>
            <w:tcW w:w="3285" w:type="dxa"/>
            <w:vMerge w:val="continue"/>
            <w:noWrap w:val="0"/>
            <w:vAlign w:val="center"/>
          </w:tcPr>
          <w:p>
            <w:pPr>
              <w:keepNext w:val="0"/>
              <w:keepLines w:val="0"/>
              <w:pageBreakBefore w:val="0"/>
              <w:kinsoku/>
              <w:wordWrap/>
              <w:overflowPunct/>
              <w:topLinePunct w:val="0"/>
              <w:bidi w:val="0"/>
              <w:spacing w:line="240" w:lineRule="auto"/>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仿宋_GBK" w:cs="Times New Roman"/>
                <w:szCs w:val="21"/>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土</w:t>
            </w:r>
          </w:p>
        </w:tc>
        <w:tc>
          <w:tcPr>
            <w:tcW w:w="103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20</w:t>
            </w:r>
          </w:p>
        </w:tc>
        <w:tc>
          <w:tcPr>
            <w:tcW w:w="3285" w:type="dxa"/>
            <w:vMerge w:val="continue"/>
            <w:noWrap w:val="0"/>
            <w:vAlign w:val="center"/>
          </w:tcPr>
          <w:p>
            <w:pPr>
              <w:keepNext w:val="0"/>
              <w:keepLines w:val="0"/>
              <w:pageBreakBefore w:val="0"/>
              <w:kinsoku/>
              <w:wordWrap/>
              <w:overflowPunct/>
              <w:topLinePunct w:val="0"/>
              <w:bidi w:val="0"/>
              <w:spacing w:line="240" w:lineRule="auto"/>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1386"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粪池</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贮水池</w:t>
            </w: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条石、坚石硬打</w:t>
            </w:r>
          </w:p>
        </w:tc>
        <w:tc>
          <w:tcPr>
            <w:tcW w:w="1035"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立</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方</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米</w:t>
            </w: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90</w:t>
            </w:r>
          </w:p>
        </w:tc>
        <w:tc>
          <w:tcPr>
            <w:tcW w:w="3285"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按容积计算补偿。农民自建室内粪坑和燕窝形粪坑，一律不予补偿。已按标准补偿的粪池、贮水池，其材料费不再补偿。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三合土、水泥</w:t>
            </w:r>
          </w:p>
        </w:tc>
        <w:tc>
          <w:tcPr>
            <w:tcW w:w="103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70</w:t>
            </w:r>
          </w:p>
        </w:tc>
        <w:tc>
          <w:tcPr>
            <w:tcW w:w="328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土</w:t>
            </w:r>
          </w:p>
        </w:tc>
        <w:tc>
          <w:tcPr>
            <w:tcW w:w="103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20</w:t>
            </w:r>
          </w:p>
        </w:tc>
        <w:tc>
          <w:tcPr>
            <w:tcW w:w="328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9" w:hRule="atLeast"/>
          <w:jc w:val="center"/>
        </w:trPr>
        <w:tc>
          <w:tcPr>
            <w:tcW w:w="1386"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水渠</w:t>
            </w: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条石、砖砌</w:t>
            </w:r>
          </w:p>
        </w:tc>
        <w:tc>
          <w:tcPr>
            <w:tcW w:w="1035"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立</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方</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米</w:t>
            </w: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90</w:t>
            </w:r>
          </w:p>
        </w:tc>
        <w:tc>
          <w:tcPr>
            <w:tcW w:w="3285"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指村社人工砌筑的专用水渠。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片石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（砖、三合土）</w:t>
            </w:r>
          </w:p>
        </w:tc>
        <w:tc>
          <w:tcPr>
            <w:tcW w:w="103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60</w:t>
            </w:r>
          </w:p>
        </w:tc>
        <w:tc>
          <w:tcPr>
            <w:tcW w:w="328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jc w:val="center"/>
        </w:trPr>
        <w:tc>
          <w:tcPr>
            <w:tcW w:w="1386"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电杆</w:t>
            </w: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9米以上圆电杆</w:t>
            </w:r>
          </w:p>
        </w:tc>
        <w:tc>
          <w:tcPr>
            <w:tcW w:w="1035"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根</w:t>
            </w: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200</w:t>
            </w:r>
          </w:p>
        </w:tc>
        <w:tc>
          <w:tcPr>
            <w:tcW w:w="3285"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电杆、电线指镇以下集体、个人投资的。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水泥方电杆（含9米以下圆电杆）</w:t>
            </w:r>
          </w:p>
        </w:tc>
        <w:tc>
          <w:tcPr>
            <w:tcW w:w="103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100</w:t>
            </w:r>
          </w:p>
        </w:tc>
        <w:tc>
          <w:tcPr>
            <w:tcW w:w="328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 w:hRule="atLeast"/>
          <w:jc w:val="center"/>
        </w:trPr>
        <w:tc>
          <w:tcPr>
            <w:tcW w:w="1386"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电线</w:t>
            </w: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室外照明电线</w:t>
            </w:r>
          </w:p>
        </w:tc>
        <w:tc>
          <w:tcPr>
            <w:tcW w:w="1035"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米</w:t>
            </w: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w:t>
            </w:r>
          </w:p>
        </w:tc>
        <w:tc>
          <w:tcPr>
            <w:tcW w:w="328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动力电线</w:t>
            </w:r>
          </w:p>
        </w:tc>
        <w:tc>
          <w:tcPr>
            <w:tcW w:w="103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8</w:t>
            </w:r>
          </w:p>
        </w:tc>
        <w:tc>
          <w:tcPr>
            <w:tcW w:w="328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2" w:hRule="atLeast"/>
          <w:jc w:val="center"/>
        </w:trPr>
        <w:tc>
          <w:tcPr>
            <w:tcW w:w="1386"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水管</w:t>
            </w: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室外饮水管</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直径60毫米以下（含60毫米）</w:t>
            </w:r>
          </w:p>
        </w:tc>
        <w:tc>
          <w:tcPr>
            <w:tcW w:w="1035"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米</w:t>
            </w: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w:t>
            </w:r>
          </w:p>
        </w:tc>
        <w:tc>
          <w:tcPr>
            <w:tcW w:w="3285"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不含市政管网。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仿宋_GBK" w:cs="Times New Roman"/>
                <w:szCs w:val="21"/>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直径100毫米以下（含100毫米）</w:t>
            </w:r>
          </w:p>
        </w:tc>
        <w:tc>
          <w:tcPr>
            <w:tcW w:w="103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10</w:t>
            </w:r>
          </w:p>
        </w:tc>
        <w:tc>
          <w:tcPr>
            <w:tcW w:w="3285" w:type="dxa"/>
            <w:vMerge w:val="continue"/>
            <w:noWrap w:val="0"/>
            <w:vAlign w:val="center"/>
          </w:tcPr>
          <w:p>
            <w:pPr>
              <w:keepNext w:val="0"/>
              <w:keepLines w:val="0"/>
              <w:pageBreakBefore w:val="0"/>
              <w:kinsoku/>
              <w:wordWrap/>
              <w:overflowPunct/>
              <w:topLinePunct w:val="0"/>
              <w:bidi w:val="0"/>
              <w:spacing w:line="240" w:lineRule="auto"/>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仿宋_GBK" w:cs="Times New Roman"/>
                <w:szCs w:val="21"/>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直径200毫米以下（含200毫米）</w:t>
            </w:r>
          </w:p>
        </w:tc>
        <w:tc>
          <w:tcPr>
            <w:tcW w:w="103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20</w:t>
            </w:r>
          </w:p>
        </w:tc>
        <w:tc>
          <w:tcPr>
            <w:tcW w:w="3285" w:type="dxa"/>
            <w:vMerge w:val="continue"/>
            <w:noWrap w:val="0"/>
            <w:vAlign w:val="center"/>
          </w:tcPr>
          <w:p>
            <w:pPr>
              <w:keepNext w:val="0"/>
              <w:keepLines w:val="0"/>
              <w:pageBreakBefore w:val="0"/>
              <w:kinsoku/>
              <w:wordWrap/>
              <w:overflowPunct/>
              <w:topLinePunct w:val="0"/>
              <w:bidi w:val="0"/>
              <w:spacing w:line="240" w:lineRule="auto"/>
              <w:textAlignment w:val="auto"/>
              <w:rPr>
                <w:rFonts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直径300毫米以下（含300毫米）</w:t>
            </w:r>
          </w:p>
        </w:tc>
        <w:tc>
          <w:tcPr>
            <w:tcW w:w="103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30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328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直径300毫米以上</w:t>
            </w:r>
          </w:p>
        </w:tc>
        <w:tc>
          <w:tcPr>
            <w:tcW w:w="103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40</w:t>
            </w:r>
          </w:p>
        </w:tc>
        <w:tc>
          <w:tcPr>
            <w:tcW w:w="328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1386"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钢架、大棚</w:t>
            </w: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钢架薄膜</w:t>
            </w:r>
          </w:p>
        </w:tc>
        <w:tc>
          <w:tcPr>
            <w:tcW w:w="1035"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亩</w:t>
            </w: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8000</w:t>
            </w:r>
          </w:p>
        </w:tc>
        <w:tc>
          <w:tcPr>
            <w:tcW w:w="3285"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竹木薄膜</w:t>
            </w:r>
          </w:p>
        </w:tc>
        <w:tc>
          <w:tcPr>
            <w:tcW w:w="103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4000</w:t>
            </w:r>
          </w:p>
        </w:tc>
        <w:tc>
          <w:tcPr>
            <w:tcW w:w="3285"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86"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雨蓬</w:t>
            </w: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阳光棚</w:t>
            </w:r>
          </w:p>
        </w:tc>
        <w:tc>
          <w:tcPr>
            <w:tcW w:w="1035"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平方米</w:t>
            </w: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80</w:t>
            </w:r>
          </w:p>
        </w:tc>
        <w:tc>
          <w:tcPr>
            <w:tcW w:w="3285"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铝合金</w:t>
            </w:r>
          </w:p>
        </w:tc>
        <w:tc>
          <w:tcPr>
            <w:tcW w:w="1035"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平方米</w:t>
            </w: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90</w:t>
            </w:r>
          </w:p>
        </w:tc>
        <w:tc>
          <w:tcPr>
            <w:tcW w:w="3285"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86" w:type="dxa"/>
            <w:vMerge w:val="restart"/>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其它</w:t>
            </w: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室外灶</w:t>
            </w:r>
          </w:p>
        </w:tc>
        <w:tc>
          <w:tcPr>
            <w:tcW w:w="1035"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个</w:t>
            </w: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100</w:t>
            </w:r>
          </w:p>
        </w:tc>
        <w:tc>
          <w:tcPr>
            <w:tcW w:w="3285"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仿宋_GBK" w:cs="Times New Roman"/>
                <w:szCs w:val="21"/>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室外洗衣台</w:t>
            </w:r>
          </w:p>
        </w:tc>
        <w:tc>
          <w:tcPr>
            <w:tcW w:w="1035"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个</w:t>
            </w: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150</w:t>
            </w:r>
          </w:p>
        </w:tc>
        <w:tc>
          <w:tcPr>
            <w:tcW w:w="3285"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仿宋_GBK" w:cs="Times New Roman"/>
                <w:szCs w:val="21"/>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室外石桌</w:t>
            </w:r>
          </w:p>
        </w:tc>
        <w:tc>
          <w:tcPr>
            <w:tcW w:w="1035"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个</w:t>
            </w: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150</w:t>
            </w:r>
          </w:p>
        </w:tc>
        <w:tc>
          <w:tcPr>
            <w:tcW w:w="3285"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386" w:type="dxa"/>
            <w:vMerge w:val="continue"/>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仿宋_GBK" w:cs="Times New Roman"/>
                <w:szCs w:val="21"/>
              </w:rPr>
            </w:pPr>
          </w:p>
        </w:tc>
        <w:tc>
          <w:tcPr>
            <w:tcW w:w="1764"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室外水缸</w:t>
            </w:r>
          </w:p>
        </w:tc>
        <w:tc>
          <w:tcPr>
            <w:tcW w:w="1035"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个</w:t>
            </w:r>
          </w:p>
        </w:tc>
        <w:tc>
          <w:tcPr>
            <w:tcW w:w="135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150</w:t>
            </w:r>
          </w:p>
        </w:tc>
        <w:tc>
          <w:tcPr>
            <w:tcW w:w="3285"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bl>
    <w:p>
      <w:pPr>
        <w:pStyle w:val="13"/>
        <w:keepNext w:val="0"/>
        <w:keepLines w:val="0"/>
        <w:pageBreakBefore w:val="0"/>
        <w:kinsoku/>
        <w:wordWrap/>
        <w:overflowPunct/>
        <w:topLinePunct w:val="0"/>
        <w:bidi w:val="0"/>
        <w:spacing w:line="240" w:lineRule="auto"/>
        <w:ind w:firstLine="210" w:firstLineChars="100"/>
        <w:textAlignment w:val="auto"/>
        <w:rPr>
          <w:rFonts w:ascii="Times New Roman" w:hAnsi="Times New Roman" w:eastAsia="方正仿宋_GBK" w:cs="Times New Roman"/>
          <w:sz w:val="21"/>
          <w:szCs w:val="21"/>
        </w:rPr>
      </w:pPr>
      <w:r>
        <w:rPr>
          <w:rFonts w:ascii="Times New Roman" w:hAnsi="Times New Roman" w:eastAsia="方正仿宋_GBK" w:cs="Times New Roman"/>
          <w:sz w:val="21"/>
          <w:szCs w:val="21"/>
        </w:rPr>
        <w:t>说明：经补偿后的原构筑物由区征地实施机构处置。</w:t>
      </w:r>
    </w:p>
    <w:p>
      <w:pPr>
        <w:pStyle w:val="13"/>
        <w:keepNext w:val="0"/>
        <w:keepLines w:val="0"/>
        <w:pageBreakBefore w:val="0"/>
        <w:kinsoku/>
        <w:wordWrap/>
        <w:overflowPunct/>
        <w:topLinePunct w:val="0"/>
        <w:bidi w:val="0"/>
        <w:spacing w:line="240" w:lineRule="auto"/>
        <w:textAlignment w:val="auto"/>
        <w:rPr>
          <w:rFonts w:ascii="Times New Roman" w:hAnsi="Times New Roman" w:eastAsia="方正黑体_GBK" w:cs="Times New Roman"/>
          <w:sz w:val="32"/>
          <w:szCs w:val="32"/>
        </w:rPr>
      </w:pPr>
      <w:r>
        <w:rPr>
          <w:rFonts w:ascii="Times New Roman" w:hAnsi="Times New Roman" w:eastAsia="方正仿宋_GBK" w:cs="Times New Roman"/>
          <w:sz w:val="32"/>
          <w:szCs w:val="32"/>
        </w:rPr>
        <w:br w:type="page"/>
      </w:r>
      <w:r>
        <w:rPr>
          <w:rFonts w:hint="eastAsia" w:ascii="仿宋" w:hAnsi="仿宋" w:eastAsia="仿宋" w:cs="仿宋"/>
          <w:b w:val="0"/>
          <w:i w:val="0"/>
          <w:caps w:val="0"/>
          <w:color w:val="000000"/>
          <w:spacing w:val="0"/>
          <w:kern w:val="0"/>
          <w:sz w:val="31"/>
          <w:szCs w:val="31"/>
          <w:shd w:val="clear" w:fill="FFFFFF"/>
          <w:lang w:val="en-US" w:eastAsia="zh-CN" w:bidi="ar"/>
        </w:rPr>
        <w:t>附件7</w:t>
      </w:r>
    </w:p>
    <w:p>
      <w:pPr>
        <w:pStyle w:val="3"/>
        <w:keepNext w:val="0"/>
        <w:keepLines w:val="0"/>
        <w:pageBreakBefore w:val="0"/>
        <w:kinsoku/>
        <w:wordWrap/>
        <w:overflowPunct/>
        <w:topLinePunct w:val="0"/>
        <w:bidi w:val="0"/>
        <w:spacing w:line="240" w:lineRule="auto"/>
        <w:textAlignment w:val="auto"/>
      </w:pPr>
    </w:p>
    <w:p>
      <w:pPr>
        <w:keepNext w:val="0"/>
        <w:keepLines w:val="0"/>
        <w:pageBreakBefore w:val="0"/>
        <w:kinsoku/>
        <w:wordWrap/>
        <w:overflowPunct/>
        <w:topLinePunct w:val="0"/>
        <w:bidi w:val="0"/>
        <w:spacing w:line="240" w:lineRule="auto"/>
        <w:jc w:val="center"/>
        <w:textAlignment w:val="auto"/>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pPr>
      <w:r>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t>万盛经开区零星栽种树木花草补偿标准</w:t>
      </w:r>
    </w:p>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方正小标宋_GBK" w:cs="Times New Roman"/>
          <w:sz w:val="44"/>
          <w:szCs w:val="44"/>
        </w:rPr>
      </w:pP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160"/>
        <w:gridCol w:w="2274"/>
        <w:gridCol w:w="1485"/>
        <w:gridCol w:w="1011"/>
        <w:gridCol w:w="26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91" w:hRule="atLeast"/>
          <w:tblHeader/>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Cs w:val="21"/>
              </w:rPr>
            </w:pPr>
            <w:r>
              <w:rPr>
                <w:rFonts w:ascii="Times New Roman" w:hAnsi="Times New Roman" w:eastAsia="方正黑体_GBK" w:cs="Times New Roman"/>
                <w:szCs w:val="21"/>
              </w:rPr>
              <w:t>名称</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Cs w:val="21"/>
              </w:rPr>
            </w:pPr>
            <w:r>
              <w:rPr>
                <w:rFonts w:ascii="Times New Roman" w:hAnsi="Times New Roman" w:eastAsia="方正黑体_GBK" w:cs="Times New Roman"/>
                <w:szCs w:val="21"/>
              </w:rPr>
              <w:t>规格</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Cs w:val="21"/>
              </w:rPr>
            </w:pPr>
            <w:r>
              <w:rPr>
                <w:rFonts w:ascii="Times New Roman" w:hAnsi="Times New Roman" w:eastAsia="方正黑体_GBK" w:cs="Times New Roman"/>
                <w:szCs w:val="21"/>
              </w:rPr>
              <w:t>单位</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方正黑体_GBK" w:cs="Times New Roman"/>
                <w:szCs w:val="21"/>
              </w:rPr>
            </w:pPr>
            <w:r>
              <w:rPr>
                <w:rFonts w:ascii="Times New Roman" w:hAnsi="Times New Roman" w:eastAsia="方正黑体_GBK" w:cs="Times New Roman"/>
                <w:szCs w:val="21"/>
              </w:rPr>
              <w:t>补偿标准</w:t>
            </w:r>
          </w:p>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Cs w:val="21"/>
              </w:rPr>
            </w:pPr>
            <w:r>
              <w:rPr>
                <w:rFonts w:ascii="Times New Roman" w:hAnsi="Times New Roman" w:eastAsia="方正黑体_GBK" w:cs="Times New Roman"/>
                <w:szCs w:val="21"/>
              </w:rPr>
              <w:t>（元）</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Cs w:val="21"/>
              </w:rPr>
            </w:pPr>
            <w:r>
              <w:rPr>
                <w:rFonts w:ascii="Times New Roman" w:hAnsi="Times New Roman" w:eastAsia="方正黑体_GBK" w:cs="Times New Roman"/>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849" w:hRule="atLeas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果树</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移栽嫁接苗</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直径2—4厘米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（含2厘米，下同）</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直径4—7厘米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直径7—10厘米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直径10—13厘米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直径13—16厘米</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株</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40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60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80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130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200</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不分树种，直径以主干离地1米处量算（分叉处不足1米的，按分叉处主干量算）。直径16厘米以上，每增加2厘米增加补偿20元。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464" w:hRule="atLeas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香蕉</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（芭蕉）</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新栽未结果</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5—10株</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（含10株，下同）</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10—15株</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第一项以株为单位，二、三项以窝为单位</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60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70</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16株以上的，可酌情合并为相应规格计算。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葡萄</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新移栽苗</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直径1—2厘米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（含2厘米，下同）</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直径2—3厘米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直径3—4厘米</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株</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30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72</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120</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直径在4厘米以上的，每增加1厘米，增加补偿10元。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桑树</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直径2厘米以下</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（含2厘米，下同）</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直径2—5厘米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直径5—8厘米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直径8—10厘米</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株</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35</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直径10厘米以上每增加1厘米增加补偿5元。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杂树</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直径3厘米以下</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 xml:space="preserve"> （含3厘米，下同）</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直径3—5厘米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直径5—10厘米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直径10—15厘米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直径15—20厘米</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株</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30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45</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以主干离地面1.2米处为准，直径20厘米以上每增加1厘米，增加补偿5元。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758" w:hRule="atLeas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干果树</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直径5厘米以下</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 xml:space="preserve"> （含5厘米，下同）</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直径5—10厘米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直径10—15厘米</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株</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90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120</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包括核桃、板栗、棕树、油橄榄、皂角等，直径16厘米以上每增加1厘米增加补偿10元。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46" w:hRule="atLeas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慈竹杂竹等</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小笼（20根以下）</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大笼（21—40根）</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笼</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60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90</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 xml:space="preserve"> 40根以上的，可酌情合并为相应规格计算。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0" w:hRule="atLeas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楠竹</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直径5厘米以下</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 xml:space="preserve"> （含5厘米，下同）</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直径5—10厘米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直径10厘米以上</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根</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30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45</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离地1.2米处的直径为准。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984" w:hRule="atLeas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凤尾竹</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小窝（20—30根）</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大窝（30—50根）</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窝</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35</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20根以下，50根以上可酌情合并为相应规格计算。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867" w:hRule="atLeas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麻竹</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新移栽苗</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小窝（10根以下）</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大窝（10—20根）</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窝</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80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120</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20根以上的，可酌情合并为相应规格计算。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37" w:hRule="atLeas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万年青</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按窝计算</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窝</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0" w:hRule="atLeas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花木</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木本花</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草本花</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株</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盆栽花一律不予补偿。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0" w:hRule="atLeas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猕猴桃</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实生苗</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嫁接苗</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投产苗直径1-2厘米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（含2厘米，下同）</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投产苗直径2-4厘</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投产苗直径4厘米以上</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窝</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160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220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260</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实生苗属未嫁接；嫁接苗嫁接时间不到1年，未投产；投产苗直径以嫁接包与分叉处的中间部分量算，嫁接包以上未分叉的，在嫁接包往上10厘米处量算。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0" w:hRule="atLeas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花椒</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移栽嫁接苗</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直径1—2厘米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（含2厘米，下同）</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直径2—4厘米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直径4—6厘米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直径6厘米以上</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株</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85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135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150</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直径以主干离地1米处量算（分叉处不足1米的，按分叉处主干量算）。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50" w:hRule="atLeast"/>
          <w:jc w:val="center"/>
        </w:trPr>
        <w:tc>
          <w:tcPr>
            <w:tcW w:w="1160"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木瓜</w:t>
            </w:r>
          </w:p>
        </w:tc>
        <w:tc>
          <w:tcPr>
            <w:tcW w:w="227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移栽嫁接苗</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直径1—2厘米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（含2厘米，下同）</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直径2—4厘米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直径4—6厘米</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直径6厘米以上</w:t>
            </w:r>
          </w:p>
        </w:tc>
        <w:tc>
          <w:tcPr>
            <w:tcW w:w="148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株</w:t>
            </w:r>
          </w:p>
        </w:tc>
        <w:tc>
          <w:tcPr>
            <w:tcW w:w="101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45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90</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135</w:t>
            </w:r>
          </w:p>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150</w:t>
            </w:r>
          </w:p>
        </w:tc>
        <w:tc>
          <w:tcPr>
            <w:tcW w:w="2681"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直径以主干离地1米处量算（分叉处不足1米的，按分叉处主干量算）。</w:t>
            </w:r>
          </w:p>
        </w:tc>
      </w:tr>
    </w:tbl>
    <w:p>
      <w:pPr>
        <w:keepNext w:val="0"/>
        <w:keepLines w:val="0"/>
        <w:pageBreakBefore w:val="0"/>
        <w:kinsoku/>
        <w:wordWrap/>
        <w:overflowPunct/>
        <w:topLinePunct w:val="0"/>
        <w:bidi w:val="0"/>
        <w:spacing w:line="240" w:lineRule="auto"/>
        <w:ind w:firstLine="210" w:firstLineChars="100"/>
        <w:textAlignment w:val="auto"/>
        <w:rPr>
          <w:rFonts w:ascii="Times New Roman" w:hAnsi="Times New Roman" w:eastAsia="方正仿宋_GBK" w:cs="Times New Roman"/>
          <w:szCs w:val="21"/>
        </w:rPr>
      </w:pPr>
      <w:r>
        <w:rPr>
          <w:rFonts w:ascii="Times New Roman" w:hAnsi="Times New Roman" w:eastAsia="方正仿宋_GBK" w:cs="Times New Roman"/>
          <w:szCs w:val="21"/>
        </w:rPr>
        <w:t>说明：经补偿后的林木花草等由区征地实施机构处置。</w:t>
      </w:r>
    </w:p>
    <w:p>
      <w:pPr>
        <w:pStyle w:val="13"/>
        <w:keepNext w:val="0"/>
        <w:keepLines w:val="0"/>
        <w:pageBreakBefore w:val="0"/>
        <w:kinsoku/>
        <w:wordWrap/>
        <w:overflowPunct/>
        <w:topLinePunct w:val="0"/>
        <w:bidi w:val="0"/>
        <w:spacing w:line="240" w:lineRule="auto"/>
        <w:textAlignment w:val="auto"/>
        <w:rPr>
          <w:rFonts w:ascii="Times New Roman" w:hAnsi="Times New Roman" w:eastAsia="方正黑体_GBK" w:cs="Times New Roman"/>
          <w:sz w:val="32"/>
          <w:szCs w:val="32"/>
        </w:rPr>
      </w:pPr>
      <w:r>
        <w:rPr>
          <w:rFonts w:ascii="Times New Roman" w:hAnsi="Times New Roman" w:eastAsia="方正仿宋_GBK" w:cs="Times New Roman"/>
          <w:sz w:val="32"/>
          <w:szCs w:val="32"/>
        </w:rPr>
        <w:br w:type="page"/>
      </w:r>
      <w:r>
        <w:rPr>
          <w:rFonts w:hint="eastAsia" w:ascii="仿宋" w:hAnsi="仿宋" w:eastAsia="仿宋" w:cs="仿宋"/>
          <w:b w:val="0"/>
          <w:i w:val="0"/>
          <w:caps w:val="0"/>
          <w:color w:val="000000"/>
          <w:spacing w:val="0"/>
          <w:kern w:val="0"/>
          <w:sz w:val="31"/>
          <w:szCs w:val="31"/>
          <w:shd w:val="clear" w:fill="FFFFFF"/>
          <w:lang w:val="en-US" w:eastAsia="zh-CN" w:bidi="ar"/>
        </w:rPr>
        <w:t>附件8</w:t>
      </w:r>
    </w:p>
    <w:p>
      <w:pPr>
        <w:keepNext w:val="0"/>
        <w:keepLines w:val="0"/>
        <w:pageBreakBefore w:val="0"/>
        <w:kinsoku/>
        <w:wordWrap/>
        <w:overflowPunct/>
        <w:topLinePunct w:val="0"/>
        <w:bidi w:val="0"/>
        <w:spacing w:line="240" w:lineRule="auto"/>
        <w:jc w:val="center"/>
        <w:textAlignment w:val="auto"/>
        <w:rPr>
          <w:rFonts w:ascii="Times New Roman" w:hAnsi="Times New Roman" w:eastAsia="方正小标宋_GBK" w:cs="Times New Roman"/>
          <w:sz w:val="44"/>
          <w:szCs w:val="44"/>
        </w:rPr>
      </w:pPr>
    </w:p>
    <w:p>
      <w:pPr>
        <w:keepNext w:val="0"/>
        <w:keepLines w:val="0"/>
        <w:pageBreakBefore w:val="0"/>
        <w:kinsoku/>
        <w:wordWrap/>
        <w:overflowPunct/>
        <w:topLinePunct w:val="0"/>
        <w:bidi w:val="0"/>
        <w:spacing w:line="240" w:lineRule="auto"/>
        <w:jc w:val="center"/>
        <w:textAlignment w:val="auto"/>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pPr>
      <w:r>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t>万盛经开区林木补偿标准</w:t>
      </w:r>
    </w:p>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方正小标宋_GBK" w:cs="Times New Roman"/>
          <w:sz w:val="44"/>
          <w:szCs w:val="44"/>
        </w:rPr>
      </w:pPr>
    </w:p>
    <w:p>
      <w:pPr>
        <w:pStyle w:val="13"/>
        <w:keepNext w:val="0"/>
        <w:keepLines w:val="0"/>
        <w:pageBreakBefore w:val="0"/>
        <w:kinsoku/>
        <w:wordWrap/>
        <w:overflowPunct/>
        <w:topLinePunct w:val="0"/>
        <w:bidi w:val="0"/>
        <w:spacing w:line="240" w:lineRule="auto"/>
        <w:jc w:val="right"/>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hint="eastAsia" w:ascii="仿宋" w:hAnsi="仿宋" w:eastAsia="仿宋" w:cs="仿宋"/>
          <w:b w:val="0"/>
          <w:i w:val="0"/>
          <w:caps w:val="0"/>
          <w:color w:val="000000"/>
          <w:spacing w:val="0"/>
          <w:kern w:val="0"/>
          <w:sz w:val="31"/>
          <w:szCs w:val="31"/>
          <w:shd w:val="clear" w:fill="FFFFFF"/>
          <w:lang w:val="en-US" w:eastAsia="zh-CN" w:bidi="ar"/>
        </w:rPr>
        <w:t>单位:元/亩</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530" w:type="dxa"/>
            <w:noWrap w:val="0"/>
            <w:vAlign w:val="center"/>
          </w:tcPr>
          <w:p>
            <w:pPr>
              <w:pStyle w:val="13"/>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类别</w:t>
            </w:r>
          </w:p>
        </w:tc>
        <w:tc>
          <w:tcPr>
            <w:tcW w:w="4188" w:type="dxa"/>
            <w:noWrap w:val="0"/>
            <w:vAlign w:val="center"/>
          </w:tcPr>
          <w:p>
            <w:pPr>
              <w:pStyle w:val="13"/>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530"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林木</w:t>
            </w:r>
          </w:p>
        </w:tc>
        <w:tc>
          <w:tcPr>
            <w:tcW w:w="4188" w:type="dxa"/>
            <w:noWrap w:val="0"/>
            <w:vAlign w:val="center"/>
          </w:tcPr>
          <w:p>
            <w:pPr>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7000</w:t>
            </w:r>
          </w:p>
        </w:tc>
      </w:tr>
    </w:tbl>
    <w:p>
      <w:pPr>
        <w:keepNext w:val="0"/>
        <w:keepLines w:val="0"/>
        <w:pageBreakBefore w:val="0"/>
        <w:kinsoku/>
        <w:wordWrap/>
        <w:overflowPunct/>
        <w:topLinePunct w:val="0"/>
        <w:bidi w:val="0"/>
        <w:snapToGrid w:val="0"/>
        <w:spacing w:line="240" w:lineRule="auto"/>
        <w:jc w:val="center"/>
        <w:textAlignment w:val="auto"/>
        <w:rPr>
          <w:rFonts w:ascii="Times New Roman" w:hAnsi="Times New Roman" w:eastAsia="方正小标宋_GBK" w:cs="Times New Roman"/>
          <w:sz w:val="44"/>
          <w:szCs w:val="44"/>
        </w:rPr>
      </w:pPr>
    </w:p>
    <w:p>
      <w:pPr>
        <w:pStyle w:val="13"/>
        <w:keepNext w:val="0"/>
        <w:keepLines w:val="0"/>
        <w:pageBreakBefore w:val="0"/>
        <w:kinsoku/>
        <w:wordWrap/>
        <w:overflowPunct/>
        <w:topLinePunct w:val="0"/>
        <w:bidi w:val="0"/>
        <w:spacing w:line="240" w:lineRule="auto"/>
        <w:textAlignment w:val="auto"/>
        <w:rPr>
          <w:rFonts w:ascii="Times New Roman" w:hAnsi="Times New Roman" w:eastAsia="方正黑体_GBK" w:cs="Times New Roman"/>
          <w:sz w:val="32"/>
          <w:szCs w:val="32"/>
        </w:rPr>
      </w:pPr>
      <w:r>
        <w:rPr>
          <w:rFonts w:ascii="Times New Roman" w:hAnsi="Times New Roman" w:eastAsia="方正仿宋_GBK" w:cs="Times New Roman"/>
          <w:kern w:val="2"/>
          <w:szCs w:val="22"/>
        </w:rPr>
        <w:br w:type="page"/>
      </w:r>
      <w:r>
        <w:rPr>
          <w:rFonts w:hint="eastAsia" w:ascii="仿宋" w:hAnsi="仿宋" w:eastAsia="仿宋" w:cs="仿宋"/>
          <w:b w:val="0"/>
          <w:i w:val="0"/>
          <w:caps w:val="0"/>
          <w:color w:val="000000"/>
          <w:spacing w:val="0"/>
          <w:kern w:val="0"/>
          <w:sz w:val="31"/>
          <w:szCs w:val="31"/>
          <w:shd w:val="clear" w:fill="FFFFFF"/>
          <w:lang w:val="en-US" w:eastAsia="zh-CN" w:bidi="ar"/>
        </w:rPr>
        <w:t>附件9</w:t>
      </w:r>
    </w:p>
    <w:p>
      <w:pPr>
        <w:keepNext w:val="0"/>
        <w:keepLines w:val="0"/>
        <w:pageBreakBefore w:val="0"/>
        <w:kinsoku/>
        <w:wordWrap/>
        <w:overflowPunct/>
        <w:topLinePunct w:val="0"/>
        <w:bidi w:val="0"/>
        <w:spacing w:line="240" w:lineRule="auto"/>
        <w:jc w:val="center"/>
        <w:textAlignment w:val="auto"/>
        <w:rPr>
          <w:rFonts w:ascii="Times New Roman" w:hAnsi="Times New Roman" w:eastAsia="方正小标宋_GBK" w:cs="Times New Roman"/>
          <w:sz w:val="44"/>
          <w:szCs w:val="44"/>
        </w:rPr>
      </w:pPr>
    </w:p>
    <w:p>
      <w:pPr>
        <w:keepNext w:val="0"/>
        <w:keepLines w:val="0"/>
        <w:pageBreakBefore w:val="0"/>
        <w:kinsoku/>
        <w:wordWrap/>
        <w:overflowPunct/>
        <w:topLinePunct w:val="0"/>
        <w:bidi w:val="0"/>
        <w:spacing w:line="240" w:lineRule="auto"/>
        <w:jc w:val="center"/>
        <w:textAlignment w:val="auto"/>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pPr>
      <w:r>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t>万盛经开区畜禽搬迁补助标准</w:t>
      </w:r>
    </w:p>
    <w:p>
      <w:pPr>
        <w:keepNext w:val="0"/>
        <w:keepLines w:val="0"/>
        <w:pageBreakBefore w:val="0"/>
        <w:kinsoku/>
        <w:wordWrap/>
        <w:overflowPunct/>
        <w:topLinePunct w:val="0"/>
        <w:bidi w:val="0"/>
        <w:spacing w:line="240" w:lineRule="auto"/>
        <w:jc w:val="center"/>
        <w:textAlignment w:val="auto"/>
        <w:rPr>
          <w:rFonts w:hint="eastAsia" w:ascii="Times New Roman" w:hAnsi="Times New Roman" w:cs="Times New Roman"/>
        </w:rPr>
      </w:pPr>
    </w:p>
    <w:p>
      <w:pPr>
        <w:pStyle w:val="13"/>
        <w:keepNext w:val="0"/>
        <w:keepLines w:val="0"/>
        <w:pageBreakBefore w:val="0"/>
        <w:kinsoku/>
        <w:wordWrap/>
        <w:overflowPunct/>
        <w:topLinePunct w:val="0"/>
        <w:bidi w:val="0"/>
        <w:spacing w:line="240" w:lineRule="auto"/>
        <w:textAlignment w:val="auto"/>
        <w:rPr>
          <w:rFonts w:ascii="Times New Roman" w:hAnsi="Times New Roman" w:cs="Times New Roman"/>
        </w:rPr>
      </w:pPr>
      <w:r>
        <w:rPr>
          <w:rFonts w:ascii="Times New Roman" w:hAnsi="Times New Roman" w:cs="Times New Roman"/>
        </w:rPr>
        <w:t xml:space="preserve">                                              </w:t>
      </w:r>
      <w:r>
        <w:rPr>
          <w:rFonts w:ascii="Times New Roman" w:hAnsi="Times New Roman" w:eastAsia="方正仿宋_GBK" w:cs="Times New Roman"/>
          <w:sz w:val="30"/>
          <w:szCs w:val="30"/>
        </w:rPr>
        <w:t xml:space="preserve"> </w:t>
      </w:r>
      <w:r>
        <w:rPr>
          <w:rFonts w:hint="eastAsia" w:ascii="仿宋" w:hAnsi="仿宋" w:eastAsia="仿宋" w:cs="仿宋"/>
          <w:b w:val="0"/>
          <w:i w:val="0"/>
          <w:caps w:val="0"/>
          <w:color w:val="000000"/>
          <w:spacing w:val="0"/>
          <w:kern w:val="0"/>
          <w:sz w:val="31"/>
          <w:szCs w:val="31"/>
          <w:shd w:val="clear" w:fill="FFFFFF"/>
          <w:lang w:val="en-US" w:eastAsia="zh-CN" w:bidi="ar"/>
        </w:rPr>
        <w:t>单位：元/头、元/只</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545"/>
        <w:gridCol w:w="4020"/>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68" w:type="dxa"/>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28"/>
                <w:szCs w:val="28"/>
              </w:rPr>
            </w:pPr>
            <w:r>
              <w:rPr>
                <w:rFonts w:ascii="Times New Roman" w:hAnsi="Times New Roman" w:eastAsia="方正黑体_GBK" w:cs="Times New Roman"/>
                <w:sz w:val="28"/>
                <w:szCs w:val="28"/>
              </w:rPr>
              <w:t>畜禽类别</w:t>
            </w:r>
          </w:p>
        </w:tc>
        <w:tc>
          <w:tcPr>
            <w:tcW w:w="1545" w:type="dxa"/>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28"/>
                <w:szCs w:val="28"/>
              </w:rPr>
            </w:pPr>
            <w:r>
              <w:rPr>
                <w:rFonts w:ascii="Times New Roman" w:hAnsi="Times New Roman" w:eastAsia="方正黑体_GBK" w:cs="Times New Roman"/>
                <w:sz w:val="28"/>
                <w:szCs w:val="28"/>
              </w:rPr>
              <w:t>档次划分</w:t>
            </w:r>
          </w:p>
        </w:tc>
        <w:tc>
          <w:tcPr>
            <w:tcW w:w="4020" w:type="dxa"/>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28"/>
                <w:szCs w:val="28"/>
              </w:rPr>
            </w:pPr>
            <w:r>
              <w:rPr>
                <w:rFonts w:ascii="Times New Roman" w:hAnsi="Times New Roman" w:eastAsia="方正黑体_GBK" w:cs="Times New Roman"/>
                <w:sz w:val="28"/>
                <w:szCs w:val="28"/>
              </w:rPr>
              <w:t>档次划分标准</w:t>
            </w:r>
          </w:p>
        </w:tc>
        <w:tc>
          <w:tcPr>
            <w:tcW w:w="1626" w:type="dxa"/>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28"/>
                <w:szCs w:val="28"/>
              </w:rPr>
            </w:pPr>
            <w:r>
              <w:rPr>
                <w:rFonts w:ascii="Times New Roman" w:hAnsi="Times New Roman" w:eastAsia="方正黑体_GBK" w:cs="Times New Roman"/>
                <w:sz w:val="28"/>
                <w:szCs w:val="28"/>
              </w:rPr>
              <w:t>搬迁补助标准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68"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奶牛</w:t>
            </w: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经产奶牛</w:t>
            </w: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368"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青年奶牛</w:t>
            </w: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368"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犊奶牛</w:t>
            </w: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6月龄以下</w:t>
            </w: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68"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牛</w:t>
            </w: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成年牛</w:t>
            </w: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18月龄以上</w:t>
            </w: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368"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青年牛</w:t>
            </w: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6月龄至17月龄</w:t>
            </w: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368"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犊牛</w:t>
            </w: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6月龄以下</w:t>
            </w: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68"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羊</w:t>
            </w: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大羊</w:t>
            </w: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6周龄以上</w:t>
            </w: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368"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羔羊</w:t>
            </w: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6周龄以下</w:t>
            </w: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368"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种羊</w:t>
            </w: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已投入生产的公羊、母羊</w:t>
            </w: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68" w:type="dxa"/>
            <w:vMerge w:val="restart"/>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猪</w:t>
            </w: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种猪</w:t>
            </w: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已投入生产的公猪、母猪</w:t>
            </w: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368"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商品猪</w:t>
            </w: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7月龄以上（或180斤以上）</w:t>
            </w: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368"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架子猪</w:t>
            </w: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4-6月龄（50-180斤）</w:t>
            </w: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368" w:type="dxa"/>
            <w:vMerge w:val="continue"/>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仔猪</w:t>
            </w: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3月龄以下（50斤以下）</w:t>
            </w: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68"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鸡、鸭、鹅</w:t>
            </w:r>
          </w:p>
        </w:tc>
        <w:tc>
          <w:tcPr>
            <w:tcW w:w="1545"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402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1626"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20</w:t>
            </w:r>
          </w:p>
        </w:tc>
      </w:tr>
    </w:tbl>
    <w:p>
      <w:pPr>
        <w:pStyle w:val="13"/>
        <w:keepNext w:val="0"/>
        <w:keepLines w:val="0"/>
        <w:pageBreakBefore w:val="0"/>
        <w:kinsoku/>
        <w:wordWrap/>
        <w:overflowPunct/>
        <w:topLinePunct w:val="0"/>
        <w:bidi w:val="0"/>
        <w:spacing w:line="240" w:lineRule="auto"/>
        <w:textAlignment w:val="auto"/>
        <w:rPr>
          <w:rFonts w:ascii="Times New Roman" w:hAnsi="Times New Roman" w:cs="Times New Roman"/>
        </w:rPr>
      </w:pPr>
    </w:p>
    <w:p>
      <w:pPr>
        <w:pStyle w:val="13"/>
        <w:keepNext w:val="0"/>
        <w:keepLines w:val="0"/>
        <w:pageBreakBefore w:val="0"/>
        <w:kinsoku/>
        <w:wordWrap/>
        <w:overflowPunct/>
        <w:topLinePunct w:val="0"/>
        <w:bidi w:val="0"/>
        <w:spacing w:line="240" w:lineRule="auto"/>
        <w:textAlignment w:val="auto"/>
        <w:rPr>
          <w:rFonts w:ascii="Times New Roman" w:hAnsi="Times New Roman" w:eastAsia="方正黑体_GBK" w:cs="Times New Roman"/>
          <w:sz w:val="32"/>
          <w:szCs w:val="32"/>
        </w:rPr>
      </w:pPr>
      <w:r>
        <w:rPr>
          <w:rFonts w:ascii="Times New Roman" w:hAnsi="Times New Roman" w:cs="Times New Roman"/>
        </w:rPr>
        <w:br w:type="page"/>
      </w:r>
      <w:r>
        <w:rPr>
          <w:rFonts w:hint="eastAsia" w:ascii="仿宋" w:hAnsi="仿宋" w:eastAsia="仿宋" w:cs="仿宋"/>
          <w:b w:val="0"/>
          <w:i w:val="0"/>
          <w:caps w:val="0"/>
          <w:color w:val="000000"/>
          <w:spacing w:val="0"/>
          <w:kern w:val="0"/>
          <w:sz w:val="31"/>
          <w:szCs w:val="31"/>
          <w:shd w:val="clear" w:fill="FFFFFF"/>
          <w:lang w:val="en-US" w:eastAsia="zh-CN" w:bidi="ar"/>
        </w:rPr>
        <w:t>附件10</w:t>
      </w:r>
    </w:p>
    <w:p>
      <w:pPr>
        <w:keepNext w:val="0"/>
        <w:keepLines w:val="0"/>
        <w:pageBreakBefore w:val="0"/>
        <w:kinsoku/>
        <w:wordWrap/>
        <w:overflowPunct/>
        <w:topLinePunct w:val="0"/>
        <w:bidi w:val="0"/>
        <w:spacing w:line="240" w:lineRule="auto"/>
        <w:jc w:val="center"/>
        <w:textAlignment w:val="auto"/>
        <w:rPr>
          <w:rFonts w:ascii="Times New Roman" w:hAnsi="Times New Roman" w:eastAsia="方正小标宋_GBK" w:cs="Times New Roman"/>
          <w:sz w:val="44"/>
          <w:szCs w:val="44"/>
        </w:rPr>
      </w:pPr>
    </w:p>
    <w:p>
      <w:pPr>
        <w:keepNext w:val="0"/>
        <w:keepLines w:val="0"/>
        <w:pageBreakBefore w:val="0"/>
        <w:kinsoku/>
        <w:wordWrap/>
        <w:overflowPunct/>
        <w:topLinePunct w:val="0"/>
        <w:bidi w:val="0"/>
        <w:spacing w:line="240" w:lineRule="auto"/>
        <w:jc w:val="center"/>
        <w:textAlignment w:val="auto"/>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pPr>
      <w:r>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t>万盛经开区住房货币安置价格标准</w:t>
      </w:r>
    </w:p>
    <w:p>
      <w:pPr>
        <w:keepNext w:val="0"/>
        <w:keepLines w:val="0"/>
        <w:pageBreakBefore w:val="0"/>
        <w:kinsoku/>
        <w:wordWrap/>
        <w:overflowPunct/>
        <w:topLinePunct w:val="0"/>
        <w:bidi w:val="0"/>
        <w:spacing w:line="240" w:lineRule="auto"/>
        <w:jc w:val="center"/>
        <w:textAlignment w:val="auto"/>
        <w:rPr>
          <w:rFonts w:hint="eastAsia" w:ascii="Times New Roman" w:hAnsi="Times New Roman" w:eastAsia="方正小标宋_GBK" w:cs="Times New Roman"/>
          <w:sz w:val="44"/>
          <w:szCs w:val="44"/>
        </w:rPr>
      </w:pPr>
    </w:p>
    <w:p>
      <w:pPr>
        <w:pStyle w:val="5"/>
        <w:keepNext w:val="0"/>
        <w:keepLines w:val="0"/>
        <w:pageBreakBefore w:val="0"/>
        <w:kinsoku/>
        <w:wordWrap/>
        <w:overflowPunct/>
        <w:topLinePunct w:val="0"/>
        <w:bidi w:val="0"/>
        <w:spacing w:line="240" w:lineRule="auto"/>
        <w:jc w:val="center"/>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ascii="Times New Roman" w:hAnsi="Times New Roman" w:eastAsia="方正小标宋_GBK" w:cs="Times New Roman"/>
          <w:sz w:val="44"/>
          <w:szCs w:val="44"/>
        </w:rPr>
        <w:t xml:space="preserve">                       </w:t>
      </w:r>
      <w:r>
        <w:rPr>
          <w:rFonts w:hint="eastAsia" w:ascii="Times New Roman" w:hAnsi="Times New Roman" w:eastAsia="方正小标宋_GBK" w:cs="Times New Roman"/>
          <w:sz w:val="44"/>
          <w:szCs w:val="44"/>
        </w:rPr>
        <w:t xml:space="preserve">   </w:t>
      </w:r>
      <w:r>
        <w:rPr>
          <w:rFonts w:ascii="Times New Roman" w:hAnsi="Times New Roman" w:eastAsia="方正小标宋_GBK" w:cs="Times New Roman"/>
          <w:sz w:val="44"/>
          <w:szCs w:val="44"/>
        </w:rPr>
        <w:t xml:space="preserve"> </w:t>
      </w:r>
      <w:r>
        <w:rPr>
          <w:rFonts w:hint="eastAsia" w:ascii="仿宋" w:hAnsi="仿宋" w:eastAsia="仿宋" w:cs="仿宋"/>
          <w:b w:val="0"/>
          <w:i w:val="0"/>
          <w:caps w:val="0"/>
          <w:color w:val="000000"/>
          <w:spacing w:val="0"/>
          <w:kern w:val="0"/>
          <w:sz w:val="31"/>
          <w:szCs w:val="31"/>
          <w:shd w:val="clear" w:fill="FFFFFF"/>
          <w:lang w:val="en-US" w:eastAsia="zh-CN" w:bidi="ar"/>
        </w:rPr>
        <w:t>单位：元/平方米</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0" w:type="dxa"/>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范围</w:t>
            </w:r>
          </w:p>
        </w:tc>
        <w:tc>
          <w:tcPr>
            <w:tcW w:w="4188" w:type="dxa"/>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万东镇</w:t>
            </w:r>
          </w:p>
        </w:tc>
        <w:tc>
          <w:tcPr>
            <w:tcW w:w="4188"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南桐镇</w:t>
            </w:r>
          </w:p>
        </w:tc>
        <w:tc>
          <w:tcPr>
            <w:tcW w:w="4188"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关坝镇</w:t>
            </w:r>
          </w:p>
        </w:tc>
        <w:tc>
          <w:tcPr>
            <w:tcW w:w="4188"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青年镇</w:t>
            </w:r>
          </w:p>
        </w:tc>
        <w:tc>
          <w:tcPr>
            <w:tcW w:w="4188"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丛林镇</w:t>
            </w:r>
          </w:p>
        </w:tc>
        <w:tc>
          <w:tcPr>
            <w:tcW w:w="4188"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金桥镇</w:t>
            </w:r>
          </w:p>
        </w:tc>
        <w:tc>
          <w:tcPr>
            <w:tcW w:w="4188"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石林镇</w:t>
            </w:r>
          </w:p>
        </w:tc>
        <w:tc>
          <w:tcPr>
            <w:tcW w:w="4188"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0"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黑山镇</w:t>
            </w:r>
          </w:p>
        </w:tc>
        <w:tc>
          <w:tcPr>
            <w:tcW w:w="4188" w:type="dxa"/>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2400</w:t>
            </w:r>
          </w:p>
        </w:tc>
      </w:tr>
    </w:tbl>
    <w:p>
      <w:pPr>
        <w:pStyle w:val="13"/>
        <w:keepNext w:val="0"/>
        <w:keepLines w:val="0"/>
        <w:pageBreakBefore w:val="0"/>
        <w:kinsoku/>
        <w:wordWrap/>
        <w:overflowPunct/>
        <w:topLinePunct w:val="0"/>
        <w:bidi w:val="0"/>
        <w:spacing w:line="240" w:lineRule="auto"/>
        <w:textAlignment w:val="auto"/>
        <w:rPr>
          <w:rFonts w:ascii="Times New Roman" w:hAnsi="Times New Roman" w:eastAsia="方正仿宋_GBK" w:cs="Times New Roman"/>
          <w:sz w:val="32"/>
          <w:szCs w:val="32"/>
        </w:rPr>
      </w:pPr>
    </w:p>
    <w:p>
      <w:pPr>
        <w:pStyle w:val="13"/>
        <w:keepNext w:val="0"/>
        <w:keepLines w:val="0"/>
        <w:pageBreakBefore w:val="0"/>
        <w:kinsoku/>
        <w:wordWrap/>
        <w:overflowPunct/>
        <w:topLinePunct w:val="0"/>
        <w:bidi w:val="0"/>
        <w:spacing w:line="240" w:lineRule="auto"/>
        <w:textAlignment w:val="auto"/>
        <w:rPr>
          <w:rFonts w:hint="eastAsia" w:ascii="Times New Roman" w:hAnsi="Times New Roman" w:eastAsia="方正仿宋_GBK" w:cs="Times New Roman"/>
          <w:sz w:val="32"/>
          <w:szCs w:val="32"/>
        </w:rPr>
      </w:pPr>
    </w:p>
    <w:p>
      <w:pPr>
        <w:pStyle w:val="3"/>
        <w:keepNext w:val="0"/>
        <w:keepLines w:val="0"/>
        <w:pageBreakBefore w:val="0"/>
        <w:kinsoku/>
        <w:wordWrap/>
        <w:overflowPunct/>
        <w:topLinePunct w:val="0"/>
        <w:bidi w:val="0"/>
        <w:spacing w:line="240" w:lineRule="auto"/>
        <w:textAlignment w:val="auto"/>
        <w:rPr>
          <w:rFonts w:hint="eastAsia"/>
        </w:rPr>
      </w:pPr>
    </w:p>
    <w:p>
      <w:pPr>
        <w:keepNext w:val="0"/>
        <w:keepLines w:val="0"/>
        <w:pageBreakBefore w:val="0"/>
        <w:kinsoku/>
        <w:wordWrap/>
        <w:overflowPunct/>
        <w:topLinePunct w:val="0"/>
        <w:bidi w:val="0"/>
        <w:spacing w:line="240" w:lineRule="auto"/>
        <w:textAlignment w:val="auto"/>
        <w:rPr>
          <w:rFonts w:hint="eastAsia"/>
        </w:rPr>
      </w:pPr>
    </w:p>
    <w:p>
      <w:pPr>
        <w:keepNext w:val="0"/>
        <w:keepLines w:val="0"/>
        <w:pageBreakBefore w:val="0"/>
        <w:kinsoku/>
        <w:wordWrap/>
        <w:overflowPunct/>
        <w:topLinePunct w:val="0"/>
        <w:bidi w:val="0"/>
        <w:spacing w:line="240" w:lineRule="auto"/>
        <w:textAlignment w:val="auto"/>
        <w:rPr>
          <w:rFonts w:hint="eastAsia"/>
        </w:rPr>
      </w:pPr>
    </w:p>
    <w:p>
      <w:pPr>
        <w:keepNext w:val="0"/>
        <w:keepLines w:val="0"/>
        <w:pageBreakBefore w:val="0"/>
        <w:kinsoku/>
        <w:wordWrap/>
        <w:overflowPunct/>
        <w:topLinePunct w:val="0"/>
        <w:bidi w:val="0"/>
        <w:spacing w:line="240" w:lineRule="auto"/>
        <w:textAlignment w:val="auto"/>
        <w:rPr>
          <w:rFonts w:hint="eastAsia"/>
        </w:rPr>
      </w:pPr>
    </w:p>
    <w:p>
      <w:pPr>
        <w:keepNext w:val="0"/>
        <w:keepLines w:val="0"/>
        <w:pageBreakBefore w:val="0"/>
        <w:kinsoku/>
        <w:wordWrap/>
        <w:overflowPunct/>
        <w:topLinePunct w:val="0"/>
        <w:bidi w:val="0"/>
        <w:spacing w:line="240" w:lineRule="auto"/>
        <w:textAlignment w:val="auto"/>
        <w:rPr>
          <w:rFonts w:hint="eastAsia"/>
        </w:rPr>
      </w:pPr>
    </w:p>
    <w:p>
      <w:pPr>
        <w:keepNext w:val="0"/>
        <w:keepLines w:val="0"/>
        <w:pageBreakBefore w:val="0"/>
        <w:kinsoku/>
        <w:wordWrap/>
        <w:overflowPunct/>
        <w:topLinePunct w:val="0"/>
        <w:bidi w:val="0"/>
        <w:spacing w:line="240" w:lineRule="auto"/>
        <w:textAlignment w:val="auto"/>
        <w:rPr>
          <w:rFonts w:hint="eastAsia"/>
        </w:rPr>
      </w:pPr>
    </w:p>
    <w:p>
      <w:pPr>
        <w:pStyle w:val="13"/>
        <w:keepNext w:val="0"/>
        <w:keepLines w:val="0"/>
        <w:pageBreakBefore w:val="0"/>
        <w:kinsoku/>
        <w:wordWrap/>
        <w:overflowPunct/>
        <w:topLinePunct w:val="0"/>
        <w:bidi w:val="0"/>
        <w:spacing w:line="240" w:lineRule="auto"/>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Times New Roman" w:hAnsi="Times New Roman" w:eastAsia="方正小标宋_GBK" w:cs="Times New Roman"/>
          <w:sz w:val="44"/>
          <w:szCs w:val="44"/>
        </w:rPr>
      </w:pPr>
    </w:p>
    <w:p>
      <w:pPr>
        <w:keepNext w:val="0"/>
        <w:keepLines w:val="0"/>
        <w:pageBreakBefore w:val="0"/>
        <w:kinsoku/>
        <w:wordWrap/>
        <w:overflowPunct/>
        <w:topLinePunct w:val="0"/>
        <w:bidi w:val="0"/>
        <w:spacing w:line="240" w:lineRule="auto"/>
        <w:jc w:val="center"/>
        <w:textAlignment w:val="auto"/>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pPr>
      <w:r>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t>万盛经开区合法房屋残值补助标准</w:t>
      </w:r>
    </w:p>
    <w:p>
      <w:pPr>
        <w:keepNext w:val="0"/>
        <w:keepLines w:val="0"/>
        <w:pageBreakBefore w:val="0"/>
        <w:kinsoku/>
        <w:wordWrap/>
        <w:overflowPunct/>
        <w:topLinePunct w:val="0"/>
        <w:bidi w:val="0"/>
        <w:spacing w:line="240" w:lineRule="auto"/>
        <w:jc w:val="center"/>
        <w:textAlignment w:val="auto"/>
        <w:rPr>
          <w:rFonts w:hint="eastAsia" w:ascii="方正小标宋_GBK" w:hAnsi="方正小标宋_GBK" w:eastAsia="方正小标宋_GBK" w:cs="方正小标宋_GBK"/>
          <w:b w:val="0"/>
          <w:i w:val="0"/>
          <w:caps w:val="0"/>
          <w:color w:val="000000"/>
          <w:spacing w:val="0"/>
          <w:kern w:val="0"/>
          <w:sz w:val="36"/>
          <w:szCs w:val="36"/>
          <w:shd w:val="clear" w:fill="FFFFFF"/>
          <w:lang w:val="en-US" w:eastAsia="zh-CN" w:bidi="ar"/>
        </w:rPr>
      </w:pPr>
    </w:p>
    <w:p>
      <w:pPr>
        <w:keepNext w:val="0"/>
        <w:keepLines w:val="0"/>
        <w:pageBreakBefore w:val="0"/>
        <w:kinsoku/>
        <w:wordWrap/>
        <w:overflowPunct/>
        <w:topLinePunct w:val="0"/>
        <w:bidi w:val="0"/>
        <w:spacing w:line="240" w:lineRule="auto"/>
        <w:ind w:right="592"/>
        <w:jc w:val="center"/>
        <w:textAlignment w:val="auto"/>
        <w:rPr>
          <w:rFonts w:hint="eastAsia" w:ascii="仿宋" w:hAnsi="仿宋" w:eastAsia="仿宋" w:cs="仿宋"/>
          <w:b w:val="0"/>
          <w:i w:val="0"/>
          <w:caps w:val="0"/>
          <w:color w:val="000000"/>
          <w:spacing w:val="0"/>
          <w:kern w:val="0"/>
          <w:sz w:val="31"/>
          <w:szCs w:val="31"/>
          <w:shd w:val="clear" w:fill="FFFFFF"/>
          <w:lang w:val="en-US" w:eastAsia="zh-CN" w:bidi="ar"/>
        </w:rPr>
      </w:pPr>
      <w:r>
        <w:rPr>
          <w:rFonts w:ascii="Times New Roman" w:hAnsi="Times New Roman" w:eastAsia="方正仿宋_GBK" w:cs="Times New Roman"/>
          <w:color w:val="000000"/>
          <w:sz w:val="30"/>
          <w:szCs w:val="30"/>
        </w:rPr>
        <w:t xml:space="preserve">                                </w:t>
      </w:r>
      <w:r>
        <w:rPr>
          <w:rFonts w:hint="eastAsia" w:ascii="仿宋" w:hAnsi="仿宋" w:eastAsia="仿宋" w:cs="仿宋"/>
          <w:b w:val="0"/>
          <w:i w:val="0"/>
          <w:caps w:val="0"/>
          <w:color w:val="000000"/>
          <w:spacing w:val="0"/>
          <w:kern w:val="0"/>
          <w:sz w:val="31"/>
          <w:szCs w:val="31"/>
          <w:shd w:val="clear" w:fill="FFFFFF"/>
          <w:lang w:val="en-US" w:eastAsia="zh-CN" w:bidi="ar"/>
        </w:rPr>
        <w:t>单位：元/平方米</w:t>
      </w:r>
    </w:p>
    <w:tbl>
      <w:tblPr>
        <w:tblStyle w:val="9"/>
        <w:tblW w:w="0" w:type="auto"/>
        <w:tblInd w:w="0" w:type="dxa"/>
        <w:tblLayout w:type="fixed"/>
        <w:tblCellMar>
          <w:top w:w="0" w:type="dxa"/>
          <w:left w:w="0" w:type="dxa"/>
          <w:bottom w:w="0" w:type="dxa"/>
          <w:right w:w="0" w:type="dxa"/>
        </w:tblCellMar>
      </w:tblPr>
      <w:tblGrid>
        <w:gridCol w:w="1975"/>
        <w:gridCol w:w="4114"/>
        <w:gridCol w:w="2575"/>
      </w:tblGrid>
      <w:tr>
        <w:tblPrEx>
          <w:tblCellMar>
            <w:top w:w="0" w:type="dxa"/>
            <w:left w:w="0" w:type="dxa"/>
            <w:bottom w:w="0" w:type="dxa"/>
            <w:right w:w="0" w:type="dxa"/>
          </w:tblCellMar>
        </w:tblPrEx>
        <w:trPr>
          <w:cantSplit/>
          <w:trHeight w:val="780" w:hRule="atLeast"/>
        </w:trPr>
        <w:tc>
          <w:tcPr>
            <w:tcW w:w="1975"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30"/>
                <w:szCs w:val="30"/>
              </w:rPr>
            </w:pPr>
            <w:r>
              <w:rPr>
                <w:rFonts w:ascii="Times New Roman" w:hAnsi="Times New Roman" w:eastAsia="方正黑体_GBK" w:cs="Times New Roman"/>
                <w:sz w:val="30"/>
                <w:szCs w:val="30"/>
              </w:rPr>
              <w:t>结构类别</w:t>
            </w:r>
          </w:p>
        </w:tc>
        <w:tc>
          <w:tcPr>
            <w:tcW w:w="4114"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30"/>
                <w:szCs w:val="30"/>
              </w:rPr>
            </w:pPr>
            <w:r>
              <w:rPr>
                <w:rFonts w:ascii="Times New Roman" w:hAnsi="Times New Roman" w:eastAsia="方正黑体_GBK" w:cs="Times New Roman"/>
                <w:sz w:val="30"/>
                <w:szCs w:val="30"/>
              </w:rPr>
              <w:t>房屋结构</w:t>
            </w:r>
          </w:p>
        </w:tc>
        <w:tc>
          <w:tcPr>
            <w:tcW w:w="257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jc w:val="center"/>
              <w:textAlignment w:val="auto"/>
              <w:rPr>
                <w:rFonts w:ascii="Times New Roman" w:hAnsi="Times New Roman" w:eastAsia="方正黑体_GBK" w:cs="Times New Roman"/>
                <w:sz w:val="30"/>
                <w:szCs w:val="30"/>
              </w:rPr>
            </w:pPr>
            <w:r>
              <w:rPr>
                <w:rFonts w:ascii="Times New Roman" w:hAnsi="Times New Roman" w:eastAsia="方正黑体_GBK" w:cs="Times New Roman"/>
                <w:sz w:val="30"/>
                <w:szCs w:val="30"/>
              </w:rPr>
              <w:t>补助标准</w:t>
            </w:r>
          </w:p>
        </w:tc>
      </w:tr>
      <w:tr>
        <w:tblPrEx>
          <w:tblCellMar>
            <w:top w:w="0" w:type="dxa"/>
            <w:left w:w="0" w:type="dxa"/>
            <w:bottom w:w="0" w:type="dxa"/>
            <w:right w:w="0" w:type="dxa"/>
          </w:tblCellMar>
        </w:tblPrEx>
        <w:trPr>
          <w:cantSplit/>
          <w:trHeight w:val="699" w:hRule="atLeast"/>
        </w:trPr>
        <w:tc>
          <w:tcPr>
            <w:tcW w:w="1975" w:type="dxa"/>
            <w:tcBorders>
              <w:top w:val="nil"/>
              <w:left w:val="single" w:color="auto" w:sz="4" w:space="0"/>
              <w:bottom w:val="single" w:color="000000"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钢砼结构</w:t>
            </w:r>
          </w:p>
        </w:tc>
        <w:tc>
          <w:tcPr>
            <w:tcW w:w="4114"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框架（剪力墙）现浇盖</w:t>
            </w:r>
          </w:p>
        </w:tc>
        <w:tc>
          <w:tcPr>
            <w:tcW w:w="257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40</w:t>
            </w:r>
          </w:p>
        </w:tc>
      </w:tr>
      <w:tr>
        <w:tblPrEx>
          <w:tblCellMar>
            <w:top w:w="0" w:type="dxa"/>
            <w:left w:w="0" w:type="dxa"/>
            <w:bottom w:w="0" w:type="dxa"/>
            <w:right w:w="0" w:type="dxa"/>
          </w:tblCellMar>
        </w:tblPrEx>
        <w:trPr>
          <w:cantSplit/>
          <w:trHeight w:val="699" w:hRule="atLeast"/>
        </w:trPr>
        <w:tc>
          <w:tcPr>
            <w:tcW w:w="1975" w:type="dxa"/>
            <w:tcBorders>
              <w:top w:val="nil"/>
              <w:left w:val="single" w:color="auto" w:sz="4" w:space="0"/>
              <w:bottom w:val="single" w:color="000000"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砖混结构</w:t>
            </w:r>
          </w:p>
        </w:tc>
        <w:tc>
          <w:tcPr>
            <w:tcW w:w="4114"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砖墙（条石）预制盖</w:t>
            </w:r>
          </w:p>
        </w:tc>
        <w:tc>
          <w:tcPr>
            <w:tcW w:w="257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30</w:t>
            </w:r>
          </w:p>
        </w:tc>
      </w:tr>
      <w:tr>
        <w:tblPrEx>
          <w:tblCellMar>
            <w:top w:w="0" w:type="dxa"/>
            <w:left w:w="0" w:type="dxa"/>
            <w:bottom w:w="0" w:type="dxa"/>
            <w:right w:w="0" w:type="dxa"/>
          </w:tblCellMar>
        </w:tblPrEx>
        <w:trPr>
          <w:cantSplit/>
          <w:trHeight w:val="561" w:hRule="atLeast"/>
        </w:trPr>
        <w:tc>
          <w:tcPr>
            <w:tcW w:w="1975"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砖木结构</w:t>
            </w:r>
          </w:p>
        </w:tc>
        <w:tc>
          <w:tcPr>
            <w:tcW w:w="4114" w:type="dxa"/>
            <w:tcBorders>
              <w:top w:val="single" w:color="auto" w:sz="4" w:space="0"/>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砖墙（木板）穿逗瓦盖</w:t>
            </w:r>
          </w:p>
        </w:tc>
        <w:tc>
          <w:tcPr>
            <w:tcW w:w="257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26</w:t>
            </w:r>
          </w:p>
        </w:tc>
      </w:tr>
      <w:tr>
        <w:trPr>
          <w:cantSplit/>
          <w:trHeight w:val="284" w:hRule="atLeast"/>
        </w:trPr>
        <w:tc>
          <w:tcPr>
            <w:tcW w:w="1975" w:type="dxa"/>
            <w:vMerge w:val="continue"/>
            <w:tcBorders>
              <w:left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4114"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砖墙（片石）瓦盖</w:t>
            </w:r>
          </w:p>
        </w:tc>
        <w:tc>
          <w:tcPr>
            <w:tcW w:w="257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25</w:t>
            </w:r>
          </w:p>
        </w:tc>
      </w:tr>
      <w:tr>
        <w:tblPrEx>
          <w:tblCellMar>
            <w:top w:w="0" w:type="dxa"/>
            <w:left w:w="0" w:type="dxa"/>
            <w:bottom w:w="0" w:type="dxa"/>
            <w:right w:w="0" w:type="dxa"/>
          </w:tblCellMar>
        </w:tblPrEx>
        <w:trPr>
          <w:cantSplit/>
          <w:trHeight w:val="540" w:hRule="atLeast"/>
        </w:trPr>
        <w:tc>
          <w:tcPr>
            <w:tcW w:w="1975" w:type="dxa"/>
            <w:vMerge w:val="continue"/>
            <w:tcBorders>
              <w:left w:val="single" w:color="auto" w:sz="4" w:space="0"/>
              <w:bottom w:val="single" w:color="000000"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4114"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砖墙石棉瓦盖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（油毡、玻纤瓦、彩钢盖）</w:t>
            </w:r>
          </w:p>
        </w:tc>
        <w:tc>
          <w:tcPr>
            <w:tcW w:w="257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23</w:t>
            </w:r>
          </w:p>
        </w:tc>
      </w:tr>
      <w:tr>
        <w:trPr>
          <w:cantSplit/>
          <w:trHeight w:val="659" w:hRule="atLeast"/>
        </w:trPr>
        <w:tc>
          <w:tcPr>
            <w:tcW w:w="1975" w:type="dxa"/>
            <w:vMerge w:val="restart"/>
            <w:tcBorders>
              <w:top w:val="nil"/>
              <w:left w:val="single" w:color="auto" w:sz="4" w:space="0"/>
              <w:bottom w:val="single" w:color="000000"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土墙结构</w:t>
            </w:r>
          </w:p>
        </w:tc>
        <w:tc>
          <w:tcPr>
            <w:tcW w:w="4114"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穿逗、土墙瓦盖</w:t>
            </w:r>
          </w:p>
        </w:tc>
        <w:tc>
          <w:tcPr>
            <w:tcW w:w="257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22</w:t>
            </w:r>
          </w:p>
        </w:tc>
      </w:tr>
      <w:tr>
        <w:trPr>
          <w:cantSplit/>
          <w:trHeight w:val="567" w:hRule="atLeast"/>
        </w:trPr>
        <w:tc>
          <w:tcPr>
            <w:tcW w:w="1975" w:type="dxa"/>
            <w:vMerge w:val="continue"/>
            <w:tcBorders>
              <w:top w:val="nil"/>
              <w:left w:val="single" w:color="auto" w:sz="4" w:space="0"/>
              <w:bottom w:val="single" w:color="000000"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4114"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石棉瓦、玻纤瓦盖</w:t>
            </w:r>
          </w:p>
        </w:tc>
        <w:tc>
          <w:tcPr>
            <w:tcW w:w="257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21</w:t>
            </w:r>
          </w:p>
        </w:tc>
      </w:tr>
      <w:tr>
        <w:tblPrEx>
          <w:tblCellMar>
            <w:top w:w="0" w:type="dxa"/>
            <w:left w:w="0" w:type="dxa"/>
            <w:bottom w:w="0" w:type="dxa"/>
            <w:right w:w="0" w:type="dxa"/>
          </w:tblCellMar>
        </w:tblPrEx>
        <w:trPr>
          <w:cantSplit/>
          <w:trHeight w:val="569" w:hRule="atLeast"/>
        </w:trPr>
        <w:tc>
          <w:tcPr>
            <w:tcW w:w="1975" w:type="dxa"/>
            <w:vMerge w:val="restart"/>
            <w:tcBorders>
              <w:top w:val="nil"/>
              <w:left w:val="single" w:color="auto" w:sz="4" w:space="0"/>
              <w:bottom w:val="single" w:color="000000"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简易结构</w:t>
            </w:r>
          </w:p>
        </w:tc>
        <w:tc>
          <w:tcPr>
            <w:tcW w:w="4114"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砖柱（石柱、木柱、钢柱）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石棉瓦盖（油毡、玻纤瓦、彩钢盖）</w:t>
            </w:r>
          </w:p>
        </w:tc>
        <w:tc>
          <w:tcPr>
            <w:tcW w:w="257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17</w:t>
            </w:r>
          </w:p>
        </w:tc>
      </w:tr>
      <w:tr>
        <w:trPr>
          <w:cantSplit/>
          <w:trHeight w:val="557" w:hRule="atLeast"/>
        </w:trPr>
        <w:tc>
          <w:tcPr>
            <w:tcW w:w="1975" w:type="dxa"/>
            <w:vMerge w:val="continue"/>
            <w:tcBorders>
              <w:top w:val="nil"/>
              <w:left w:val="single" w:color="auto" w:sz="4" w:space="0"/>
              <w:bottom w:val="single" w:color="000000"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p>
        </w:tc>
        <w:tc>
          <w:tcPr>
            <w:tcW w:w="4114" w:type="dxa"/>
            <w:tcBorders>
              <w:top w:val="nil"/>
              <w:left w:val="nil"/>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简易棚房</w:t>
            </w:r>
          </w:p>
        </w:tc>
        <w:tc>
          <w:tcPr>
            <w:tcW w:w="2575" w:type="dxa"/>
            <w:tcBorders>
              <w:top w:val="single" w:color="auto" w:sz="4" w:space="0"/>
              <w:bottom w:val="single" w:color="auto" w:sz="4" w:space="0"/>
              <w:right w:val="single" w:color="auto" w:sz="4" w:space="0"/>
            </w:tcBorders>
            <w:noWrap w:val="0"/>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rPr>
              <w:t>10</w:t>
            </w:r>
          </w:p>
        </w:tc>
      </w:tr>
    </w:tbl>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240" w:lineRule="auto"/>
        <w:ind w:left="0" w:right="0" w:firstLine="420" w:firstLineChars="200"/>
        <w:textAlignment w:val="auto"/>
        <w:rPr>
          <w:rFonts w:hint="eastAsia" w:ascii="方正仿宋_GBK" w:hAnsi="方正仿宋_GBK" w:eastAsia="方正仿宋_GBK" w:cs="方正仿宋_GBK"/>
          <w:i w:val="0"/>
          <w:caps w:val="0"/>
          <w:color w:val="000000"/>
          <w:spacing w:val="0"/>
          <w:sz w:val="21"/>
          <w:szCs w:val="2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魏碑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260"/>
        <w:tab w:val="clear" w:pos="4153"/>
      </w:tabs>
      <w:wordWrap w:val="0"/>
      <w:ind w:left="1264" w:leftChars="602" w:firstLine="9916" w:firstLineChars="3099"/>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重庆市万盛经济技术开发区管理委员会办公室发布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60288;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重庆市万盛经济技术开发区管理委员会规范性文件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B679C3"/>
    <w:rsid w:val="05F07036"/>
    <w:rsid w:val="06E00104"/>
    <w:rsid w:val="080F63D8"/>
    <w:rsid w:val="09341458"/>
    <w:rsid w:val="098254C2"/>
    <w:rsid w:val="0A766EDE"/>
    <w:rsid w:val="0AD64BE8"/>
    <w:rsid w:val="0B0912D7"/>
    <w:rsid w:val="0E025194"/>
    <w:rsid w:val="0F705A5C"/>
    <w:rsid w:val="152D2DCA"/>
    <w:rsid w:val="16A2433B"/>
    <w:rsid w:val="187168EA"/>
    <w:rsid w:val="19594DFC"/>
    <w:rsid w:val="196673CA"/>
    <w:rsid w:val="1CF734C9"/>
    <w:rsid w:val="1DEC284C"/>
    <w:rsid w:val="1E4E59B9"/>
    <w:rsid w:val="1E6523AC"/>
    <w:rsid w:val="1EB30E15"/>
    <w:rsid w:val="22440422"/>
    <w:rsid w:val="22BB4BBB"/>
    <w:rsid w:val="2AEB3417"/>
    <w:rsid w:val="31A15F24"/>
    <w:rsid w:val="36FB1DF0"/>
    <w:rsid w:val="395347B5"/>
    <w:rsid w:val="39A232A0"/>
    <w:rsid w:val="39E745AA"/>
    <w:rsid w:val="3B5A6BBB"/>
    <w:rsid w:val="3EDA13A6"/>
    <w:rsid w:val="416C61EA"/>
    <w:rsid w:val="417B75E9"/>
    <w:rsid w:val="42F058B7"/>
    <w:rsid w:val="436109F6"/>
    <w:rsid w:val="441A38D4"/>
    <w:rsid w:val="4504239D"/>
    <w:rsid w:val="48684670"/>
    <w:rsid w:val="48AD41B2"/>
    <w:rsid w:val="4BC77339"/>
    <w:rsid w:val="4C004D64"/>
    <w:rsid w:val="4C9236C5"/>
    <w:rsid w:val="4E250A85"/>
    <w:rsid w:val="4FFD4925"/>
    <w:rsid w:val="505C172E"/>
    <w:rsid w:val="506405EA"/>
    <w:rsid w:val="52F46F0B"/>
    <w:rsid w:val="532B6A10"/>
    <w:rsid w:val="53D8014D"/>
    <w:rsid w:val="55E064E0"/>
    <w:rsid w:val="572C6D10"/>
    <w:rsid w:val="595866AD"/>
    <w:rsid w:val="5DC34279"/>
    <w:rsid w:val="5FCD688E"/>
    <w:rsid w:val="5FF9BDAA"/>
    <w:rsid w:val="608816D1"/>
    <w:rsid w:val="60EF4E7F"/>
    <w:rsid w:val="648B0A32"/>
    <w:rsid w:val="665233C1"/>
    <w:rsid w:val="69AC0D42"/>
    <w:rsid w:val="69AE7C10"/>
    <w:rsid w:val="6AD9688B"/>
    <w:rsid w:val="6D0E3F22"/>
    <w:rsid w:val="744E4660"/>
    <w:rsid w:val="753355A2"/>
    <w:rsid w:val="759F1C61"/>
    <w:rsid w:val="75A75EC4"/>
    <w:rsid w:val="769F2DE8"/>
    <w:rsid w:val="76FDEB7C"/>
    <w:rsid w:val="79C65162"/>
    <w:rsid w:val="7C9011D9"/>
    <w:rsid w:val="7DC651C5"/>
    <w:rsid w:val="7EB970A4"/>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annotation text"/>
    <w:basedOn w:val="1"/>
    <w:qFormat/>
    <w:uiPriority w:val="0"/>
    <w:pPr>
      <w:jc w:val="left"/>
    </w:pPr>
  </w:style>
  <w:style w:type="paragraph" w:styleId="5">
    <w:name w:val="Body Text"/>
    <w:basedOn w:val="1"/>
    <w:next w:val="1"/>
    <w:qFormat/>
    <w:uiPriority w:val="0"/>
    <w:pPr>
      <w:spacing w:after="120" w:afterLines="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Default"/>
    <w:next w:val="3"/>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9926</Words>
  <Characters>10399</Characters>
  <Lines>1</Lines>
  <Paragraphs>1</Paragraphs>
  <TotalTime>11</TotalTime>
  <ScaleCrop>false</ScaleCrop>
  <LinksUpToDate>false</LinksUpToDate>
  <CharactersWithSpaces>10721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2022-06-08T08:48:10Z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