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E0537">
      <w:pPr>
        <w:ind w:firstLine="0" w:firstLineChars="0"/>
        <w:jc w:val="center"/>
      </w:pPr>
    </w:p>
    <w:p w14:paraId="6236EBA2">
      <w:pPr>
        <w:ind w:firstLine="0" w:firstLineChars="0"/>
        <w:jc w:val="center"/>
      </w:pPr>
    </w:p>
    <w:p w14:paraId="4D4B1248">
      <w:pPr>
        <w:ind w:firstLine="0" w:firstLineChars="0"/>
        <w:jc w:val="center"/>
      </w:pPr>
    </w:p>
    <w:p w14:paraId="3CA7FB83">
      <w:pPr>
        <w:spacing w:line="640" w:lineRule="exact"/>
        <w:ind w:firstLine="0" w:firstLineChars="0"/>
        <w:jc w:val="center"/>
        <w:rPr>
          <w:rFonts w:hint="eastAsia" w:ascii="方正小标宋_GBK" w:hAnsi="方正黑体_GBK" w:eastAsia="方正小标宋_GBK"/>
          <w:spacing w:val="-10"/>
          <w:sz w:val="44"/>
          <w:szCs w:val="44"/>
        </w:rPr>
      </w:pPr>
      <w:bookmarkStart w:id="0" w:name="_Hlk92700286"/>
      <w:r>
        <w:rPr>
          <w:rFonts w:hint="eastAsia" w:ascii="方正小标宋_GBK" w:hAnsi="方正黑体_GBK" w:eastAsia="方正小标宋_GBK"/>
          <w:spacing w:val="-10"/>
          <w:sz w:val="44"/>
          <w:szCs w:val="44"/>
        </w:rPr>
        <w:t>重庆市万盛经开区巩固拓展脱贫攻坚成果</w:t>
      </w:r>
    </w:p>
    <w:p w14:paraId="045D52C8">
      <w:pPr>
        <w:spacing w:line="640" w:lineRule="exact"/>
        <w:ind w:firstLine="0" w:firstLineChars="0"/>
        <w:jc w:val="center"/>
        <w:rPr>
          <w:rFonts w:ascii="方正小标宋_GBK" w:hAnsi="方正黑体_GBK" w:eastAsia="方正小标宋_GBK"/>
          <w:spacing w:val="-10"/>
          <w:sz w:val="44"/>
          <w:szCs w:val="44"/>
        </w:rPr>
      </w:pPr>
      <w:r>
        <w:rPr>
          <w:rFonts w:hint="eastAsia" w:ascii="方正小标宋_GBK" w:hAnsi="方正黑体_GBK" w:eastAsia="方正小标宋_GBK"/>
          <w:spacing w:val="-10"/>
          <w:sz w:val="44"/>
          <w:szCs w:val="44"/>
        </w:rPr>
        <w:t>同乡村振兴有效衔接“十四五”规划</w:t>
      </w:r>
    </w:p>
    <w:p w14:paraId="122F4A14">
      <w:pPr>
        <w:spacing w:line="240" w:lineRule="auto"/>
        <w:ind w:firstLine="0" w:firstLineChars="0"/>
        <w:jc w:val="center"/>
        <w:rPr>
          <w:sz w:val="36"/>
          <w:szCs w:val="36"/>
        </w:rPr>
      </w:pPr>
      <w:r>
        <w:rPr>
          <w:sz w:val="36"/>
          <w:szCs w:val="36"/>
        </w:rPr>
        <w:t>（2021—2025年）</w:t>
      </w:r>
    </w:p>
    <w:bookmarkEnd w:id="0"/>
    <w:p w14:paraId="05034BEC">
      <w:pPr>
        <w:ind w:firstLine="0" w:firstLineChars="0"/>
        <w:jc w:val="center"/>
      </w:pPr>
    </w:p>
    <w:p w14:paraId="4D96A13C">
      <w:pPr>
        <w:ind w:firstLine="0" w:firstLineChars="0"/>
        <w:jc w:val="center"/>
      </w:pPr>
    </w:p>
    <w:p w14:paraId="06AED591">
      <w:pPr>
        <w:ind w:firstLine="0" w:firstLineChars="0"/>
        <w:jc w:val="center"/>
      </w:pPr>
    </w:p>
    <w:p w14:paraId="6F77F6AD">
      <w:pPr>
        <w:ind w:firstLine="0" w:firstLineChars="0"/>
        <w:jc w:val="center"/>
      </w:pPr>
    </w:p>
    <w:p w14:paraId="195B4112">
      <w:pPr>
        <w:ind w:firstLine="0" w:firstLineChars="0"/>
        <w:jc w:val="center"/>
      </w:pPr>
    </w:p>
    <w:p w14:paraId="3996F10C">
      <w:pPr>
        <w:ind w:firstLine="0" w:firstLineChars="0"/>
        <w:jc w:val="center"/>
      </w:pPr>
    </w:p>
    <w:p w14:paraId="0C170FFA">
      <w:pPr>
        <w:ind w:firstLine="0" w:firstLineChars="0"/>
        <w:jc w:val="center"/>
      </w:pPr>
    </w:p>
    <w:p w14:paraId="6FA593F9">
      <w:pPr>
        <w:ind w:firstLine="0" w:firstLineChars="0"/>
        <w:jc w:val="center"/>
      </w:pPr>
    </w:p>
    <w:p w14:paraId="7346891A">
      <w:pPr>
        <w:ind w:firstLine="0" w:firstLineChars="0"/>
        <w:jc w:val="center"/>
      </w:pPr>
    </w:p>
    <w:p w14:paraId="19151B84">
      <w:pPr>
        <w:ind w:firstLine="0" w:firstLineChars="0"/>
        <w:jc w:val="center"/>
      </w:pPr>
    </w:p>
    <w:p w14:paraId="74FC274F">
      <w:pPr>
        <w:ind w:firstLine="0" w:firstLineChars="0"/>
        <w:jc w:val="center"/>
      </w:pPr>
    </w:p>
    <w:p w14:paraId="22076FB8">
      <w:pPr>
        <w:ind w:firstLine="0" w:firstLineChars="0"/>
        <w:jc w:val="center"/>
      </w:pPr>
    </w:p>
    <w:p w14:paraId="133C3715">
      <w:pPr>
        <w:ind w:firstLine="0" w:firstLineChars="0"/>
        <w:jc w:val="center"/>
      </w:pPr>
    </w:p>
    <w:p w14:paraId="3456D208">
      <w:pPr>
        <w:ind w:firstLine="0" w:firstLineChars="0"/>
        <w:jc w:val="center"/>
        <w:rPr>
          <w:rFonts w:ascii="方正黑体_GBK" w:eastAsia="方正黑体_GBK"/>
        </w:rPr>
      </w:pPr>
      <w:r>
        <w:rPr>
          <w:rFonts w:hint="eastAsia" w:ascii="方正黑体_GBK" w:eastAsia="方正黑体_GBK"/>
        </w:rPr>
        <w:t>二O二二年</w:t>
      </w:r>
      <w:r>
        <w:rPr>
          <w:rFonts w:hint="eastAsia" w:ascii="方正黑体_GBK" w:eastAsia="方正黑体_GBK"/>
          <w:lang w:eastAsia="zh-CN"/>
        </w:rPr>
        <w:t>四</w:t>
      </w:r>
      <w:r>
        <w:rPr>
          <w:rFonts w:hint="eastAsia" w:ascii="方正黑体_GBK" w:eastAsia="方正黑体_GBK"/>
        </w:rPr>
        <w:t>月</w:t>
      </w:r>
    </w:p>
    <w:p w14:paraId="3DAB7C46">
      <w:pPr>
        <w:pStyle w:val="13"/>
        <w:ind w:firstLine="400"/>
      </w:pPr>
    </w:p>
    <w:p w14:paraId="4ED1C58C">
      <w:pPr>
        <w:ind w:firstLine="64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043A4560">
      <w:pPr>
        <w:pStyle w:val="13"/>
        <w:ind w:firstLine="0" w:firstLineChars="0"/>
        <w:jc w:val="center"/>
        <w:rPr>
          <w:rFonts w:eastAsia="方正黑体_GBK"/>
          <w:sz w:val="36"/>
          <w:szCs w:val="36"/>
        </w:rPr>
      </w:pPr>
      <w:r>
        <w:rPr>
          <w:rFonts w:hint="eastAsia" w:eastAsia="方正黑体_GBK"/>
          <w:sz w:val="36"/>
          <w:szCs w:val="36"/>
        </w:rPr>
        <w:t>目 录</w:t>
      </w:r>
    </w:p>
    <w:p w14:paraId="76DA50F7">
      <w:pPr>
        <w:pStyle w:val="13"/>
        <w:tabs>
          <w:tab w:val="right" w:leader="dot" w:pos="8296"/>
        </w:tabs>
        <w:ind w:firstLine="0" w:firstLineChars="0"/>
        <w:rPr>
          <w:rFonts w:ascii="Times New Roman" w:eastAsia="方正仿宋_GBK"/>
          <w:b w:val="0"/>
          <w:bCs w:val="0"/>
          <w:caps w:val="0"/>
          <w:sz w:val="32"/>
          <w:szCs w:val="32"/>
        </w:rPr>
      </w:pPr>
      <w:bookmarkStart w:id="1" w:name="_Toc59055027"/>
      <w:bookmarkStart w:id="2" w:name="_Toc59055024"/>
      <w:r>
        <w:rPr>
          <w:rFonts w:ascii="Times New Roman" w:eastAsia="方正仿宋_GBK"/>
          <w:sz w:val="32"/>
          <w:szCs w:val="32"/>
        </w:rPr>
        <w:fldChar w:fldCharType="begin"/>
      </w:r>
      <w:r>
        <w:rPr>
          <w:rFonts w:ascii="Times New Roman" w:eastAsia="方正仿宋_GBK"/>
          <w:sz w:val="32"/>
          <w:szCs w:val="32"/>
        </w:rPr>
        <w:instrText xml:space="preserve"> TOC \o "1-3" \h \z \u </w:instrText>
      </w:r>
      <w:r>
        <w:rPr>
          <w:rFonts w:ascii="Times New Roman" w:eastAsia="方正仿宋_GBK"/>
          <w:sz w:val="32"/>
          <w:szCs w:val="32"/>
        </w:rPr>
        <w:fldChar w:fldCharType="separate"/>
      </w:r>
      <w:r>
        <w:fldChar w:fldCharType="begin"/>
      </w:r>
      <w:r>
        <w:instrText xml:space="preserve">HYPERLINK  \l "_Toc98403148" </w:instrText>
      </w:r>
      <w:r>
        <w:fldChar w:fldCharType="separate"/>
      </w:r>
      <w:r>
        <w:rPr>
          <w:rStyle w:val="25"/>
          <w:rFonts w:ascii="Times New Roman" w:eastAsia="方正仿宋_GBK"/>
          <w:sz w:val="32"/>
          <w:szCs w:val="32"/>
        </w:rPr>
        <w:t>第一章  工作基础和环境</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_Toc98403148 \h </w:instrText>
      </w:r>
      <w:r>
        <w:rPr>
          <w:rFonts w:ascii="Times New Roman" w:eastAsia="方正仿宋_GBK"/>
          <w:sz w:val="32"/>
          <w:szCs w:val="32"/>
        </w:rPr>
        <w:fldChar w:fldCharType="separate"/>
      </w:r>
      <w:r>
        <w:rPr>
          <w:rFonts w:ascii="Times New Roman" w:eastAsia="方正仿宋_GBK"/>
          <w:sz w:val="32"/>
          <w:szCs w:val="32"/>
        </w:rPr>
        <w:t>1</w:t>
      </w:r>
      <w:r>
        <w:rPr>
          <w:rFonts w:ascii="Times New Roman" w:eastAsia="方正仿宋_GBK"/>
          <w:sz w:val="32"/>
          <w:szCs w:val="32"/>
        </w:rPr>
        <w:fldChar w:fldCharType="end"/>
      </w:r>
      <w:r>
        <w:fldChar w:fldCharType="end"/>
      </w:r>
    </w:p>
    <w:p w14:paraId="474153E6">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"_Toc98403149" </w:instrText>
      </w:r>
      <w:r>
        <w:fldChar w:fldCharType="separate"/>
      </w:r>
      <w:r>
        <w:rPr>
          <w:rStyle w:val="25"/>
          <w:rFonts w:ascii="Times New Roman" w:eastAsia="方正仿宋_GBK"/>
          <w:sz w:val="32"/>
          <w:szCs w:val="32"/>
        </w:rPr>
        <w:t>第一节  工作基础</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_Toc98403149 \h </w:instrText>
      </w:r>
      <w:r>
        <w:rPr>
          <w:rFonts w:ascii="Times New Roman" w:eastAsia="方正仿宋_GBK"/>
          <w:sz w:val="32"/>
          <w:szCs w:val="32"/>
        </w:rPr>
        <w:fldChar w:fldCharType="separate"/>
      </w:r>
      <w:r>
        <w:rPr>
          <w:rFonts w:ascii="Times New Roman" w:eastAsia="方正仿宋_GBK"/>
          <w:sz w:val="32"/>
          <w:szCs w:val="32"/>
        </w:rPr>
        <w:t>1</w:t>
      </w:r>
      <w:r>
        <w:rPr>
          <w:rFonts w:ascii="Times New Roman" w:eastAsia="方正仿宋_GBK"/>
          <w:sz w:val="32"/>
          <w:szCs w:val="32"/>
        </w:rPr>
        <w:fldChar w:fldCharType="end"/>
      </w:r>
      <w:r>
        <w:fldChar w:fldCharType="end"/>
      </w:r>
    </w:p>
    <w:p w14:paraId="77A4A230">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"_Toc98403150" </w:instrText>
      </w:r>
      <w:r>
        <w:fldChar w:fldCharType="separate"/>
      </w:r>
      <w:r>
        <w:rPr>
          <w:rStyle w:val="25"/>
          <w:rFonts w:ascii="Times New Roman" w:eastAsia="方正仿宋_GBK"/>
          <w:sz w:val="32"/>
          <w:szCs w:val="32"/>
        </w:rPr>
        <w:t>第二节  形势环境</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_Toc98403150 \h </w:instrText>
      </w:r>
      <w:r>
        <w:rPr>
          <w:rFonts w:ascii="Times New Roman" w:eastAsia="方正仿宋_GBK"/>
          <w:sz w:val="32"/>
          <w:szCs w:val="32"/>
        </w:rPr>
        <w:fldChar w:fldCharType="separate"/>
      </w:r>
      <w:r>
        <w:rPr>
          <w:rFonts w:ascii="Times New Roman" w:eastAsia="方正仿宋_GBK"/>
          <w:sz w:val="32"/>
          <w:szCs w:val="32"/>
        </w:rPr>
        <w:t>4</w:t>
      </w:r>
      <w:r>
        <w:rPr>
          <w:rFonts w:ascii="Times New Roman" w:eastAsia="方正仿宋_GBK"/>
          <w:sz w:val="32"/>
          <w:szCs w:val="32"/>
        </w:rPr>
        <w:fldChar w:fldCharType="end"/>
      </w:r>
      <w:r>
        <w:fldChar w:fldCharType="end"/>
      </w:r>
    </w:p>
    <w:p w14:paraId="675EAB1D">
      <w:pPr>
        <w:pStyle w:val="13"/>
        <w:tabs>
          <w:tab w:val="right" w:leader="dot" w:pos="8296"/>
        </w:tabs>
        <w:ind w:firstLine="0" w:firstLineChars="0"/>
        <w:rPr>
          <w:rFonts w:ascii="Times New Roman" w:eastAsia="方正仿宋_GBK"/>
          <w:b w:val="0"/>
          <w:bCs w:val="0"/>
          <w:caps w:val="0"/>
          <w:sz w:val="32"/>
          <w:szCs w:val="32"/>
        </w:rPr>
      </w:pPr>
      <w:r>
        <w:fldChar w:fldCharType="begin"/>
      </w:r>
      <w:r>
        <w:instrText xml:space="preserve">HYPERLINK  \l "_Toc98403151" </w:instrText>
      </w:r>
      <w:r>
        <w:fldChar w:fldCharType="separate"/>
      </w:r>
      <w:r>
        <w:rPr>
          <w:rStyle w:val="25"/>
          <w:rFonts w:ascii="Times New Roman" w:eastAsia="方正仿宋_GBK"/>
          <w:sz w:val="32"/>
          <w:szCs w:val="32"/>
        </w:rPr>
        <w:t>第二章  总体要求</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_Toc98403151 \h </w:instrText>
      </w:r>
      <w:r>
        <w:rPr>
          <w:rFonts w:ascii="Times New Roman" w:eastAsia="方正仿宋_GBK"/>
          <w:sz w:val="32"/>
          <w:szCs w:val="32"/>
        </w:rPr>
        <w:fldChar w:fldCharType="separate"/>
      </w:r>
      <w:r>
        <w:rPr>
          <w:rFonts w:ascii="Times New Roman" w:eastAsia="方正仿宋_GBK"/>
          <w:sz w:val="32"/>
          <w:szCs w:val="32"/>
        </w:rPr>
        <w:t>7</w:t>
      </w:r>
      <w:r>
        <w:rPr>
          <w:rFonts w:ascii="Times New Roman" w:eastAsia="方正仿宋_GBK"/>
          <w:sz w:val="32"/>
          <w:szCs w:val="32"/>
        </w:rPr>
        <w:fldChar w:fldCharType="end"/>
      </w:r>
      <w:r>
        <w:fldChar w:fldCharType="end"/>
      </w:r>
    </w:p>
    <w:p w14:paraId="570F7B71">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"_Toc98403152" </w:instrText>
      </w:r>
      <w:r>
        <w:fldChar w:fldCharType="separate"/>
      </w:r>
      <w:r>
        <w:rPr>
          <w:rStyle w:val="25"/>
          <w:rFonts w:ascii="Times New Roman" w:eastAsia="方正仿宋_GBK"/>
          <w:sz w:val="32"/>
          <w:szCs w:val="32"/>
        </w:rPr>
        <w:t>第一节  指导思想</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_Toc98403152 \h </w:instrText>
      </w:r>
      <w:r>
        <w:rPr>
          <w:rFonts w:ascii="Times New Roman" w:eastAsia="方正仿宋_GBK"/>
          <w:sz w:val="32"/>
          <w:szCs w:val="32"/>
        </w:rPr>
        <w:fldChar w:fldCharType="separate"/>
      </w:r>
      <w:r>
        <w:rPr>
          <w:rFonts w:ascii="Times New Roman" w:eastAsia="方正仿宋_GBK"/>
          <w:sz w:val="32"/>
          <w:szCs w:val="32"/>
        </w:rPr>
        <w:t>7</w:t>
      </w:r>
      <w:r>
        <w:rPr>
          <w:rFonts w:ascii="Times New Roman" w:eastAsia="方正仿宋_GBK"/>
          <w:sz w:val="32"/>
          <w:szCs w:val="32"/>
        </w:rPr>
        <w:fldChar w:fldCharType="end"/>
      </w:r>
      <w:r>
        <w:fldChar w:fldCharType="end"/>
      </w:r>
    </w:p>
    <w:p w14:paraId="5DC04F4F">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"_Toc98403153" </w:instrText>
      </w:r>
      <w:r>
        <w:fldChar w:fldCharType="separate"/>
      </w:r>
      <w:r>
        <w:rPr>
          <w:rStyle w:val="25"/>
          <w:rFonts w:ascii="Times New Roman" w:eastAsia="方正仿宋_GBK"/>
          <w:sz w:val="32"/>
          <w:szCs w:val="32"/>
        </w:rPr>
        <w:t>第二节  基本原则</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_Toc98403153 \h </w:instrText>
      </w:r>
      <w:r>
        <w:rPr>
          <w:rFonts w:ascii="Times New Roman" w:eastAsia="方正仿宋_GBK"/>
          <w:sz w:val="32"/>
          <w:szCs w:val="32"/>
        </w:rPr>
        <w:fldChar w:fldCharType="separate"/>
      </w:r>
      <w:r>
        <w:rPr>
          <w:rFonts w:ascii="Times New Roman" w:eastAsia="方正仿宋_GBK"/>
          <w:sz w:val="32"/>
          <w:szCs w:val="32"/>
        </w:rPr>
        <w:t>8</w:t>
      </w:r>
      <w:r>
        <w:rPr>
          <w:rFonts w:ascii="Times New Roman" w:eastAsia="方正仿宋_GBK"/>
          <w:sz w:val="32"/>
          <w:szCs w:val="32"/>
        </w:rPr>
        <w:fldChar w:fldCharType="end"/>
      </w:r>
      <w:r>
        <w:fldChar w:fldCharType="end"/>
      </w:r>
    </w:p>
    <w:p w14:paraId="55686120">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"_Toc98403154" </w:instrText>
      </w:r>
      <w:r>
        <w:fldChar w:fldCharType="separate"/>
      </w:r>
      <w:r>
        <w:rPr>
          <w:rStyle w:val="25"/>
          <w:rFonts w:ascii="Times New Roman" w:eastAsia="方正仿宋_GBK"/>
          <w:sz w:val="32"/>
          <w:szCs w:val="32"/>
        </w:rPr>
        <w:t>第三节  发展目标</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_Toc98403154 \h </w:instrText>
      </w:r>
      <w:r>
        <w:rPr>
          <w:rFonts w:ascii="Times New Roman" w:eastAsia="方正仿宋_GBK"/>
          <w:sz w:val="32"/>
          <w:szCs w:val="32"/>
        </w:rPr>
        <w:fldChar w:fldCharType="separate"/>
      </w:r>
      <w:r>
        <w:rPr>
          <w:rFonts w:ascii="Times New Roman" w:eastAsia="方正仿宋_GBK"/>
          <w:sz w:val="32"/>
          <w:szCs w:val="32"/>
        </w:rPr>
        <w:t>8</w:t>
      </w:r>
      <w:r>
        <w:rPr>
          <w:rFonts w:ascii="Times New Roman" w:eastAsia="方正仿宋_GBK"/>
          <w:sz w:val="32"/>
          <w:szCs w:val="32"/>
        </w:rPr>
        <w:fldChar w:fldCharType="end"/>
      </w:r>
      <w:r>
        <w:fldChar w:fldCharType="end"/>
      </w:r>
    </w:p>
    <w:p w14:paraId="126DF9C9">
      <w:pPr>
        <w:pStyle w:val="13"/>
        <w:tabs>
          <w:tab w:val="right" w:leader="dot" w:pos="8296"/>
        </w:tabs>
        <w:ind w:firstLine="0" w:firstLineChars="0"/>
        <w:rPr>
          <w:rFonts w:ascii="Times New Roman" w:eastAsia="方正仿宋_GBK"/>
          <w:b w:val="0"/>
          <w:bCs w:val="0"/>
          <w:caps w:val="0"/>
          <w:sz w:val="32"/>
          <w:szCs w:val="32"/>
        </w:rPr>
      </w:pPr>
      <w:r>
        <w:fldChar w:fldCharType="begin"/>
      </w:r>
      <w:r>
        <w:instrText xml:space="preserve">HYPERLINK  \l "_Toc98403155" </w:instrText>
      </w:r>
      <w:r>
        <w:fldChar w:fldCharType="separate"/>
      </w:r>
      <w:r>
        <w:rPr>
          <w:rStyle w:val="25"/>
          <w:rFonts w:ascii="Times New Roman" w:eastAsia="方正仿宋_GBK"/>
          <w:sz w:val="32"/>
          <w:szCs w:val="32"/>
        </w:rPr>
        <w:t>第三章  保持主要帮扶政策总体稳定</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_Toc98403155 \h </w:instrText>
      </w:r>
      <w:r>
        <w:rPr>
          <w:rFonts w:ascii="Times New Roman" w:eastAsia="方正仿宋_GBK"/>
          <w:sz w:val="32"/>
          <w:szCs w:val="32"/>
        </w:rPr>
        <w:fldChar w:fldCharType="separate"/>
      </w:r>
      <w:r>
        <w:rPr>
          <w:rFonts w:ascii="Times New Roman" w:eastAsia="方正仿宋_GBK"/>
          <w:sz w:val="32"/>
          <w:szCs w:val="32"/>
        </w:rPr>
        <w:t>12</w:t>
      </w:r>
      <w:r>
        <w:rPr>
          <w:rFonts w:ascii="Times New Roman" w:eastAsia="方正仿宋_GBK"/>
          <w:sz w:val="32"/>
          <w:szCs w:val="32"/>
        </w:rPr>
        <w:fldChar w:fldCharType="end"/>
      </w:r>
      <w:r>
        <w:fldChar w:fldCharType="end"/>
      </w:r>
    </w:p>
    <w:p w14:paraId="574A29D6">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"_Toc98403156" </w:instrText>
      </w:r>
      <w:r>
        <w:fldChar w:fldCharType="separate"/>
      </w:r>
      <w:r>
        <w:rPr>
          <w:rStyle w:val="25"/>
          <w:rFonts w:ascii="Times New Roman" w:eastAsia="方正仿宋_GBK"/>
          <w:sz w:val="32"/>
          <w:szCs w:val="32"/>
        </w:rPr>
        <w:t>第一节  严格落实“四个不摘”要求</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_Toc98403156 \h </w:instrText>
      </w:r>
      <w:r>
        <w:rPr>
          <w:rFonts w:ascii="Times New Roman" w:eastAsia="方正仿宋_GBK"/>
          <w:sz w:val="32"/>
          <w:szCs w:val="32"/>
        </w:rPr>
        <w:fldChar w:fldCharType="separate"/>
      </w:r>
      <w:r>
        <w:rPr>
          <w:rFonts w:ascii="Times New Roman" w:eastAsia="方正仿宋_GBK"/>
          <w:sz w:val="32"/>
          <w:szCs w:val="32"/>
        </w:rPr>
        <w:t>12</w:t>
      </w:r>
      <w:r>
        <w:rPr>
          <w:rFonts w:ascii="Times New Roman" w:eastAsia="方正仿宋_GBK"/>
          <w:sz w:val="32"/>
          <w:szCs w:val="32"/>
        </w:rPr>
        <w:fldChar w:fldCharType="end"/>
      </w:r>
      <w:r>
        <w:fldChar w:fldCharType="end"/>
      </w:r>
    </w:p>
    <w:p w14:paraId="704B4B54">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"_Toc98403157" </w:instrText>
      </w:r>
      <w:r>
        <w:fldChar w:fldCharType="separate"/>
      </w:r>
      <w:r>
        <w:rPr>
          <w:rStyle w:val="25"/>
          <w:rFonts w:ascii="Times New Roman" w:eastAsia="方正仿宋_GBK"/>
          <w:sz w:val="32"/>
          <w:szCs w:val="32"/>
        </w:rPr>
        <w:t>第二节  扎实做好体制机制衔接</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_Toc98403157 \h </w:instrText>
      </w:r>
      <w:r>
        <w:rPr>
          <w:rFonts w:ascii="Times New Roman" w:eastAsia="方正仿宋_GBK"/>
          <w:sz w:val="32"/>
          <w:szCs w:val="32"/>
        </w:rPr>
        <w:fldChar w:fldCharType="separate"/>
      </w:r>
      <w:r>
        <w:rPr>
          <w:rFonts w:ascii="Times New Roman" w:eastAsia="方正仿宋_GBK"/>
          <w:sz w:val="32"/>
          <w:szCs w:val="32"/>
        </w:rPr>
        <w:t>13</w:t>
      </w:r>
      <w:r>
        <w:rPr>
          <w:rFonts w:ascii="Times New Roman" w:eastAsia="方正仿宋_GBK"/>
          <w:sz w:val="32"/>
          <w:szCs w:val="32"/>
        </w:rPr>
        <w:fldChar w:fldCharType="end"/>
      </w:r>
      <w:r>
        <w:fldChar w:fldCharType="end"/>
      </w:r>
    </w:p>
    <w:p w14:paraId="5D21FB1C">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"_Toc98403158" </w:instrText>
      </w:r>
      <w:r>
        <w:fldChar w:fldCharType="separate"/>
      </w:r>
      <w:r>
        <w:rPr>
          <w:rStyle w:val="25"/>
          <w:rFonts w:ascii="Times New Roman" w:eastAsia="方正仿宋_GBK"/>
          <w:sz w:val="32"/>
          <w:szCs w:val="32"/>
        </w:rPr>
        <w:t>第三节  扎实做好政策衔接</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_Toc98403158 \h </w:instrText>
      </w:r>
      <w:r>
        <w:rPr>
          <w:rFonts w:ascii="Times New Roman" w:eastAsia="方正仿宋_GBK"/>
          <w:sz w:val="32"/>
          <w:szCs w:val="32"/>
        </w:rPr>
        <w:fldChar w:fldCharType="separate"/>
      </w:r>
      <w:r>
        <w:rPr>
          <w:rFonts w:ascii="Times New Roman" w:eastAsia="方正仿宋_GBK"/>
          <w:sz w:val="32"/>
          <w:szCs w:val="32"/>
        </w:rPr>
        <w:t>13</w:t>
      </w:r>
      <w:r>
        <w:rPr>
          <w:rFonts w:ascii="Times New Roman" w:eastAsia="方正仿宋_GBK"/>
          <w:sz w:val="32"/>
          <w:szCs w:val="32"/>
        </w:rPr>
        <w:fldChar w:fldCharType="end"/>
      </w:r>
      <w:r>
        <w:fldChar w:fldCharType="end"/>
      </w:r>
    </w:p>
    <w:p w14:paraId="087F841D">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"_Toc98403159" </w:instrText>
      </w:r>
      <w:r>
        <w:fldChar w:fldCharType="separate"/>
      </w:r>
      <w:r>
        <w:rPr>
          <w:rStyle w:val="25"/>
          <w:rFonts w:ascii="Times New Roman" w:eastAsia="方正仿宋_GBK"/>
          <w:sz w:val="32"/>
          <w:szCs w:val="32"/>
        </w:rPr>
        <w:t>第四节  扎实做好工作衔接</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_Toc98403159 \h </w:instrText>
      </w:r>
      <w:r>
        <w:rPr>
          <w:rFonts w:ascii="Times New Roman" w:eastAsia="方正仿宋_GBK"/>
          <w:sz w:val="32"/>
          <w:szCs w:val="32"/>
        </w:rPr>
        <w:fldChar w:fldCharType="separate"/>
      </w:r>
      <w:r>
        <w:rPr>
          <w:rFonts w:ascii="Times New Roman" w:eastAsia="方正仿宋_GBK"/>
          <w:sz w:val="32"/>
          <w:szCs w:val="32"/>
        </w:rPr>
        <w:t>14</w:t>
      </w:r>
      <w:r>
        <w:rPr>
          <w:rFonts w:ascii="Times New Roman" w:eastAsia="方正仿宋_GBK"/>
          <w:sz w:val="32"/>
          <w:szCs w:val="32"/>
        </w:rPr>
        <w:fldChar w:fldCharType="end"/>
      </w:r>
      <w:r>
        <w:fldChar w:fldCharType="end"/>
      </w:r>
    </w:p>
    <w:p w14:paraId="4CDEFDBC">
      <w:pPr>
        <w:pStyle w:val="13"/>
        <w:tabs>
          <w:tab w:val="right" w:leader="dot" w:pos="8296"/>
        </w:tabs>
        <w:ind w:firstLine="0" w:firstLineChars="0"/>
        <w:rPr>
          <w:rFonts w:ascii="Times New Roman" w:eastAsia="方正仿宋_GBK"/>
          <w:b w:val="0"/>
          <w:bCs w:val="0"/>
          <w:caps w:val="0"/>
          <w:sz w:val="32"/>
          <w:szCs w:val="32"/>
        </w:rPr>
      </w:pPr>
      <w:r>
        <w:fldChar w:fldCharType="begin"/>
      </w:r>
      <w:r>
        <w:instrText xml:space="preserve">HYPERLINK  \l "_Toc98403160" </w:instrText>
      </w:r>
      <w:r>
        <w:fldChar w:fldCharType="separate"/>
      </w:r>
      <w:r>
        <w:rPr>
          <w:rStyle w:val="25"/>
          <w:rFonts w:ascii="Times New Roman" w:eastAsia="方正仿宋_GBK"/>
          <w:sz w:val="32"/>
          <w:szCs w:val="32"/>
        </w:rPr>
        <w:t>第四章  巩固拓展“两不愁三保障”及饮水安全成果</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_Toc98403160 \h </w:instrText>
      </w:r>
      <w:r>
        <w:rPr>
          <w:rFonts w:ascii="Times New Roman" w:eastAsia="方正仿宋_GBK"/>
          <w:sz w:val="32"/>
          <w:szCs w:val="32"/>
        </w:rPr>
        <w:fldChar w:fldCharType="separate"/>
      </w:r>
      <w:r>
        <w:rPr>
          <w:rFonts w:ascii="Times New Roman" w:eastAsia="方正仿宋_GBK"/>
          <w:sz w:val="32"/>
          <w:szCs w:val="32"/>
        </w:rPr>
        <w:t>14</w:t>
      </w:r>
      <w:r>
        <w:rPr>
          <w:rFonts w:ascii="Times New Roman" w:eastAsia="方正仿宋_GBK"/>
          <w:sz w:val="32"/>
          <w:szCs w:val="32"/>
        </w:rPr>
        <w:fldChar w:fldCharType="end"/>
      </w:r>
      <w:r>
        <w:fldChar w:fldCharType="end"/>
      </w:r>
    </w:p>
    <w:p w14:paraId="23D59635">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"_Toc98403161" </w:instrText>
      </w:r>
      <w:r>
        <w:fldChar w:fldCharType="separate"/>
      </w:r>
      <w:r>
        <w:rPr>
          <w:rStyle w:val="25"/>
          <w:rFonts w:ascii="Times New Roman" w:eastAsia="方正仿宋_GBK"/>
          <w:sz w:val="32"/>
          <w:szCs w:val="32"/>
        </w:rPr>
        <w:t>第一节  巩固拓展“两不愁”成果</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_Toc98403161 \h </w:instrText>
      </w:r>
      <w:r>
        <w:rPr>
          <w:rFonts w:ascii="Times New Roman" w:eastAsia="方正仿宋_GBK"/>
          <w:sz w:val="32"/>
          <w:szCs w:val="32"/>
        </w:rPr>
        <w:fldChar w:fldCharType="separate"/>
      </w:r>
      <w:r>
        <w:rPr>
          <w:rFonts w:ascii="Times New Roman" w:eastAsia="方正仿宋_GBK"/>
          <w:sz w:val="32"/>
          <w:szCs w:val="32"/>
        </w:rPr>
        <w:t>14</w:t>
      </w:r>
      <w:r>
        <w:rPr>
          <w:rFonts w:ascii="Times New Roman" w:eastAsia="方正仿宋_GBK"/>
          <w:sz w:val="32"/>
          <w:szCs w:val="32"/>
        </w:rPr>
        <w:fldChar w:fldCharType="end"/>
      </w:r>
      <w:r>
        <w:fldChar w:fldCharType="end"/>
      </w:r>
    </w:p>
    <w:p w14:paraId="5F8EA683">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"_Toc98403162" </w:instrText>
      </w:r>
      <w:r>
        <w:fldChar w:fldCharType="separate"/>
      </w:r>
      <w:r>
        <w:rPr>
          <w:rStyle w:val="25"/>
          <w:rFonts w:ascii="Times New Roman" w:eastAsia="方正仿宋_GBK"/>
          <w:sz w:val="32"/>
          <w:szCs w:val="32"/>
        </w:rPr>
        <w:t>第二节  巩固拓展义务教育保障成果</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_Toc98403162 \h </w:instrText>
      </w:r>
      <w:r>
        <w:rPr>
          <w:rFonts w:ascii="Times New Roman" w:eastAsia="方正仿宋_GBK"/>
          <w:sz w:val="32"/>
          <w:szCs w:val="32"/>
        </w:rPr>
        <w:fldChar w:fldCharType="separate"/>
      </w:r>
      <w:r>
        <w:rPr>
          <w:rFonts w:ascii="Times New Roman" w:eastAsia="方正仿宋_GBK"/>
          <w:sz w:val="32"/>
          <w:szCs w:val="32"/>
        </w:rPr>
        <w:t>15</w:t>
      </w:r>
      <w:r>
        <w:rPr>
          <w:rFonts w:ascii="Times New Roman" w:eastAsia="方正仿宋_GBK"/>
          <w:sz w:val="32"/>
          <w:szCs w:val="32"/>
        </w:rPr>
        <w:fldChar w:fldCharType="end"/>
      </w:r>
      <w:r>
        <w:fldChar w:fldCharType="end"/>
      </w:r>
    </w:p>
    <w:p w14:paraId="1CCB97BE">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"_Toc98403163" </w:instrText>
      </w:r>
      <w:r>
        <w:fldChar w:fldCharType="separate"/>
      </w:r>
      <w:r>
        <w:rPr>
          <w:rStyle w:val="25"/>
          <w:rFonts w:ascii="Times New Roman" w:eastAsia="方正仿宋_GBK"/>
          <w:sz w:val="32"/>
          <w:szCs w:val="32"/>
        </w:rPr>
        <w:t>第三节  巩固拓展基本医疗保障成果</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_Toc98403163 \h </w:instrText>
      </w:r>
      <w:r>
        <w:rPr>
          <w:rFonts w:ascii="Times New Roman" w:eastAsia="方正仿宋_GBK"/>
          <w:sz w:val="32"/>
          <w:szCs w:val="32"/>
        </w:rPr>
        <w:fldChar w:fldCharType="separate"/>
      </w:r>
      <w:r>
        <w:rPr>
          <w:rFonts w:ascii="Times New Roman" w:eastAsia="方正仿宋_GBK"/>
          <w:sz w:val="32"/>
          <w:szCs w:val="32"/>
        </w:rPr>
        <w:t>16</w:t>
      </w:r>
      <w:r>
        <w:rPr>
          <w:rFonts w:ascii="Times New Roman" w:eastAsia="方正仿宋_GBK"/>
          <w:sz w:val="32"/>
          <w:szCs w:val="32"/>
        </w:rPr>
        <w:fldChar w:fldCharType="end"/>
      </w:r>
      <w:r>
        <w:fldChar w:fldCharType="end"/>
      </w:r>
    </w:p>
    <w:p w14:paraId="27D8CE27">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"_Toc98403164" </w:instrText>
      </w:r>
      <w:r>
        <w:fldChar w:fldCharType="separate"/>
      </w:r>
      <w:r>
        <w:rPr>
          <w:rStyle w:val="25"/>
          <w:rFonts w:ascii="Times New Roman" w:eastAsia="方正仿宋_GBK"/>
          <w:sz w:val="32"/>
          <w:szCs w:val="32"/>
        </w:rPr>
        <w:t>第四节  巩固拓展住房安全保障成果</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_Toc98403164 \h </w:instrText>
      </w:r>
      <w:r>
        <w:rPr>
          <w:rFonts w:ascii="Times New Roman" w:eastAsia="方正仿宋_GBK"/>
          <w:sz w:val="32"/>
          <w:szCs w:val="32"/>
        </w:rPr>
        <w:fldChar w:fldCharType="separate"/>
      </w:r>
      <w:r>
        <w:rPr>
          <w:rFonts w:ascii="Times New Roman" w:eastAsia="方正仿宋_GBK"/>
          <w:sz w:val="32"/>
          <w:szCs w:val="32"/>
        </w:rPr>
        <w:t>17</w:t>
      </w:r>
      <w:r>
        <w:rPr>
          <w:rFonts w:ascii="Times New Roman" w:eastAsia="方正仿宋_GBK"/>
          <w:sz w:val="32"/>
          <w:szCs w:val="32"/>
        </w:rPr>
        <w:fldChar w:fldCharType="end"/>
      </w:r>
      <w:r>
        <w:fldChar w:fldCharType="end"/>
      </w:r>
    </w:p>
    <w:p w14:paraId="274C522F">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"_Toc98403165" </w:instrText>
      </w:r>
      <w:r>
        <w:fldChar w:fldCharType="separate"/>
      </w:r>
      <w:r>
        <w:rPr>
          <w:rStyle w:val="25"/>
          <w:rFonts w:ascii="Times New Roman" w:eastAsia="方正仿宋_GBK"/>
          <w:sz w:val="32"/>
          <w:szCs w:val="32"/>
        </w:rPr>
        <w:t>第五节  巩固拓展饮水安全保障成果</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_Toc98403165 \h </w:instrText>
      </w:r>
      <w:r>
        <w:rPr>
          <w:rFonts w:ascii="Times New Roman" w:eastAsia="方正仿宋_GBK"/>
          <w:sz w:val="32"/>
          <w:szCs w:val="32"/>
        </w:rPr>
        <w:fldChar w:fldCharType="separate"/>
      </w:r>
      <w:r>
        <w:rPr>
          <w:rFonts w:ascii="Times New Roman" w:eastAsia="方正仿宋_GBK"/>
          <w:sz w:val="32"/>
          <w:szCs w:val="32"/>
        </w:rPr>
        <w:t>17</w:t>
      </w:r>
      <w:r>
        <w:rPr>
          <w:rFonts w:ascii="Times New Roman" w:eastAsia="方正仿宋_GBK"/>
          <w:sz w:val="32"/>
          <w:szCs w:val="32"/>
        </w:rPr>
        <w:fldChar w:fldCharType="end"/>
      </w:r>
      <w:r>
        <w:fldChar w:fldCharType="end"/>
      </w:r>
    </w:p>
    <w:p w14:paraId="0B9A4155">
      <w:pPr>
        <w:pStyle w:val="13"/>
        <w:tabs>
          <w:tab w:val="right" w:leader="dot" w:pos="8296"/>
        </w:tabs>
        <w:ind w:firstLine="0" w:firstLineChars="0"/>
        <w:rPr>
          <w:rFonts w:ascii="Times New Roman" w:eastAsia="方正仿宋_GBK"/>
          <w:b w:val="0"/>
          <w:bCs w:val="0"/>
          <w:caps w:val="0"/>
          <w:sz w:val="32"/>
          <w:szCs w:val="32"/>
        </w:rPr>
      </w:pPr>
      <w:r>
        <w:fldChar w:fldCharType="begin"/>
      </w:r>
      <w:r>
        <w:instrText xml:space="preserve">HYPERLINK  \l "_Toc98403166" </w:instrText>
      </w:r>
      <w:r>
        <w:fldChar w:fldCharType="separate"/>
      </w:r>
      <w:r>
        <w:rPr>
          <w:rStyle w:val="25"/>
          <w:rFonts w:ascii="Times New Roman" w:eastAsia="方正仿宋_GBK"/>
          <w:sz w:val="32"/>
          <w:szCs w:val="32"/>
        </w:rPr>
        <w:t>第五章  健全重点对象监测和帮扶机制</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_Toc98403166 \h </w:instrText>
      </w:r>
      <w:r>
        <w:rPr>
          <w:rFonts w:ascii="Times New Roman" w:eastAsia="方正仿宋_GBK"/>
          <w:sz w:val="32"/>
          <w:szCs w:val="32"/>
        </w:rPr>
        <w:fldChar w:fldCharType="separate"/>
      </w:r>
      <w:r>
        <w:rPr>
          <w:rFonts w:ascii="Times New Roman" w:eastAsia="方正仿宋_GBK"/>
          <w:sz w:val="32"/>
          <w:szCs w:val="32"/>
        </w:rPr>
        <w:t>18</w:t>
      </w:r>
      <w:r>
        <w:rPr>
          <w:rFonts w:ascii="Times New Roman" w:eastAsia="方正仿宋_GBK"/>
          <w:sz w:val="32"/>
          <w:szCs w:val="32"/>
        </w:rPr>
        <w:fldChar w:fldCharType="end"/>
      </w:r>
      <w:r>
        <w:fldChar w:fldCharType="end"/>
      </w:r>
    </w:p>
    <w:p w14:paraId="5291A5F2">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"_Toc98403167" </w:instrText>
      </w:r>
      <w:r>
        <w:fldChar w:fldCharType="separate"/>
      </w:r>
      <w:r>
        <w:rPr>
          <w:rStyle w:val="25"/>
          <w:rFonts w:ascii="Times New Roman" w:eastAsia="方正仿宋_GBK"/>
          <w:sz w:val="32"/>
          <w:szCs w:val="32"/>
        </w:rPr>
        <w:t>第一节  明确工作原则和目标任务</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_Toc98403167 \h </w:instrText>
      </w:r>
      <w:r>
        <w:rPr>
          <w:rFonts w:ascii="Times New Roman" w:eastAsia="方正仿宋_GBK"/>
          <w:sz w:val="32"/>
          <w:szCs w:val="32"/>
        </w:rPr>
        <w:fldChar w:fldCharType="separate"/>
      </w:r>
      <w:r>
        <w:rPr>
          <w:rFonts w:ascii="Times New Roman" w:eastAsia="方正仿宋_GBK"/>
          <w:sz w:val="32"/>
          <w:szCs w:val="32"/>
        </w:rPr>
        <w:t>19</w:t>
      </w:r>
      <w:r>
        <w:rPr>
          <w:rFonts w:ascii="Times New Roman" w:eastAsia="方正仿宋_GBK"/>
          <w:sz w:val="32"/>
          <w:szCs w:val="32"/>
        </w:rPr>
        <w:fldChar w:fldCharType="end"/>
      </w:r>
      <w:r>
        <w:fldChar w:fldCharType="end"/>
      </w:r>
    </w:p>
    <w:p w14:paraId="189E0406">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"_Toc98403168" </w:instrText>
      </w:r>
      <w:r>
        <w:fldChar w:fldCharType="separate"/>
      </w:r>
      <w:r>
        <w:rPr>
          <w:rStyle w:val="25"/>
          <w:rFonts w:ascii="Times New Roman" w:eastAsia="方正仿宋_GBK"/>
          <w:sz w:val="32"/>
          <w:szCs w:val="32"/>
        </w:rPr>
        <w:t>第二节  明确监测对象和范围</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_Toc98403168 \h </w:instrText>
      </w:r>
      <w:r>
        <w:rPr>
          <w:rFonts w:ascii="Times New Roman" w:eastAsia="方正仿宋_GBK"/>
          <w:sz w:val="32"/>
          <w:szCs w:val="32"/>
        </w:rPr>
        <w:fldChar w:fldCharType="separate"/>
      </w:r>
      <w:r>
        <w:rPr>
          <w:rFonts w:ascii="Times New Roman" w:eastAsia="方正仿宋_GBK"/>
          <w:sz w:val="32"/>
          <w:szCs w:val="32"/>
        </w:rPr>
        <w:t>19</w:t>
      </w:r>
      <w:r>
        <w:rPr>
          <w:rFonts w:ascii="Times New Roman" w:eastAsia="方正仿宋_GBK"/>
          <w:sz w:val="32"/>
          <w:szCs w:val="32"/>
        </w:rPr>
        <w:fldChar w:fldCharType="end"/>
      </w:r>
      <w:r>
        <w:fldChar w:fldCharType="end"/>
      </w:r>
    </w:p>
    <w:p w14:paraId="7AB86E8A">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"_Toc98403169" </w:instrText>
      </w:r>
      <w:r>
        <w:fldChar w:fldCharType="separate"/>
      </w:r>
      <w:r>
        <w:rPr>
          <w:rStyle w:val="25"/>
          <w:rFonts w:ascii="Times New Roman" w:eastAsia="方正仿宋_GBK"/>
          <w:sz w:val="32"/>
          <w:szCs w:val="32"/>
        </w:rPr>
        <w:t>第三节  优化监测方式和程序</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_Toc98403169 \h </w:instrText>
      </w:r>
      <w:r>
        <w:rPr>
          <w:rFonts w:ascii="Times New Roman" w:eastAsia="方正仿宋_GBK"/>
          <w:sz w:val="32"/>
          <w:szCs w:val="32"/>
        </w:rPr>
        <w:fldChar w:fldCharType="separate"/>
      </w:r>
      <w:r>
        <w:rPr>
          <w:rFonts w:ascii="Times New Roman" w:eastAsia="方正仿宋_GBK"/>
          <w:sz w:val="32"/>
          <w:szCs w:val="32"/>
        </w:rPr>
        <w:t>19</w:t>
      </w:r>
      <w:r>
        <w:rPr>
          <w:rFonts w:ascii="Times New Roman" w:eastAsia="方正仿宋_GBK"/>
          <w:sz w:val="32"/>
          <w:szCs w:val="32"/>
        </w:rPr>
        <w:fldChar w:fldCharType="end"/>
      </w:r>
      <w:r>
        <w:fldChar w:fldCharType="end"/>
      </w:r>
    </w:p>
    <w:p w14:paraId="1DAEE55C">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"_Toc98403170" </w:instrText>
      </w:r>
      <w:r>
        <w:fldChar w:fldCharType="separate"/>
      </w:r>
      <w:r>
        <w:rPr>
          <w:rStyle w:val="25"/>
          <w:rFonts w:ascii="Times New Roman" w:eastAsia="方正仿宋_GBK"/>
          <w:sz w:val="32"/>
          <w:szCs w:val="32"/>
        </w:rPr>
        <w:t>第四节  强化帮扶政策和措施</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_Toc98403170 \h </w:instrText>
      </w:r>
      <w:r>
        <w:rPr>
          <w:rFonts w:ascii="Times New Roman" w:eastAsia="方正仿宋_GBK"/>
          <w:sz w:val="32"/>
          <w:szCs w:val="32"/>
        </w:rPr>
        <w:fldChar w:fldCharType="separate"/>
      </w:r>
      <w:r>
        <w:rPr>
          <w:rFonts w:ascii="Times New Roman" w:eastAsia="方正仿宋_GBK"/>
          <w:sz w:val="32"/>
          <w:szCs w:val="32"/>
        </w:rPr>
        <w:t>20</w:t>
      </w:r>
      <w:r>
        <w:rPr>
          <w:rFonts w:ascii="Times New Roman" w:eastAsia="方正仿宋_GBK"/>
          <w:sz w:val="32"/>
          <w:szCs w:val="32"/>
        </w:rPr>
        <w:fldChar w:fldCharType="end"/>
      </w:r>
      <w:r>
        <w:fldChar w:fldCharType="end"/>
      </w:r>
    </w:p>
    <w:p w14:paraId="2BF92662">
      <w:pPr>
        <w:pStyle w:val="13"/>
        <w:tabs>
          <w:tab w:val="right" w:leader="dot" w:pos="8296"/>
        </w:tabs>
        <w:ind w:firstLine="0" w:firstLineChars="0"/>
        <w:rPr>
          <w:rFonts w:ascii="Times New Roman" w:eastAsia="方正仿宋_GBK"/>
          <w:b w:val="0"/>
          <w:bCs w:val="0"/>
          <w:caps w:val="0"/>
          <w:sz w:val="32"/>
          <w:szCs w:val="32"/>
        </w:rPr>
      </w:pPr>
      <w:r>
        <w:fldChar w:fldCharType="begin"/>
      </w:r>
      <w:r>
        <w:instrText xml:space="preserve">HYPERLINK  \l "_Toc98403171" </w:instrText>
      </w:r>
      <w:r>
        <w:fldChar w:fldCharType="separate"/>
      </w:r>
      <w:r>
        <w:rPr>
          <w:rStyle w:val="25"/>
          <w:rFonts w:ascii="Times New Roman" w:eastAsia="方正仿宋_GBK"/>
          <w:sz w:val="32"/>
          <w:szCs w:val="32"/>
        </w:rPr>
        <w:t>第六章  提质升级乡村特色产业</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_Toc98403171 \h </w:instrText>
      </w:r>
      <w:r>
        <w:rPr>
          <w:rFonts w:ascii="Times New Roman" w:eastAsia="方正仿宋_GBK"/>
          <w:sz w:val="32"/>
          <w:szCs w:val="32"/>
        </w:rPr>
        <w:fldChar w:fldCharType="separate"/>
      </w:r>
      <w:r>
        <w:rPr>
          <w:rFonts w:ascii="Times New Roman" w:eastAsia="方正仿宋_GBK"/>
          <w:sz w:val="32"/>
          <w:szCs w:val="32"/>
        </w:rPr>
        <w:t>21</w:t>
      </w:r>
      <w:r>
        <w:rPr>
          <w:rFonts w:ascii="Times New Roman" w:eastAsia="方正仿宋_GBK"/>
          <w:sz w:val="32"/>
          <w:szCs w:val="32"/>
        </w:rPr>
        <w:fldChar w:fldCharType="end"/>
      </w:r>
      <w:r>
        <w:fldChar w:fldCharType="end"/>
      </w:r>
    </w:p>
    <w:p w14:paraId="36857F25">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"_Toc98403172" </w:instrText>
      </w:r>
      <w:r>
        <w:fldChar w:fldCharType="separate"/>
      </w:r>
      <w:r>
        <w:rPr>
          <w:rStyle w:val="25"/>
          <w:rFonts w:ascii="Times New Roman" w:eastAsia="方正仿宋_GBK"/>
          <w:sz w:val="32"/>
          <w:szCs w:val="32"/>
        </w:rPr>
        <w:t>第一节  做强特色优势产业</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_Toc98403172 \h </w:instrText>
      </w:r>
      <w:r>
        <w:rPr>
          <w:rFonts w:ascii="Times New Roman" w:eastAsia="方正仿宋_GBK"/>
          <w:sz w:val="32"/>
          <w:szCs w:val="32"/>
        </w:rPr>
        <w:fldChar w:fldCharType="separate"/>
      </w:r>
      <w:r>
        <w:rPr>
          <w:rFonts w:ascii="Times New Roman" w:eastAsia="方正仿宋_GBK"/>
          <w:sz w:val="32"/>
          <w:szCs w:val="32"/>
        </w:rPr>
        <w:t>21</w:t>
      </w:r>
      <w:r>
        <w:rPr>
          <w:rFonts w:ascii="Times New Roman" w:eastAsia="方正仿宋_GBK"/>
          <w:sz w:val="32"/>
          <w:szCs w:val="32"/>
        </w:rPr>
        <w:fldChar w:fldCharType="end"/>
      </w:r>
      <w:r>
        <w:fldChar w:fldCharType="end"/>
      </w:r>
    </w:p>
    <w:p w14:paraId="5A166C06">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"_Toc98403173" </w:instrText>
      </w:r>
      <w:r>
        <w:fldChar w:fldCharType="separate"/>
      </w:r>
      <w:r>
        <w:rPr>
          <w:rStyle w:val="25"/>
          <w:rFonts w:ascii="Times New Roman" w:eastAsia="方正仿宋_GBK"/>
          <w:sz w:val="32"/>
          <w:szCs w:val="32"/>
        </w:rPr>
        <w:t>第二节  健全产业利益联结机制</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_Toc98403173 \h </w:instrText>
      </w:r>
      <w:r>
        <w:rPr>
          <w:rFonts w:ascii="Times New Roman" w:eastAsia="方正仿宋_GBK"/>
          <w:sz w:val="32"/>
          <w:szCs w:val="32"/>
        </w:rPr>
        <w:fldChar w:fldCharType="separate"/>
      </w:r>
      <w:r>
        <w:rPr>
          <w:rFonts w:ascii="Times New Roman" w:eastAsia="方正仿宋_GBK"/>
          <w:sz w:val="32"/>
          <w:szCs w:val="32"/>
        </w:rPr>
        <w:t>22</w:t>
      </w:r>
      <w:r>
        <w:rPr>
          <w:rFonts w:ascii="Times New Roman" w:eastAsia="方正仿宋_GBK"/>
          <w:sz w:val="32"/>
          <w:szCs w:val="32"/>
        </w:rPr>
        <w:fldChar w:fldCharType="end"/>
      </w:r>
      <w:r>
        <w:fldChar w:fldCharType="end"/>
      </w:r>
    </w:p>
    <w:p w14:paraId="49B984F1">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"_Toc98403174" </w:instrText>
      </w:r>
      <w:r>
        <w:fldChar w:fldCharType="separate"/>
      </w:r>
      <w:r>
        <w:rPr>
          <w:rStyle w:val="25"/>
          <w:rFonts w:ascii="Times New Roman" w:eastAsia="方正仿宋_GBK"/>
          <w:sz w:val="32"/>
          <w:szCs w:val="32"/>
        </w:rPr>
        <w:t>第三节  持续开展多元消费帮扶</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_Toc98403174 \h </w:instrText>
      </w:r>
      <w:r>
        <w:rPr>
          <w:rFonts w:ascii="Times New Roman" w:eastAsia="方正仿宋_GBK"/>
          <w:sz w:val="32"/>
          <w:szCs w:val="32"/>
        </w:rPr>
        <w:fldChar w:fldCharType="separate"/>
      </w:r>
      <w:r>
        <w:rPr>
          <w:rFonts w:ascii="Times New Roman" w:eastAsia="方正仿宋_GBK"/>
          <w:sz w:val="32"/>
          <w:szCs w:val="32"/>
        </w:rPr>
        <w:t>23</w:t>
      </w:r>
      <w:r>
        <w:rPr>
          <w:rFonts w:ascii="Times New Roman" w:eastAsia="方正仿宋_GBK"/>
          <w:sz w:val="32"/>
          <w:szCs w:val="32"/>
        </w:rPr>
        <w:fldChar w:fldCharType="end"/>
      </w:r>
      <w:r>
        <w:fldChar w:fldCharType="end"/>
      </w:r>
    </w:p>
    <w:p w14:paraId="51FE5952">
      <w:pPr>
        <w:pStyle w:val="13"/>
        <w:tabs>
          <w:tab w:val="right" w:leader="dot" w:pos="8296"/>
        </w:tabs>
        <w:ind w:firstLine="0" w:firstLineChars="0"/>
        <w:rPr>
          <w:rFonts w:ascii="Times New Roman" w:eastAsia="方正仿宋_GBK"/>
          <w:b w:val="0"/>
          <w:bCs w:val="0"/>
          <w:caps w:val="0"/>
          <w:sz w:val="32"/>
          <w:szCs w:val="32"/>
        </w:rPr>
      </w:pPr>
      <w:r>
        <w:fldChar w:fldCharType="begin"/>
      </w:r>
      <w:r>
        <w:instrText xml:space="preserve">HYPERLINK  \l "_Toc98403175" </w:instrText>
      </w:r>
      <w:r>
        <w:fldChar w:fldCharType="separate"/>
      </w:r>
      <w:r>
        <w:rPr>
          <w:rStyle w:val="25"/>
          <w:rFonts w:ascii="Times New Roman" w:eastAsia="方正仿宋_GBK"/>
          <w:sz w:val="32"/>
          <w:szCs w:val="32"/>
        </w:rPr>
        <w:t>第七章  促进脱贫人口稳定就业</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_Toc98403175 \h </w:instrText>
      </w:r>
      <w:r>
        <w:rPr>
          <w:rFonts w:ascii="Times New Roman" w:eastAsia="方正仿宋_GBK"/>
          <w:sz w:val="32"/>
          <w:szCs w:val="32"/>
        </w:rPr>
        <w:fldChar w:fldCharType="separate"/>
      </w:r>
      <w:r>
        <w:rPr>
          <w:rFonts w:ascii="Times New Roman" w:eastAsia="方正仿宋_GBK"/>
          <w:sz w:val="32"/>
          <w:szCs w:val="32"/>
        </w:rPr>
        <w:t>25</w:t>
      </w:r>
      <w:r>
        <w:rPr>
          <w:rFonts w:ascii="Times New Roman" w:eastAsia="方正仿宋_GBK"/>
          <w:sz w:val="32"/>
          <w:szCs w:val="32"/>
        </w:rPr>
        <w:fldChar w:fldCharType="end"/>
      </w:r>
      <w:r>
        <w:fldChar w:fldCharType="end"/>
      </w:r>
    </w:p>
    <w:p w14:paraId="17FD0E0F">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"_Toc98403176" </w:instrText>
      </w:r>
      <w:r>
        <w:fldChar w:fldCharType="separate"/>
      </w:r>
      <w:r>
        <w:rPr>
          <w:rStyle w:val="25"/>
          <w:rFonts w:ascii="Times New Roman" w:eastAsia="方正仿宋_GBK"/>
          <w:sz w:val="32"/>
          <w:szCs w:val="32"/>
        </w:rPr>
        <w:t>第一节  完善就业监测和服务体系</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_Toc98403176 \h </w:instrText>
      </w:r>
      <w:r>
        <w:rPr>
          <w:rFonts w:ascii="Times New Roman" w:eastAsia="方正仿宋_GBK"/>
          <w:sz w:val="32"/>
          <w:szCs w:val="32"/>
        </w:rPr>
        <w:fldChar w:fldCharType="separate"/>
      </w:r>
      <w:r>
        <w:rPr>
          <w:rFonts w:ascii="Times New Roman" w:eastAsia="方正仿宋_GBK"/>
          <w:sz w:val="32"/>
          <w:szCs w:val="32"/>
        </w:rPr>
        <w:t>25</w:t>
      </w:r>
      <w:r>
        <w:rPr>
          <w:rFonts w:ascii="Times New Roman" w:eastAsia="方正仿宋_GBK"/>
          <w:sz w:val="32"/>
          <w:szCs w:val="32"/>
        </w:rPr>
        <w:fldChar w:fldCharType="end"/>
      </w:r>
      <w:r>
        <w:fldChar w:fldCharType="end"/>
      </w:r>
    </w:p>
    <w:p w14:paraId="5E961012">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"_Toc98403177" </w:instrText>
      </w:r>
      <w:r>
        <w:fldChar w:fldCharType="separate"/>
      </w:r>
      <w:r>
        <w:rPr>
          <w:rStyle w:val="25"/>
          <w:rFonts w:ascii="Times New Roman" w:eastAsia="方正仿宋_GBK"/>
          <w:sz w:val="32"/>
          <w:szCs w:val="32"/>
        </w:rPr>
        <w:t>第二节  提升职业技能水平</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_Toc98403177 \h </w:instrText>
      </w:r>
      <w:r>
        <w:rPr>
          <w:rFonts w:ascii="Times New Roman" w:eastAsia="方正仿宋_GBK"/>
          <w:sz w:val="32"/>
          <w:szCs w:val="32"/>
        </w:rPr>
        <w:fldChar w:fldCharType="separate"/>
      </w:r>
      <w:r>
        <w:rPr>
          <w:rFonts w:ascii="Times New Roman" w:eastAsia="方正仿宋_GBK"/>
          <w:sz w:val="32"/>
          <w:szCs w:val="32"/>
        </w:rPr>
        <w:t>26</w:t>
      </w:r>
      <w:r>
        <w:rPr>
          <w:rFonts w:ascii="Times New Roman" w:eastAsia="方正仿宋_GBK"/>
          <w:sz w:val="32"/>
          <w:szCs w:val="32"/>
        </w:rPr>
        <w:fldChar w:fldCharType="end"/>
      </w:r>
      <w:r>
        <w:fldChar w:fldCharType="end"/>
      </w:r>
    </w:p>
    <w:p w14:paraId="425AE482">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"_Toc98403178" </w:instrText>
      </w:r>
      <w:r>
        <w:fldChar w:fldCharType="separate"/>
      </w:r>
      <w:r>
        <w:rPr>
          <w:rStyle w:val="25"/>
          <w:rFonts w:ascii="Times New Roman" w:eastAsia="方正仿宋_GBK"/>
          <w:sz w:val="32"/>
          <w:szCs w:val="32"/>
        </w:rPr>
        <w:t>第三节  拓宽就业渠道</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_Toc98403178 \h </w:instrText>
      </w:r>
      <w:r>
        <w:rPr>
          <w:rFonts w:ascii="Times New Roman" w:eastAsia="方正仿宋_GBK"/>
          <w:sz w:val="32"/>
          <w:szCs w:val="32"/>
        </w:rPr>
        <w:fldChar w:fldCharType="separate"/>
      </w:r>
      <w:r>
        <w:rPr>
          <w:rFonts w:ascii="Times New Roman" w:eastAsia="方正仿宋_GBK"/>
          <w:sz w:val="32"/>
          <w:szCs w:val="32"/>
        </w:rPr>
        <w:t>27</w:t>
      </w:r>
      <w:r>
        <w:rPr>
          <w:rFonts w:ascii="Times New Roman" w:eastAsia="方正仿宋_GBK"/>
          <w:sz w:val="32"/>
          <w:szCs w:val="32"/>
        </w:rPr>
        <w:fldChar w:fldCharType="end"/>
      </w:r>
      <w:r>
        <w:fldChar w:fldCharType="end"/>
      </w:r>
    </w:p>
    <w:p w14:paraId="6AD33AC4">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"_Toc98403179" </w:instrText>
      </w:r>
      <w:r>
        <w:fldChar w:fldCharType="separate"/>
      </w:r>
      <w:r>
        <w:rPr>
          <w:rStyle w:val="25"/>
          <w:rFonts w:ascii="Times New Roman" w:eastAsia="方正仿宋_GBK"/>
          <w:sz w:val="32"/>
          <w:szCs w:val="32"/>
        </w:rPr>
        <w:t>第四节  深入推广以工代赈方式</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_Toc98403179 \h </w:instrText>
      </w:r>
      <w:r>
        <w:rPr>
          <w:rFonts w:ascii="Times New Roman" w:eastAsia="方正仿宋_GBK"/>
          <w:sz w:val="32"/>
          <w:szCs w:val="32"/>
        </w:rPr>
        <w:fldChar w:fldCharType="separate"/>
      </w:r>
      <w:r>
        <w:rPr>
          <w:rFonts w:ascii="Times New Roman" w:eastAsia="方正仿宋_GBK"/>
          <w:sz w:val="32"/>
          <w:szCs w:val="32"/>
        </w:rPr>
        <w:t>28</w:t>
      </w:r>
      <w:r>
        <w:rPr>
          <w:rFonts w:ascii="Times New Roman" w:eastAsia="方正仿宋_GBK"/>
          <w:sz w:val="32"/>
          <w:szCs w:val="32"/>
        </w:rPr>
        <w:fldChar w:fldCharType="end"/>
      </w:r>
      <w:r>
        <w:fldChar w:fldCharType="end"/>
      </w:r>
    </w:p>
    <w:p w14:paraId="3662A877">
      <w:pPr>
        <w:pStyle w:val="13"/>
        <w:tabs>
          <w:tab w:val="right" w:leader="dot" w:pos="8296"/>
        </w:tabs>
        <w:ind w:firstLine="0" w:firstLineChars="0"/>
        <w:rPr>
          <w:rFonts w:ascii="Times New Roman" w:eastAsia="方正仿宋_GBK"/>
          <w:b w:val="0"/>
          <w:bCs w:val="0"/>
          <w:caps w:val="0"/>
          <w:sz w:val="32"/>
          <w:szCs w:val="32"/>
        </w:rPr>
      </w:pPr>
      <w:r>
        <w:fldChar w:fldCharType="begin"/>
      </w:r>
      <w:r>
        <w:instrText xml:space="preserve">HYPERLINK  \l "_Toc98403180" </w:instrText>
      </w:r>
      <w:r>
        <w:fldChar w:fldCharType="separate"/>
      </w:r>
      <w:r>
        <w:rPr>
          <w:rStyle w:val="25"/>
          <w:rFonts w:ascii="Times New Roman" w:eastAsia="方正仿宋_GBK"/>
          <w:sz w:val="32"/>
          <w:szCs w:val="32"/>
        </w:rPr>
        <w:t>第八章  实施乡村建设行动</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_Toc98403180 \h </w:instrText>
      </w:r>
      <w:r>
        <w:rPr>
          <w:rFonts w:ascii="Times New Roman" w:eastAsia="方正仿宋_GBK"/>
          <w:sz w:val="32"/>
          <w:szCs w:val="32"/>
        </w:rPr>
        <w:fldChar w:fldCharType="separate"/>
      </w:r>
      <w:r>
        <w:rPr>
          <w:rFonts w:ascii="Times New Roman" w:eastAsia="方正仿宋_GBK"/>
          <w:sz w:val="32"/>
          <w:szCs w:val="32"/>
        </w:rPr>
        <w:t>29</w:t>
      </w:r>
      <w:r>
        <w:rPr>
          <w:rFonts w:ascii="Times New Roman" w:eastAsia="方正仿宋_GBK"/>
          <w:sz w:val="32"/>
          <w:szCs w:val="32"/>
        </w:rPr>
        <w:fldChar w:fldCharType="end"/>
      </w:r>
      <w:r>
        <w:fldChar w:fldCharType="end"/>
      </w:r>
    </w:p>
    <w:p w14:paraId="52F419F7">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"_Toc98403181" </w:instrText>
      </w:r>
      <w:r>
        <w:fldChar w:fldCharType="separate"/>
      </w:r>
      <w:r>
        <w:rPr>
          <w:rStyle w:val="25"/>
          <w:rFonts w:ascii="Times New Roman" w:eastAsia="方正仿宋_GBK"/>
          <w:sz w:val="32"/>
          <w:szCs w:val="32"/>
        </w:rPr>
        <w:t>第一节  统筹推进乡村规划建设</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_Toc98403181 \h </w:instrText>
      </w:r>
      <w:r>
        <w:rPr>
          <w:rFonts w:ascii="Times New Roman" w:eastAsia="方正仿宋_GBK"/>
          <w:sz w:val="32"/>
          <w:szCs w:val="32"/>
        </w:rPr>
        <w:fldChar w:fldCharType="separate"/>
      </w:r>
      <w:r>
        <w:rPr>
          <w:rFonts w:ascii="Times New Roman" w:eastAsia="方正仿宋_GBK"/>
          <w:sz w:val="32"/>
          <w:szCs w:val="32"/>
        </w:rPr>
        <w:t>29</w:t>
      </w:r>
      <w:r>
        <w:rPr>
          <w:rFonts w:ascii="Times New Roman" w:eastAsia="方正仿宋_GBK"/>
          <w:sz w:val="32"/>
          <w:szCs w:val="32"/>
        </w:rPr>
        <w:fldChar w:fldCharType="end"/>
      </w:r>
      <w:r>
        <w:fldChar w:fldCharType="end"/>
      </w:r>
    </w:p>
    <w:p w14:paraId="37F65C1D">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"_Toc98403182" </w:instrText>
      </w:r>
      <w:r>
        <w:fldChar w:fldCharType="separate"/>
      </w:r>
      <w:r>
        <w:rPr>
          <w:rStyle w:val="25"/>
          <w:rFonts w:ascii="Times New Roman" w:eastAsia="方正仿宋_GBK"/>
          <w:sz w:val="32"/>
          <w:szCs w:val="32"/>
        </w:rPr>
        <w:t>第二节  持续改善农村基础设施条件</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_Toc98403182 \h </w:instrText>
      </w:r>
      <w:r>
        <w:rPr>
          <w:rFonts w:ascii="Times New Roman" w:eastAsia="方正仿宋_GBK"/>
          <w:sz w:val="32"/>
          <w:szCs w:val="32"/>
        </w:rPr>
        <w:fldChar w:fldCharType="separate"/>
      </w:r>
      <w:r>
        <w:rPr>
          <w:rFonts w:ascii="Times New Roman" w:eastAsia="方正仿宋_GBK"/>
          <w:sz w:val="32"/>
          <w:szCs w:val="32"/>
        </w:rPr>
        <w:t>29</w:t>
      </w:r>
      <w:r>
        <w:rPr>
          <w:rFonts w:ascii="Times New Roman" w:eastAsia="方正仿宋_GBK"/>
          <w:sz w:val="32"/>
          <w:szCs w:val="32"/>
        </w:rPr>
        <w:fldChar w:fldCharType="end"/>
      </w:r>
      <w:r>
        <w:fldChar w:fldCharType="end"/>
      </w:r>
    </w:p>
    <w:p w14:paraId="58814432">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"_Toc98403183" </w:instrText>
      </w:r>
      <w:r>
        <w:fldChar w:fldCharType="separate"/>
      </w:r>
      <w:r>
        <w:rPr>
          <w:rStyle w:val="25"/>
          <w:rFonts w:ascii="Times New Roman" w:eastAsia="方正仿宋_GBK"/>
          <w:sz w:val="32"/>
          <w:szCs w:val="32"/>
        </w:rPr>
        <w:t>第三节  着力提升农村公共服务水平</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_Toc98403183 \h </w:instrText>
      </w:r>
      <w:r>
        <w:rPr>
          <w:rFonts w:ascii="Times New Roman" w:eastAsia="方正仿宋_GBK"/>
          <w:sz w:val="32"/>
          <w:szCs w:val="32"/>
        </w:rPr>
        <w:fldChar w:fldCharType="separate"/>
      </w:r>
      <w:r>
        <w:rPr>
          <w:rFonts w:ascii="Times New Roman" w:eastAsia="方正仿宋_GBK"/>
          <w:sz w:val="32"/>
          <w:szCs w:val="32"/>
        </w:rPr>
        <w:t>31</w:t>
      </w:r>
      <w:r>
        <w:rPr>
          <w:rFonts w:ascii="Times New Roman" w:eastAsia="方正仿宋_GBK"/>
          <w:sz w:val="32"/>
          <w:szCs w:val="32"/>
        </w:rPr>
        <w:fldChar w:fldCharType="end"/>
      </w:r>
      <w:r>
        <w:fldChar w:fldCharType="end"/>
      </w:r>
    </w:p>
    <w:p w14:paraId="61163451">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"_Toc98403184" </w:instrText>
      </w:r>
      <w:r>
        <w:fldChar w:fldCharType="separate"/>
      </w:r>
      <w:r>
        <w:rPr>
          <w:rStyle w:val="25"/>
          <w:rFonts w:ascii="Times New Roman" w:eastAsia="方正仿宋_GBK"/>
          <w:sz w:val="32"/>
          <w:szCs w:val="32"/>
        </w:rPr>
        <w:t>第四节  持续改善农村人居环境条件</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_Toc98403184 \h </w:instrText>
      </w:r>
      <w:r>
        <w:rPr>
          <w:rFonts w:ascii="Times New Roman" w:eastAsia="方正仿宋_GBK"/>
          <w:sz w:val="32"/>
          <w:szCs w:val="32"/>
        </w:rPr>
        <w:fldChar w:fldCharType="separate"/>
      </w:r>
      <w:r>
        <w:rPr>
          <w:rFonts w:ascii="Times New Roman" w:eastAsia="方正仿宋_GBK"/>
          <w:sz w:val="32"/>
          <w:szCs w:val="32"/>
        </w:rPr>
        <w:t>32</w:t>
      </w:r>
      <w:r>
        <w:rPr>
          <w:rFonts w:ascii="Times New Roman" w:eastAsia="方正仿宋_GBK"/>
          <w:sz w:val="32"/>
          <w:szCs w:val="32"/>
        </w:rPr>
        <w:fldChar w:fldCharType="end"/>
      </w:r>
      <w:r>
        <w:fldChar w:fldCharType="end"/>
      </w:r>
    </w:p>
    <w:p w14:paraId="4E1D5AF3">
      <w:pPr>
        <w:pStyle w:val="13"/>
        <w:tabs>
          <w:tab w:val="right" w:leader="dot" w:pos="8296"/>
        </w:tabs>
        <w:ind w:firstLine="0" w:firstLineChars="0"/>
        <w:rPr>
          <w:rFonts w:ascii="Times New Roman" w:eastAsia="方正仿宋_GBK"/>
          <w:b w:val="0"/>
          <w:bCs w:val="0"/>
          <w:caps w:val="0"/>
          <w:sz w:val="32"/>
          <w:szCs w:val="32"/>
        </w:rPr>
      </w:pPr>
      <w:r>
        <w:fldChar w:fldCharType="begin"/>
      </w:r>
      <w:r>
        <w:instrText xml:space="preserve">HYPERLINK  \l "_Toc98403185" </w:instrText>
      </w:r>
      <w:r>
        <w:fldChar w:fldCharType="separate"/>
      </w:r>
      <w:r>
        <w:rPr>
          <w:rStyle w:val="25"/>
          <w:rFonts w:ascii="Times New Roman" w:eastAsia="方正仿宋_GBK"/>
          <w:sz w:val="32"/>
          <w:szCs w:val="32"/>
        </w:rPr>
        <w:t>第九章  健全乡村治理体系</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_Toc98403185 \h </w:instrText>
      </w:r>
      <w:r>
        <w:rPr>
          <w:rFonts w:ascii="Times New Roman" w:eastAsia="方正仿宋_GBK"/>
          <w:sz w:val="32"/>
          <w:szCs w:val="32"/>
        </w:rPr>
        <w:fldChar w:fldCharType="separate"/>
      </w:r>
      <w:r>
        <w:rPr>
          <w:rFonts w:ascii="Times New Roman" w:eastAsia="方正仿宋_GBK"/>
          <w:sz w:val="32"/>
          <w:szCs w:val="32"/>
        </w:rPr>
        <w:t>33</w:t>
      </w:r>
      <w:r>
        <w:rPr>
          <w:rFonts w:ascii="Times New Roman" w:eastAsia="方正仿宋_GBK"/>
          <w:sz w:val="32"/>
          <w:szCs w:val="32"/>
        </w:rPr>
        <w:fldChar w:fldCharType="end"/>
      </w:r>
      <w:r>
        <w:fldChar w:fldCharType="end"/>
      </w:r>
    </w:p>
    <w:p w14:paraId="27C11F49">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"_Toc98403186" </w:instrText>
      </w:r>
      <w:r>
        <w:fldChar w:fldCharType="separate"/>
      </w:r>
      <w:r>
        <w:rPr>
          <w:rStyle w:val="25"/>
          <w:rFonts w:ascii="Times New Roman" w:eastAsia="方正仿宋_GBK"/>
          <w:sz w:val="32"/>
          <w:szCs w:val="32"/>
        </w:rPr>
        <w:t>第一节  健全乡村基层组织建设体系</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_Toc98403186 \h </w:instrText>
      </w:r>
      <w:r>
        <w:rPr>
          <w:rFonts w:ascii="Times New Roman" w:eastAsia="方正仿宋_GBK"/>
          <w:sz w:val="32"/>
          <w:szCs w:val="32"/>
        </w:rPr>
        <w:fldChar w:fldCharType="separate"/>
      </w:r>
      <w:r>
        <w:rPr>
          <w:rFonts w:ascii="Times New Roman" w:eastAsia="方正仿宋_GBK"/>
          <w:sz w:val="32"/>
          <w:szCs w:val="32"/>
        </w:rPr>
        <w:t>34</w:t>
      </w:r>
      <w:r>
        <w:rPr>
          <w:rFonts w:ascii="Times New Roman" w:eastAsia="方正仿宋_GBK"/>
          <w:sz w:val="32"/>
          <w:szCs w:val="32"/>
        </w:rPr>
        <w:fldChar w:fldCharType="end"/>
      </w:r>
      <w:r>
        <w:fldChar w:fldCharType="end"/>
      </w:r>
    </w:p>
    <w:p w14:paraId="60A4179C">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"_Toc98403187" </w:instrText>
      </w:r>
      <w:r>
        <w:fldChar w:fldCharType="separate"/>
      </w:r>
      <w:r>
        <w:rPr>
          <w:rStyle w:val="25"/>
          <w:rFonts w:ascii="Times New Roman" w:eastAsia="方正仿宋_GBK"/>
          <w:sz w:val="32"/>
          <w:szCs w:val="32"/>
        </w:rPr>
        <w:t>第二节  健全村民自治管理体系</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_Toc98403187 \h </w:instrText>
      </w:r>
      <w:r>
        <w:rPr>
          <w:rFonts w:ascii="Times New Roman" w:eastAsia="方正仿宋_GBK"/>
          <w:sz w:val="32"/>
          <w:szCs w:val="32"/>
        </w:rPr>
        <w:fldChar w:fldCharType="separate"/>
      </w:r>
      <w:r>
        <w:rPr>
          <w:rFonts w:ascii="Times New Roman" w:eastAsia="方正仿宋_GBK"/>
          <w:sz w:val="32"/>
          <w:szCs w:val="32"/>
        </w:rPr>
        <w:t>35</w:t>
      </w:r>
      <w:r>
        <w:rPr>
          <w:rFonts w:ascii="Times New Roman" w:eastAsia="方正仿宋_GBK"/>
          <w:sz w:val="32"/>
          <w:szCs w:val="32"/>
        </w:rPr>
        <w:fldChar w:fldCharType="end"/>
      </w:r>
      <w:r>
        <w:fldChar w:fldCharType="end"/>
      </w:r>
    </w:p>
    <w:p w14:paraId="777BBFB2">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"_Toc98403188" </w:instrText>
      </w:r>
      <w:r>
        <w:fldChar w:fldCharType="separate"/>
      </w:r>
      <w:r>
        <w:rPr>
          <w:rStyle w:val="25"/>
          <w:rFonts w:ascii="Times New Roman" w:eastAsia="方正仿宋_GBK"/>
          <w:sz w:val="32"/>
          <w:szCs w:val="32"/>
        </w:rPr>
        <w:t>第三节  健全信法守法行为体系</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_Toc98403188 \h </w:instrText>
      </w:r>
      <w:r>
        <w:rPr>
          <w:rFonts w:ascii="Times New Roman" w:eastAsia="方正仿宋_GBK"/>
          <w:sz w:val="32"/>
          <w:szCs w:val="32"/>
        </w:rPr>
        <w:fldChar w:fldCharType="separate"/>
      </w:r>
      <w:r>
        <w:rPr>
          <w:rFonts w:ascii="Times New Roman" w:eastAsia="方正仿宋_GBK"/>
          <w:sz w:val="32"/>
          <w:szCs w:val="32"/>
        </w:rPr>
        <w:t>36</w:t>
      </w:r>
      <w:r>
        <w:rPr>
          <w:rFonts w:ascii="Times New Roman" w:eastAsia="方正仿宋_GBK"/>
          <w:sz w:val="32"/>
          <w:szCs w:val="32"/>
        </w:rPr>
        <w:fldChar w:fldCharType="end"/>
      </w:r>
      <w:r>
        <w:fldChar w:fldCharType="end"/>
      </w:r>
    </w:p>
    <w:p w14:paraId="1E63BAF2">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"_Toc98403189" </w:instrText>
      </w:r>
      <w:r>
        <w:fldChar w:fldCharType="separate"/>
      </w:r>
      <w:r>
        <w:rPr>
          <w:rStyle w:val="25"/>
          <w:rFonts w:ascii="Times New Roman" w:eastAsia="方正仿宋_GBK"/>
          <w:sz w:val="32"/>
          <w:szCs w:val="32"/>
        </w:rPr>
        <w:t>第四节  健全崇德向善民风体系</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_Toc98403189 \h </w:instrText>
      </w:r>
      <w:r>
        <w:rPr>
          <w:rFonts w:ascii="Times New Roman" w:eastAsia="方正仿宋_GBK"/>
          <w:sz w:val="32"/>
          <w:szCs w:val="32"/>
        </w:rPr>
        <w:fldChar w:fldCharType="separate"/>
      </w:r>
      <w:r>
        <w:rPr>
          <w:rFonts w:ascii="Times New Roman" w:eastAsia="方正仿宋_GBK"/>
          <w:sz w:val="32"/>
          <w:szCs w:val="32"/>
        </w:rPr>
        <w:t>37</w:t>
      </w:r>
      <w:r>
        <w:rPr>
          <w:rFonts w:ascii="Times New Roman" w:eastAsia="方正仿宋_GBK"/>
          <w:sz w:val="32"/>
          <w:szCs w:val="32"/>
        </w:rPr>
        <w:fldChar w:fldCharType="end"/>
      </w:r>
      <w:r>
        <w:fldChar w:fldCharType="end"/>
      </w:r>
    </w:p>
    <w:p w14:paraId="34519FBE">
      <w:pPr>
        <w:pStyle w:val="13"/>
        <w:tabs>
          <w:tab w:val="right" w:leader="dot" w:pos="8296"/>
        </w:tabs>
        <w:ind w:firstLine="0" w:firstLineChars="0"/>
        <w:rPr>
          <w:rFonts w:ascii="Times New Roman" w:eastAsia="方正仿宋_GBK"/>
          <w:b w:val="0"/>
          <w:bCs w:val="0"/>
          <w:caps w:val="0"/>
          <w:sz w:val="32"/>
          <w:szCs w:val="32"/>
        </w:rPr>
      </w:pPr>
      <w:r>
        <w:fldChar w:fldCharType="begin"/>
      </w:r>
      <w:r>
        <w:instrText xml:space="preserve">HYPERLINK  \l "_Toc98403190" </w:instrText>
      </w:r>
      <w:r>
        <w:fldChar w:fldCharType="separate"/>
      </w:r>
      <w:r>
        <w:rPr>
          <w:rStyle w:val="25"/>
          <w:rFonts w:ascii="Times New Roman" w:eastAsia="方正仿宋_GBK"/>
          <w:sz w:val="32"/>
          <w:szCs w:val="32"/>
        </w:rPr>
        <w:t>第十章  加强扶贫项目资产管理和监督</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_Toc98403190 \h </w:instrText>
      </w:r>
      <w:r>
        <w:rPr>
          <w:rFonts w:ascii="Times New Roman" w:eastAsia="方正仿宋_GBK"/>
          <w:sz w:val="32"/>
          <w:szCs w:val="32"/>
        </w:rPr>
        <w:fldChar w:fldCharType="separate"/>
      </w:r>
      <w:r>
        <w:rPr>
          <w:rFonts w:ascii="Times New Roman" w:eastAsia="方正仿宋_GBK"/>
          <w:sz w:val="32"/>
          <w:szCs w:val="32"/>
        </w:rPr>
        <w:t>38</w:t>
      </w:r>
      <w:r>
        <w:rPr>
          <w:rFonts w:ascii="Times New Roman" w:eastAsia="方正仿宋_GBK"/>
          <w:sz w:val="32"/>
          <w:szCs w:val="32"/>
        </w:rPr>
        <w:fldChar w:fldCharType="end"/>
      </w:r>
      <w:r>
        <w:fldChar w:fldCharType="end"/>
      </w:r>
    </w:p>
    <w:p w14:paraId="3FEDF602">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"_Toc98403191" </w:instrText>
      </w:r>
      <w:r>
        <w:fldChar w:fldCharType="separate"/>
      </w:r>
      <w:r>
        <w:rPr>
          <w:rStyle w:val="25"/>
          <w:rFonts w:ascii="Times New Roman" w:eastAsia="方正仿宋_GBK"/>
          <w:sz w:val="32"/>
          <w:szCs w:val="32"/>
        </w:rPr>
        <w:t>第一节  摸清扶贫项目资产底数并确权登记</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_Toc98403191 \h </w:instrText>
      </w:r>
      <w:r>
        <w:rPr>
          <w:rFonts w:ascii="Times New Roman" w:eastAsia="方正仿宋_GBK"/>
          <w:sz w:val="32"/>
          <w:szCs w:val="32"/>
        </w:rPr>
        <w:fldChar w:fldCharType="separate"/>
      </w:r>
      <w:r>
        <w:rPr>
          <w:rFonts w:ascii="Times New Roman" w:eastAsia="方正仿宋_GBK"/>
          <w:sz w:val="32"/>
          <w:szCs w:val="32"/>
        </w:rPr>
        <w:t>39</w:t>
      </w:r>
      <w:r>
        <w:rPr>
          <w:rFonts w:ascii="Times New Roman" w:eastAsia="方正仿宋_GBK"/>
          <w:sz w:val="32"/>
          <w:szCs w:val="32"/>
        </w:rPr>
        <w:fldChar w:fldCharType="end"/>
      </w:r>
      <w:r>
        <w:fldChar w:fldCharType="end"/>
      </w:r>
    </w:p>
    <w:p w14:paraId="314EE9CF">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"_Toc98403192" </w:instrText>
      </w:r>
      <w:r>
        <w:fldChar w:fldCharType="separate"/>
      </w:r>
      <w:r>
        <w:rPr>
          <w:rStyle w:val="25"/>
          <w:rFonts w:ascii="Times New Roman" w:eastAsia="方正仿宋_GBK"/>
          <w:sz w:val="32"/>
          <w:szCs w:val="32"/>
        </w:rPr>
        <w:t>第二节  规范扶贫项目资产后续管护运营</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_Toc98403192 \h </w:instrText>
      </w:r>
      <w:r>
        <w:rPr>
          <w:rFonts w:ascii="Times New Roman" w:eastAsia="方正仿宋_GBK"/>
          <w:sz w:val="32"/>
          <w:szCs w:val="32"/>
        </w:rPr>
        <w:fldChar w:fldCharType="separate"/>
      </w:r>
      <w:r>
        <w:rPr>
          <w:rFonts w:ascii="Times New Roman" w:eastAsia="方正仿宋_GBK"/>
          <w:sz w:val="32"/>
          <w:szCs w:val="32"/>
        </w:rPr>
        <w:t>39</w:t>
      </w:r>
      <w:r>
        <w:rPr>
          <w:rFonts w:ascii="Times New Roman" w:eastAsia="方正仿宋_GBK"/>
          <w:sz w:val="32"/>
          <w:szCs w:val="32"/>
        </w:rPr>
        <w:fldChar w:fldCharType="end"/>
      </w:r>
      <w:r>
        <w:fldChar w:fldCharType="end"/>
      </w:r>
    </w:p>
    <w:p w14:paraId="4D8824F2">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"_Toc98403193" </w:instrText>
      </w:r>
      <w:r>
        <w:fldChar w:fldCharType="separate"/>
      </w:r>
      <w:r>
        <w:rPr>
          <w:rStyle w:val="25"/>
          <w:rFonts w:ascii="Times New Roman" w:eastAsia="方正仿宋_GBK"/>
          <w:sz w:val="32"/>
          <w:szCs w:val="32"/>
        </w:rPr>
        <w:t>第三节  规范扶贫项目资产收益分配使用</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_Toc98403193 \h </w:instrText>
      </w:r>
      <w:r>
        <w:rPr>
          <w:rFonts w:ascii="Times New Roman" w:eastAsia="方正仿宋_GBK"/>
          <w:sz w:val="32"/>
          <w:szCs w:val="32"/>
        </w:rPr>
        <w:fldChar w:fldCharType="separate"/>
      </w:r>
      <w:r>
        <w:rPr>
          <w:rFonts w:ascii="Times New Roman" w:eastAsia="方正仿宋_GBK"/>
          <w:sz w:val="32"/>
          <w:szCs w:val="32"/>
        </w:rPr>
        <w:t>40</w:t>
      </w:r>
      <w:r>
        <w:rPr>
          <w:rFonts w:ascii="Times New Roman" w:eastAsia="方正仿宋_GBK"/>
          <w:sz w:val="32"/>
          <w:szCs w:val="32"/>
        </w:rPr>
        <w:fldChar w:fldCharType="end"/>
      </w:r>
      <w:r>
        <w:fldChar w:fldCharType="end"/>
      </w:r>
    </w:p>
    <w:p w14:paraId="628C2A78">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"_Toc98403194" </w:instrText>
      </w:r>
      <w:r>
        <w:fldChar w:fldCharType="separate"/>
      </w:r>
      <w:r>
        <w:rPr>
          <w:rStyle w:val="25"/>
          <w:rFonts w:ascii="Times New Roman" w:eastAsia="方正仿宋_GBK"/>
          <w:sz w:val="32"/>
          <w:szCs w:val="32"/>
        </w:rPr>
        <w:t>第四节  强化扶贫项目资产监督管理</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_Toc98403194 \h </w:instrText>
      </w:r>
      <w:r>
        <w:rPr>
          <w:rFonts w:ascii="Times New Roman" w:eastAsia="方正仿宋_GBK"/>
          <w:sz w:val="32"/>
          <w:szCs w:val="32"/>
        </w:rPr>
        <w:fldChar w:fldCharType="separate"/>
      </w:r>
      <w:r>
        <w:rPr>
          <w:rFonts w:ascii="Times New Roman" w:eastAsia="方正仿宋_GBK"/>
          <w:sz w:val="32"/>
          <w:szCs w:val="32"/>
        </w:rPr>
        <w:t>40</w:t>
      </w:r>
      <w:r>
        <w:rPr>
          <w:rFonts w:ascii="Times New Roman" w:eastAsia="方正仿宋_GBK"/>
          <w:sz w:val="32"/>
          <w:szCs w:val="32"/>
        </w:rPr>
        <w:fldChar w:fldCharType="end"/>
      </w:r>
      <w:r>
        <w:fldChar w:fldCharType="end"/>
      </w:r>
    </w:p>
    <w:p w14:paraId="60AF2811">
      <w:pPr>
        <w:pStyle w:val="13"/>
        <w:tabs>
          <w:tab w:val="right" w:leader="dot" w:pos="8296"/>
        </w:tabs>
        <w:ind w:firstLine="0" w:firstLineChars="0"/>
        <w:rPr>
          <w:rFonts w:ascii="Times New Roman" w:eastAsia="方正仿宋_GBK"/>
          <w:b w:val="0"/>
          <w:bCs w:val="0"/>
          <w:caps w:val="0"/>
          <w:sz w:val="32"/>
          <w:szCs w:val="32"/>
        </w:rPr>
      </w:pPr>
      <w:r>
        <w:fldChar w:fldCharType="begin"/>
      </w:r>
      <w:r>
        <w:instrText xml:space="preserve">HYPERLINK  \l "_Toc98403195" </w:instrText>
      </w:r>
      <w:r>
        <w:fldChar w:fldCharType="separate"/>
      </w:r>
      <w:r>
        <w:rPr>
          <w:rStyle w:val="25"/>
          <w:rFonts w:ascii="Times New Roman" w:eastAsia="方正仿宋_GBK"/>
          <w:sz w:val="32"/>
          <w:szCs w:val="32"/>
        </w:rPr>
        <w:t>第十一章  建立健全乡村振兴重点帮扶机制</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_Toc98403195 \h </w:instrText>
      </w:r>
      <w:r>
        <w:rPr>
          <w:rFonts w:ascii="Times New Roman" w:eastAsia="方正仿宋_GBK"/>
          <w:sz w:val="32"/>
          <w:szCs w:val="32"/>
        </w:rPr>
        <w:fldChar w:fldCharType="separate"/>
      </w:r>
      <w:r>
        <w:rPr>
          <w:rFonts w:ascii="Times New Roman" w:eastAsia="方正仿宋_GBK"/>
          <w:sz w:val="32"/>
          <w:szCs w:val="32"/>
        </w:rPr>
        <w:t>41</w:t>
      </w:r>
      <w:r>
        <w:rPr>
          <w:rFonts w:ascii="Times New Roman" w:eastAsia="方正仿宋_GBK"/>
          <w:sz w:val="32"/>
          <w:szCs w:val="32"/>
        </w:rPr>
        <w:fldChar w:fldCharType="end"/>
      </w:r>
      <w:r>
        <w:fldChar w:fldCharType="end"/>
      </w:r>
    </w:p>
    <w:p w14:paraId="74B1CB1C">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"_Toc98403196" </w:instrText>
      </w:r>
      <w:r>
        <w:fldChar w:fldCharType="separate"/>
      </w:r>
      <w:r>
        <w:rPr>
          <w:rStyle w:val="25"/>
          <w:rFonts w:ascii="Times New Roman" w:eastAsia="方正仿宋_GBK"/>
          <w:sz w:val="32"/>
          <w:szCs w:val="32"/>
        </w:rPr>
        <w:t>第一节  建立乡村振兴帮扶机制</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_Toc98403196 \h </w:instrText>
      </w:r>
      <w:r>
        <w:rPr>
          <w:rFonts w:ascii="Times New Roman" w:eastAsia="方正仿宋_GBK"/>
          <w:sz w:val="32"/>
          <w:szCs w:val="32"/>
        </w:rPr>
        <w:fldChar w:fldCharType="separate"/>
      </w:r>
      <w:r>
        <w:rPr>
          <w:rFonts w:ascii="Times New Roman" w:eastAsia="方正仿宋_GBK"/>
          <w:sz w:val="32"/>
          <w:szCs w:val="32"/>
        </w:rPr>
        <w:t>42</w:t>
      </w:r>
      <w:r>
        <w:rPr>
          <w:rFonts w:ascii="Times New Roman" w:eastAsia="方正仿宋_GBK"/>
          <w:sz w:val="32"/>
          <w:szCs w:val="32"/>
        </w:rPr>
        <w:fldChar w:fldCharType="end"/>
      </w:r>
      <w:r>
        <w:fldChar w:fldCharType="end"/>
      </w:r>
    </w:p>
    <w:p w14:paraId="734AE228">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"_Toc98403197" </w:instrText>
      </w:r>
      <w:r>
        <w:fldChar w:fldCharType="separate"/>
      </w:r>
      <w:r>
        <w:rPr>
          <w:rStyle w:val="25"/>
          <w:rFonts w:ascii="Times New Roman" w:eastAsia="方正仿宋_GBK"/>
          <w:sz w:val="32"/>
          <w:szCs w:val="32"/>
        </w:rPr>
        <w:t>第二节  分层分类全面推进乡村振兴</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_Toc98403197 \h </w:instrText>
      </w:r>
      <w:r>
        <w:rPr>
          <w:rFonts w:ascii="Times New Roman" w:eastAsia="方正仿宋_GBK"/>
          <w:sz w:val="32"/>
          <w:szCs w:val="32"/>
        </w:rPr>
        <w:fldChar w:fldCharType="separate"/>
      </w:r>
      <w:r>
        <w:rPr>
          <w:rFonts w:ascii="Times New Roman" w:eastAsia="方正仿宋_GBK"/>
          <w:sz w:val="32"/>
          <w:szCs w:val="32"/>
        </w:rPr>
        <w:t>42</w:t>
      </w:r>
      <w:r>
        <w:rPr>
          <w:rFonts w:ascii="Times New Roman" w:eastAsia="方正仿宋_GBK"/>
          <w:sz w:val="32"/>
          <w:szCs w:val="32"/>
        </w:rPr>
        <w:fldChar w:fldCharType="end"/>
      </w:r>
      <w:r>
        <w:fldChar w:fldCharType="end"/>
      </w:r>
    </w:p>
    <w:p w14:paraId="1DFCB50F">
      <w:pPr>
        <w:pStyle w:val="13"/>
        <w:tabs>
          <w:tab w:val="right" w:leader="dot" w:pos="8296"/>
        </w:tabs>
        <w:ind w:firstLine="0" w:firstLineChars="0"/>
        <w:rPr>
          <w:rFonts w:ascii="Times New Roman" w:eastAsia="方正仿宋_GBK"/>
          <w:b w:val="0"/>
          <w:bCs w:val="0"/>
          <w:caps w:val="0"/>
          <w:sz w:val="32"/>
          <w:szCs w:val="32"/>
        </w:rPr>
      </w:pPr>
      <w:r>
        <w:fldChar w:fldCharType="begin"/>
      </w:r>
      <w:r>
        <w:instrText xml:space="preserve">HYPERLINK  \l "_Toc98403198" </w:instrText>
      </w:r>
      <w:r>
        <w:fldChar w:fldCharType="separate"/>
      </w:r>
      <w:r>
        <w:rPr>
          <w:rStyle w:val="25"/>
          <w:rFonts w:ascii="Times New Roman" w:eastAsia="方正仿宋_GBK"/>
          <w:sz w:val="32"/>
          <w:szCs w:val="32"/>
        </w:rPr>
        <w:t>第十二章  完善多层次帮扶合作机制</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_Toc98403198 \h </w:instrText>
      </w:r>
      <w:r>
        <w:rPr>
          <w:rFonts w:ascii="Times New Roman" w:eastAsia="方正仿宋_GBK"/>
          <w:sz w:val="32"/>
          <w:szCs w:val="32"/>
        </w:rPr>
        <w:fldChar w:fldCharType="separate"/>
      </w:r>
      <w:r>
        <w:rPr>
          <w:rFonts w:ascii="Times New Roman" w:eastAsia="方正仿宋_GBK"/>
          <w:sz w:val="32"/>
          <w:szCs w:val="32"/>
        </w:rPr>
        <w:t>43</w:t>
      </w:r>
      <w:r>
        <w:rPr>
          <w:rFonts w:ascii="Times New Roman" w:eastAsia="方正仿宋_GBK"/>
          <w:sz w:val="32"/>
          <w:szCs w:val="32"/>
        </w:rPr>
        <w:fldChar w:fldCharType="end"/>
      </w:r>
      <w:r>
        <w:fldChar w:fldCharType="end"/>
      </w:r>
    </w:p>
    <w:p w14:paraId="789BB2A5">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"_Toc98403199" </w:instrText>
      </w:r>
      <w:r>
        <w:fldChar w:fldCharType="separate"/>
      </w:r>
      <w:r>
        <w:rPr>
          <w:rStyle w:val="25"/>
          <w:rFonts w:ascii="Times New Roman" w:eastAsia="方正仿宋_GBK"/>
          <w:sz w:val="32"/>
          <w:szCs w:val="32"/>
        </w:rPr>
        <w:t>第一节  完善川渝、渝黔协作机制</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_Toc98403199 \h </w:instrText>
      </w:r>
      <w:r>
        <w:rPr>
          <w:rFonts w:ascii="Times New Roman" w:eastAsia="方正仿宋_GBK"/>
          <w:sz w:val="32"/>
          <w:szCs w:val="32"/>
        </w:rPr>
        <w:fldChar w:fldCharType="separate"/>
      </w:r>
      <w:r>
        <w:rPr>
          <w:rFonts w:ascii="Times New Roman" w:eastAsia="方正仿宋_GBK"/>
          <w:sz w:val="32"/>
          <w:szCs w:val="32"/>
        </w:rPr>
        <w:t>43</w:t>
      </w:r>
      <w:r>
        <w:rPr>
          <w:rFonts w:ascii="Times New Roman" w:eastAsia="方正仿宋_GBK"/>
          <w:sz w:val="32"/>
          <w:szCs w:val="32"/>
        </w:rPr>
        <w:fldChar w:fldCharType="end"/>
      </w:r>
      <w:r>
        <w:fldChar w:fldCharType="end"/>
      </w:r>
    </w:p>
    <w:p w14:paraId="23789C97">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"_Toc98403200" </w:instrText>
      </w:r>
      <w:r>
        <w:fldChar w:fldCharType="separate"/>
      </w:r>
      <w:r>
        <w:rPr>
          <w:rStyle w:val="25"/>
          <w:rFonts w:ascii="Times New Roman" w:eastAsia="方正仿宋_GBK"/>
          <w:sz w:val="32"/>
          <w:szCs w:val="32"/>
        </w:rPr>
        <w:t>第二节  落实区县结对帮扶协同发展</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_Toc98403200 \h </w:instrText>
      </w:r>
      <w:r>
        <w:rPr>
          <w:rFonts w:ascii="Times New Roman" w:eastAsia="方正仿宋_GBK"/>
          <w:sz w:val="32"/>
          <w:szCs w:val="32"/>
        </w:rPr>
        <w:fldChar w:fldCharType="separate"/>
      </w:r>
      <w:r>
        <w:rPr>
          <w:rFonts w:ascii="Times New Roman" w:eastAsia="方正仿宋_GBK"/>
          <w:sz w:val="32"/>
          <w:szCs w:val="32"/>
        </w:rPr>
        <w:t>44</w:t>
      </w:r>
      <w:r>
        <w:rPr>
          <w:rFonts w:ascii="Times New Roman" w:eastAsia="方正仿宋_GBK"/>
          <w:sz w:val="32"/>
          <w:szCs w:val="32"/>
        </w:rPr>
        <w:fldChar w:fldCharType="end"/>
      </w:r>
      <w:r>
        <w:fldChar w:fldCharType="end"/>
      </w:r>
    </w:p>
    <w:p w14:paraId="5F41D37F">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"_Toc98403201" </w:instrText>
      </w:r>
      <w:r>
        <w:fldChar w:fldCharType="separate"/>
      </w:r>
      <w:r>
        <w:rPr>
          <w:rStyle w:val="25"/>
          <w:rFonts w:ascii="Times New Roman" w:eastAsia="方正仿宋_GBK"/>
          <w:sz w:val="32"/>
          <w:szCs w:val="32"/>
        </w:rPr>
        <w:t>第三节  建立社会帮扶工作机制</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_Toc98403201 \h </w:instrText>
      </w:r>
      <w:r>
        <w:rPr>
          <w:rFonts w:ascii="Times New Roman" w:eastAsia="方正仿宋_GBK"/>
          <w:sz w:val="32"/>
          <w:szCs w:val="32"/>
        </w:rPr>
        <w:fldChar w:fldCharType="separate"/>
      </w:r>
      <w:r>
        <w:rPr>
          <w:rFonts w:ascii="Times New Roman" w:eastAsia="方正仿宋_GBK"/>
          <w:sz w:val="32"/>
          <w:szCs w:val="32"/>
        </w:rPr>
        <w:t>45</w:t>
      </w:r>
      <w:r>
        <w:rPr>
          <w:rFonts w:ascii="Times New Roman" w:eastAsia="方正仿宋_GBK"/>
          <w:sz w:val="32"/>
          <w:szCs w:val="32"/>
        </w:rPr>
        <w:fldChar w:fldCharType="end"/>
      </w:r>
      <w:r>
        <w:fldChar w:fldCharType="end"/>
      </w:r>
    </w:p>
    <w:p w14:paraId="09D19368">
      <w:pPr>
        <w:pStyle w:val="13"/>
        <w:tabs>
          <w:tab w:val="right" w:leader="dot" w:pos="8296"/>
        </w:tabs>
        <w:ind w:firstLine="0" w:firstLineChars="0"/>
        <w:rPr>
          <w:rFonts w:ascii="Times New Roman" w:eastAsia="方正仿宋_GBK"/>
          <w:b w:val="0"/>
          <w:bCs w:val="0"/>
          <w:caps w:val="0"/>
          <w:sz w:val="32"/>
          <w:szCs w:val="32"/>
        </w:rPr>
      </w:pPr>
      <w:r>
        <w:fldChar w:fldCharType="begin"/>
      </w:r>
      <w:r>
        <w:instrText xml:space="preserve">HYPERLINK  \l "_Toc98403202" </w:instrText>
      </w:r>
      <w:r>
        <w:fldChar w:fldCharType="separate"/>
      </w:r>
      <w:r>
        <w:rPr>
          <w:rStyle w:val="25"/>
          <w:rFonts w:ascii="Times New Roman" w:eastAsia="方正仿宋_GBK"/>
          <w:sz w:val="32"/>
          <w:szCs w:val="32"/>
        </w:rPr>
        <w:t>第十三章  保障措施</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_Toc98403202 \h </w:instrText>
      </w:r>
      <w:r>
        <w:rPr>
          <w:rFonts w:ascii="Times New Roman" w:eastAsia="方正仿宋_GBK"/>
          <w:sz w:val="32"/>
          <w:szCs w:val="32"/>
        </w:rPr>
        <w:fldChar w:fldCharType="separate"/>
      </w:r>
      <w:r>
        <w:rPr>
          <w:rFonts w:ascii="Times New Roman" w:eastAsia="方正仿宋_GBK"/>
          <w:sz w:val="32"/>
          <w:szCs w:val="32"/>
        </w:rPr>
        <w:t>45</w:t>
      </w:r>
      <w:r>
        <w:rPr>
          <w:rFonts w:ascii="Times New Roman" w:eastAsia="方正仿宋_GBK"/>
          <w:sz w:val="32"/>
          <w:szCs w:val="32"/>
        </w:rPr>
        <w:fldChar w:fldCharType="end"/>
      </w:r>
      <w:r>
        <w:fldChar w:fldCharType="end"/>
      </w:r>
    </w:p>
    <w:p w14:paraId="07C61093">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"_Toc98403203" </w:instrText>
      </w:r>
      <w:r>
        <w:fldChar w:fldCharType="separate"/>
      </w:r>
      <w:r>
        <w:rPr>
          <w:rStyle w:val="25"/>
          <w:rFonts w:ascii="Times New Roman" w:eastAsia="方正仿宋_GBK"/>
          <w:sz w:val="32"/>
          <w:szCs w:val="32"/>
        </w:rPr>
        <w:t>第一节  加强组织领导</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_Toc98403203 \h </w:instrText>
      </w:r>
      <w:r>
        <w:rPr>
          <w:rFonts w:ascii="Times New Roman" w:eastAsia="方正仿宋_GBK"/>
          <w:sz w:val="32"/>
          <w:szCs w:val="32"/>
        </w:rPr>
        <w:fldChar w:fldCharType="separate"/>
      </w:r>
      <w:r>
        <w:rPr>
          <w:rFonts w:ascii="Times New Roman" w:eastAsia="方正仿宋_GBK"/>
          <w:sz w:val="32"/>
          <w:szCs w:val="32"/>
        </w:rPr>
        <w:t>45</w:t>
      </w:r>
      <w:r>
        <w:rPr>
          <w:rFonts w:ascii="Times New Roman" w:eastAsia="方正仿宋_GBK"/>
          <w:sz w:val="32"/>
          <w:szCs w:val="32"/>
        </w:rPr>
        <w:fldChar w:fldCharType="end"/>
      </w:r>
      <w:r>
        <w:fldChar w:fldCharType="end"/>
      </w:r>
    </w:p>
    <w:p w14:paraId="31A354D7">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"_Toc98403204" </w:instrText>
      </w:r>
      <w:r>
        <w:fldChar w:fldCharType="separate"/>
      </w:r>
      <w:r>
        <w:rPr>
          <w:rStyle w:val="25"/>
          <w:rFonts w:ascii="Times New Roman" w:eastAsia="方正仿宋_GBK"/>
          <w:sz w:val="32"/>
          <w:szCs w:val="32"/>
        </w:rPr>
        <w:t>第二节  做好政策支持</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_Toc98403204 \h </w:instrText>
      </w:r>
      <w:r>
        <w:rPr>
          <w:rFonts w:ascii="Times New Roman" w:eastAsia="方正仿宋_GBK"/>
          <w:sz w:val="32"/>
          <w:szCs w:val="32"/>
        </w:rPr>
        <w:fldChar w:fldCharType="separate"/>
      </w:r>
      <w:r>
        <w:rPr>
          <w:rFonts w:ascii="Times New Roman" w:eastAsia="方正仿宋_GBK"/>
          <w:sz w:val="32"/>
          <w:szCs w:val="32"/>
        </w:rPr>
        <w:t>46</w:t>
      </w:r>
      <w:r>
        <w:rPr>
          <w:rFonts w:ascii="Times New Roman" w:eastAsia="方正仿宋_GBK"/>
          <w:sz w:val="32"/>
          <w:szCs w:val="32"/>
        </w:rPr>
        <w:fldChar w:fldCharType="end"/>
      </w:r>
      <w:r>
        <w:fldChar w:fldCharType="end"/>
      </w:r>
    </w:p>
    <w:p w14:paraId="0D0E62AA">
      <w:pPr>
        <w:pStyle w:val="17"/>
        <w:tabs>
          <w:tab w:val="right" w:leader="dot" w:pos="8296"/>
        </w:tabs>
        <w:ind w:firstLine="0" w:firstLineChars="0"/>
        <w:rPr>
          <w:rFonts w:ascii="Times New Roman" w:eastAsia="方正仿宋_GBK"/>
          <w:smallCaps w:val="0"/>
          <w:sz w:val="32"/>
          <w:szCs w:val="32"/>
        </w:rPr>
      </w:pPr>
      <w:r>
        <w:fldChar w:fldCharType="begin"/>
      </w:r>
      <w:r>
        <w:instrText xml:space="preserve">HYPERLINK  \l "_Toc98403205" </w:instrText>
      </w:r>
      <w:r>
        <w:fldChar w:fldCharType="separate"/>
      </w:r>
      <w:r>
        <w:rPr>
          <w:rStyle w:val="25"/>
          <w:rFonts w:ascii="Times New Roman" w:eastAsia="方正仿宋_GBK"/>
          <w:sz w:val="32"/>
          <w:szCs w:val="32"/>
        </w:rPr>
        <w:t>第三节  强化人才供给</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_Toc98403205 \h </w:instrText>
      </w:r>
      <w:r>
        <w:rPr>
          <w:rFonts w:ascii="Times New Roman" w:eastAsia="方正仿宋_GBK"/>
          <w:sz w:val="32"/>
          <w:szCs w:val="32"/>
        </w:rPr>
        <w:fldChar w:fldCharType="separate"/>
      </w:r>
      <w:r>
        <w:rPr>
          <w:rFonts w:ascii="Times New Roman" w:eastAsia="方正仿宋_GBK"/>
          <w:sz w:val="32"/>
          <w:szCs w:val="32"/>
        </w:rPr>
        <w:t>47</w:t>
      </w:r>
      <w:r>
        <w:rPr>
          <w:rFonts w:ascii="Times New Roman" w:eastAsia="方正仿宋_GBK"/>
          <w:sz w:val="32"/>
          <w:szCs w:val="32"/>
        </w:rPr>
        <w:fldChar w:fldCharType="end"/>
      </w:r>
      <w:r>
        <w:fldChar w:fldCharType="end"/>
      </w:r>
    </w:p>
    <w:p w14:paraId="736F40E1">
      <w:pPr>
        <w:pStyle w:val="17"/>
        <w:tabs>
          <w:tab w:val="right" w:leader="dot" w:pos="8296"/>
        </w:tabs>
        <w:ind w:firstLine="0" w:firstLineChars="0"/>
        <w:rPr>
          <w:rFonts w:ascii="Calibri" w:hAnsi="Calibri" w:eastAsia="宋体"/>
          <w:smallCaps w:val="0"/>
          <w:sz w:val="21"/>
          <w:szCs w:val="22"/>
        </w:rPr>
      </w:pPr>
      <w:r>
        <w:fldChar w:fldCharType="begin"/>
      </w:r>
      <w:r>
        <w:instrText xml:space="preserve">HYPERLINK  \l "_Toc98403206" </w:instrText>
      </w:r>
      <w:r>
        <w:fldChar w:fldCharType="separate"/>
      </w:r>
      <w:r>
        <w:rPr>
          <w:rStyle w:val="25"/>
          <w:rFonts w:ascii="Times New Roman" w:eastAsia="方正仿宋_GBK"/>
          <w:sz w:val="32"/>
          <w:szCs w:val="32"/>
        </w:rPr>
        <w:t xml:space="preserve">第四节  </w:t>
      </w:r>
      <w:r>
        <w:rPr>
          <w:rStyle w:val="25"/>
          <w:rFonts w:hint="eastAsia" w:ascii="Times New Roman" w:eastAsia="方正仿宋_GBK"/>
          <w:sz w:val="32"/>
          <w:szCs w:val="32"/>
        </w:rPr>
        <w:t>加强实施管理</w:t>
      </w:r>
      <w:r>
        <w:rPr>
          <w:rFonts w:ascii="Times New Roman" w:eastAsia="方正仿宋_GBK"/>
          <w:sz w:val="32"/>
          <w:szCs w:val="32"/>
        </w:rPr>
        <w:tab/>
      </w:r>
      <w:r>
        <w:rPr>
          <w:rFonts w:ascii="Times New Roman" w:eastAsia="方正仿宋_GBK"/>
          <w:sz w:val="32"/>
          <w:szCs w:val="32"/>
        </w:rPr>
        <w:fldChar w:fldCharType="begin"/>
      </w:r>
      <w:r>
        <w:rPr>
          <w:rFonts w:ascii="Times New Roman" w:eastAsia="方正仿宋_GBK"/>
          <w:sz w:val="32"/>
          <w:szCs w:val="32"/>
        </w:rPr>
        <w:instrText xml:space="preserve"> PAGEREF _Toc98403206 \h </w:instrText>
      </w:r>
      <w:r>
        <w:rPr>
          <w:rFonts w:ascii="Times New Roman" w:eastAsia="方正仿宋_GBK"/>
          <w:sz w:val="32"/>
          <w:szCs w:val="32"/>
        </w:rPr>
        <w:fldChar w:fldCharType="separate"/>
      </w:r>
      <w:r>
        <w:rPr>
          <w:rFonts w:ascii="Times New Roman" w:eastAsia="方正仿宋_GBK"/>
          <w:sz w:val="32"/>
          <w:szCs w:val="32"/>
        </w:rPr>
        <w:t>48</w:t>
      </w:r>
      <w:r>
        <w:rPr>
          <w:rFonts w:ascii="Times New Roman" w:eastAsia="方正仿宋_GBK"/>
          <w:sz w:val="32"/>
          <w:szCs w:val="32"/>
        </w:rPr>
        <w:fldChar w:fldCharType="end"/>
      </w:r>
      <w:r>
        <w:fldChar w:fldCharType="end"/>
      </w:r>
    </w:p>
    <w:p w14:paraId="397EFCF2">
      <w:pPr>
        <w:spacing w:line="240" w:lineRule="auto"/>
        <w:ind w:firstLine="0" w:firstLineChars="0"/>
        <w:rPr>
          <w:color w:val="000000"/>
        </w:rPr>
        <w:sectPr>
          <w:footerReference r:id="rId11" w:type="default"/>
          <w:pgSz w:w="11906" w:h="16838"/>
          <w:pgMar w:top="1440" w:right="1800" w:bottom="1440" w:left="1800" w:header="851" w:footer="992" w:gutter="0"/>
          <w:pgNumType w:fmt="upperRoman" w:start="1"/>
          <w:cols w:space="720" w:num="1"/>
          <w:docGrid w:type="lines" w:linePitch="312" w:charSpace="0"/>
        </w:sectPr>
      </w:pPr>
      <w:r>
        <w:fldChar w:fldCharType="end"/>
      </w:r>
    </w:p>
    <w:p w14:paraId="05AD1F67">
      <w:pPr>
        <w:ind w:firstLine="0" w:firstLineChars="0"/>
        <w:jc w:val="center"/>
        <w:rPr>
          <w:rFonts w:hint="eastAsia" w:ascii="方正小标宋_GBK" w:eastAsia="方正小标宋_GBK"/>
          <w:color w:val="000000"/>
          <w:sz w:val="36"/>
          <w:szCs w:val="36"/>
          <w:highlight w:val="none"/>
        </w:rPr>
      </w:pPr>
      <w:bookmarkStart w:id="3" w:name="_Hlk92700395"/>
      <w:r>
        <w:rPr>
          <w:rFonts w:hint="eastAsia" w:ascii="方正小标宋_GBK" w:eastAsia="方正小标宋_GBK"/>
          <w:color w:val="000000"/>
          <w:sz w:val="36"/>
          <w:szCs w:val="36"/>
          <w:highlight w:val="none"/>
        </w:rPr>
        <w:t>重庆市万盛经开区巩固拓展脱贫攻坚成果</w:t>
      </w:r>
    </w:p>
    <w:p w14:paraId="69FC9691">
      <w:pPr>
        <w:ind w:firstLine="0" w:firstLineChars="0"/>
        <w:jc w:val="center"/>
        <w:rPr>
          <w:rFonts w:ascii="方正小标宋_GBK" w:eastAsia="方正小标宋_GBK"/>
          <w:color w:val="000000"/>
          <w:sz w:val="36"/>
          <w:szCs w:val="36"/>
          <w:highlight w:val="none"/>
        </w:rPr>
      </w:pPr>
      <w:r>
        <w:rPr>
          <w:rFonts w:hint="eastAsia" w:ascii="方正小标宋_GBK" w:eastAsia="方正小标宋_GBK"/>
          <w:color w:val="000000"/>
          <w:sz w:val="36"/>
          <w:szCs w:val="36"/>
          <w:highlight w:val="none"/>
        </w:rPr>
        <w:t>同乡村振兴有效衔接“十四五”规划</w:t>
      </w:r>
    </w:p>
    <w:p w14:paraId="7579DEF9">
      <w:pPr>
        <w:ind w:firstLine="0" w:firstLineChars="0"/>
        <w:jc w:val="center"/>
        <w:rPr>
          <w:color w:val="000000"/>
          <w:highlight w:val="none"/>
        </w:rPr>
      </w:pPr>
      <w:r>
        <w:rPr>
          <w:rFonts w:hint="eastAsia"/>
          <w:color w:val="000000"/>
          <w:highlight w:val="none"/>
        </w:rPr>
        <w:t>（2021—2025年）</w:t>
      </w:r>
    </w:p>
    <w:bookmarkEnd w:id="3"/>
    <w:p w14:paraId="5BB46AA6">
      <w:pPr>
        <w:ind w:firstLine="640"/>
        <w:rPr>
          <w:color w:val="000000"/>
          <w:highlight w:val="none"/>
        </w:rPr>
      </w:pPr>
    </w:p>
    <w:p w14:paraId="23018B15">
      <w:pPr>
        <w:ind w:firstLine="640"/>
        <w:rPr>
          <w:color w:val="000000"/>
          <w:highlight w:val="none"/>
        </w:rPr>
      </w:pPr>
      <w:r>
        <w:rPr>
          <w:color w:val="000000"/>
          <w:highlight w:val="none"/>
        </w:rPr>
        <w:t>为深入贯彻习近平总书记关于</w:t>
      </w:r>
      <w:r>
        <w:rPr>
          <w:rFonts w:hint="eastAsia" w:ascii="方正仿宋_GBK"/>
          <w:color w:val="000000"/>
          <w:highlight w:val="none"/>
        </w:rPr>
        <w:t>“三农”</w:t>
      </w:r>
      <w:r>
        <w:rPr>
          <w:color w:val="000000"/>
          <w:highlight w:val="none"/>
        </w:rPr>
        <w:t>工作重要论述、对巩固拓展脱贫攻坚成果同乡村振兴有效衔接的重要指示要求，科学谋划</w:t>
      </w:r>
      <w:r>
        <w:rPr>
          <w:rFonts w:hint="eastAsia" w:ascii="方正仿宋_GBK"/>
          <w:color w:val="000000"/>
          <w:highlight w:val="none"/>
        </w:rPr>
        <w:t>全区“十四五”时期巩固拓展脱贫攻坚成果同乡村振兴有效衔接，</w:t>
      </w:r>
      <w:r>
        <w:rPr>
          <w:color w:val="000000"/>
          <w:highlight w:val="none"/>
        </w:rPr>
        <w:t>根据《中共中央国务院关于实现巩固拓展脱贫攻坚成果同乡村振兴有效衔接的意见》</w:t>
      </w:r>
      <w:r>
        <w:rPr>
          <w:rFonts w:hint="eastAsia"/>
          <w:color w:val="000000"/>
          <w:highlight w:val="none"/>
        </w:rPr>
        <w:t>《重庆市巩固拓展脱贫攻坚成果同乡村振兴有效衔接“十四五”规划（2021—2025年）》及</w:t>
      </w:r>
      <w:r>
        <w:rPr>
          <w:color w:val="000000"/>
          <w:highlight w:val="none"/>
        </w:rPr>
        <w:t>《</w:t>
      </w:r>
      <w:r>
        <w:rPr>
          <w:rFonts w:hint="eastAsia"/>
          <w:color w:val="000000"/>
          <w:highlight w:val="none"/>
        </w:rPr>
        <w:t>重庆市万盛经济技术开发区国民经济和社会发展第十四个五年规划和二〇三五年远景目标纲要</w:t>
      </w:r>
      <w:r>
        <w:rPr>
          <w:color w:val="000000"/>
          <w:highlight w:val="none"/>
        </w:rPr>
        <w:t>》，</w:t>
      </w:r>
      <w:r>
        <w:rPr>
          <w:rFonts w:hint="eastAsia"/>
          <w:color w:val="000000"/>
          <w:highlight w:val="none"/>
        </w:rPr>
        <w:t>制定本规划。</w:t>
      </w:r>
      <w:r>
        <w:rPr>
          <w:color w:val="000000"/>
          <w:highlight w:val="none"/>
        </w:rPr>
        <w:t>规划实施期限为2021年—2025年</w:t>
      </w:r>
      <w:r>
        <w:rPr>
          <w:rFonts w:hint="eastAsia"/>
          <w:color w:val="000000"/>
          <w:highlight w:val="none"/>
        </w:rPr>
        <w:t>，展望至2</w:t>
      </w:r>
      <w:r>
        <w:rPr>
          <w:color w:val="000000"/>
          <w:highlight w:val="none"/>
        </w:rPr>
        <w:t>035</w:t>
      </w:r>
      <w:r>
        <w:rPr>
          <w:rFonts w:hint="eastAsia"/>
          <w:color w:val="000000"/>
          <w:highlight w:val="none"/>
        </w:rPr>
        <w:t>年</w:t>
      </w:r>
      <w:r>
        <w:rPr>
          <w:color w:val="000000"/>
          <w:highlight w:val="none"/>
        </w:rPr>
        <w:t>。</w:t>
      </w:r>
    </w:p>
    <w:p w14:paraId="0487C2A1">
      <w:pPr>
        <w:pStyle w:val="2"/>
        <w:spacing w:before="312" w:after="312"/>
        <w:rPr>
          <w:color w:val="000000"/>
          <w:highlight w:val="none"/>
        </w:rPr>
      </w:pPr>
      <w:bookmarkStart w:id="4" w:name="_Toc98403148"/>
      <w:bookmarkStart w:id="5" w:name="_Toc76313138"/>
      <w:r>
        <w:rPr>
          <w:color w:val="000000"/>
          <w:highlight w:val="none"/>
        </w:rPr>
        <w:t>第一章  工作基础和环境</w:t>
      </w:r>
      <w:bookmarkEnd w:id="4"/>
      <w:bookmarkEnd w:id="5"/>
    </w:p>
    <w:p w14:paraId="0A2E1933">
      <w:pPr>
        <w:pStyle w:val="3"/>
        <w:spacing w:before="156" w:after="156"/>
        <w:rPr>
          <w:highlight w:val="none"/>
        </w:rPr>
      </w:pPr>
      <w:bookmarkStart w:id="6" w:name="_Toc98403149"/>
      <w:bookmarkStart w:id="7" w:name="_Toc76313139"/>
      <w:r>
        <w:rPr>
          <w:highlight w:val="none"/>
        </w:rPr>
        <w:t>第一节  工作基础</w:t>
      </w:r>
      <w:bookmarkEnd w:id="6"/>
      <w:bookmarkEnd w:id="7"/>
    </w:p>
    <w:p w14:paraId="514D27C5">
      <w:pPr>
        <w:ind w:firstLine="640"/>
        <w:rPr>
          <w:color w:val="000000"/>
          <w:highlight w:val="none"/>
        </w:rPr>
      </w:pPr>
      <w:r>
        <w:rPr>
          <w:rFonts w:hint="eastAsia"/>
          <w:color w:val="000000"/>
          <w:highlight w:val="none"/>
        </w:rPr>
        <w:t>“十三五”时期，特别是党的十九大以来，万盛经开区党工委、管委会坚持以习近平新时代中国特色社会主义思想为指导，深学笃用习近平总书记关于扶贫工作重要论述和视察重庆重要讲话精神，认真落实中共中央、国务院和市委、市政府各项决策部署，凝心聚力、尽锐出战、狠抓落实，如期完成脱贫攻坚各项目标任务，脱贫攻坚战取得全面胜利。</w:t>
      </w:r>
    </w:p>
    <w:p w14:paraId="0885CD8D">
      <w:pPr>
        <w:ind w:firstLine="643"/>
        <w:rPr>
          <w:color w:val="000000"/>
          <w:highlight w:val="none"/>
        </w:rPr>
      </w:pPr>
      <w:r>
        <w:rPr>
          <w:rFonts w:hint="eastAsia"/>
          <w:b/>
          <w:bCs w:val="0"/>
          <w:color w:val="000000"/>
          <w:highlight w:val="none"/>
        </w:rPr>
        <w:t>——农村贫困人口全部脱贫，为实现全面建成小康社会目标任务作出了关键性贡献</w:t>
      </w:r>
      <w:r>
        <w:rPr>
          <w:rFonts w:hint="eastAsia"/>
          <w:color w:val="000000"/>
          <w:highlight w:val="none"/>
        </w:rPr>
        <w:t>。历史性消除了绝对贫困，7个贫困村全部脱贫出列，2020年底建档立卡贫困户1812户6298人全部脱贫。脱贫攻坚战的全面胜利，为推动乡村振兴奠定了坚实基础，增添了“十四五”时期巩固拓展脱贫攻坚成果、接续做好乡村振兴这篇大文章的信心和底气。</w:t>
      </w:r>
    </w:p>
    <w:p w14:paraId="78DEF66B">
      <w:pPr>
        <w:ind w:firstLine="643"/>
        <w:rPr>
          <w:color w:val="000000"/>
          <w:highlight w:val="none"/>
        </w:rPr>
      </w:pPr>
      <w:r>
        <w:rPr>
          <w:rFonts w:hint="eastAsia"/>
          <w:b/>
          <w:bCs w:val="0"/>
          <w:color w:val="000000"/>
          <w:highlight w:val="none"/>
        </w:rPr>
        <w:t>——经济社会发展大踏步赶上来，整体面貌发生历史性巨变</w:t>
      </w:r>
      <w:r>
        <w:rPr>
          <w:rFonts w:hint="eastAsia"/>
          <w:color w:val="000000"/>
          <w:highlight w:val="none"/>
        </w:rPr>
        <w:t>。全区发展步伐显著加快，经济实力不断增强，基础设施建设突飞猛进，社会事业长足进步。全区累计改造贫困户危房756户、改造提升农村房屋1.31万户，完成8镇卫生院和全区66个村卫生室标准化建设，配齐卫生院、卫生室执业医师、全科医师、乡村医生，实现医保刷卡全覆盖，村标准化卫生室全覆盖。精准落实教育资助政策，在全市率先实现农村初中寄宿制学校、农村学校塑胶运动场全覆盖，全区义务教育巩固率达100%，累计资助贫困学生1.2万人次，兑现资助资金1500万元。推进农村饮水巩固提升工程，全区累计建成农村饮水安全工程2392处，安装安全饮水管网750千米，自来水普及率达88.6%，贫困户供水水量、水质、用水方便程度、供水保证率全部达到标准要求。所有脱贫村通宽带、4G信号全覆盖，农村电网供电可靠率达100%。脱贫群众行路难、吃水难、用电难、通信难、上学难、就医难等问题得到历史性解决，“两不愁三保障”问题实现动态清零。 “十三五”期末，农村居民人均可支配收入实现年均增速7.1%，收入达到16863元，原建档立卡贫困人口人均纯收入</w:t>
      </w:r>
      <w:r>
        <w:rPr>
          <w:color w:val="000000"/>
          <w:highlight w:val="none"/>
        </w:rPr>
        <w:t>14168</w:t>
      </w:r>
      <w:r>
        <w:rPr>
          <w:rFonts w:hint="eastAsia"/>
          <w:color w:val="000000"/>
          <w:highlight w:val="none"/>
        </w:rPr>
        <w:t>元，年均增速</w:t>
      </w:r>
      <w:r>
        <w:rPr>
          <w:color w:val="000000"/>
          <w:highlight w:val="none"/>
        </w:rPr>
        <w:t>21</w:t>
      </w:r>
      <w:r>
        <w:rPr>
          <w:rFonts w:hint="eastAsia"/>
          <w:color w:val="000000"/>
          <w:highlight w:val="none"/>
        </w:rPr>
        <w:t>%。通过脱贫攻坚的持续扶持，实现镇镇有特色产业、村村有增收项目、户户有致富产品。</w:t>
      </w:r>
    </w:p>
    <w:p w14:paraId="56611106">
      <w:pPr>
        <w:ind w:firstLine="643"/>
        <w:rPr>
          <w:color w:val="000000"/>
          <w:highlight w:val="none"/>
        </w:rPr>
      </w:pPr>
      <w:r>
        <w:rPr>
          <w:rFonts w:hint="eastAsia"/>
          <w:b/>
          <w:bCs w:val="0"/>
          <w:color w:val="000000"/>
          <w:highlight w:val="none"/>
        </w:rPr>
        <w:t>——脱贫群众精神风貌焕然一新，增添了自立自强的信心勇气</w:t>
      </w:r>
      <w:r>
        <w:rPr>
          <w:rFonts w:hint="eastAsia"/>
          <w:color w:val="000000"/>
          <w:highlight w:val="none"/>
        </w:rPr>
        <w:t>。广大脱贫群众激发了奋发向上的精气神，社会主义核心价值观得到广泛传播，文明新风得到广泛弘扬，艰苦奋斗、苦干实干、用自己的双手创造幸福生活的精神在全区蔚然成风。全区表彰脱贫攻坚先进集体50个、先进个人100名，荣获全国脱贫攻坚奖的先进个人1名，荣获全市脱贫攻坚奖的先进集体5个、先进个人7名。原贫困村凉风村入选全国首批乡村旅游重点村、全国运动休闲特色小镇、全市十佳美丽乡村典范、2018中国最美村镇“精准扶贫典范奖”。万盛经开区荣获全国休闲农业与乡村旅游示范区、全国一二三产</w:t>
      </w:r>
      <w:r>
        <w:rPr>
          <w:rFonts w:hint="eastAsia"/>
          <w:color w:val="000000"/>
          <w:highlight w:val="none"/>
          <w:lang w:eastAsia="zh-CN"/>
        </w:rPr>
        <w:t>业</w:t>
      </w:r>
      <w:r>
        <w:rPr>
          <w:rFonts w:hint="eastAsia"/>
          <w:color w:val="000000"/>
          <w:highlight w:val="none"/>
        </w:rPr>
        <w:t>融合发展示范区、全国农村创业创新典型县、精准扶贫典范奖、重庆市精准扶贫微企梦乡村等荣誉。</w:t>
      </w:r>
    </w:p>
    <w:p w14:paraId="3C171392">
      <w:pPr>
        <w:ind w:firstLine="640"/>
        <w:rPr>
          <w:color w:val="000000"/>
          <w:highlight w:val="none"/>
        </w:rPr>
      </w:pPr>
      <w:r>
        <w:rPr>
          <w:rFonts w:hint="eastAsia"/>
          <w:color w:val="000000"/>
          <w:highlight w:val="none"/>
        </w:rPr>
        <w:t>——</w:t>
      </w:r>
      <w:r>
        <w:rPr>
          <w:rFonts w:hint="eastAsia"/>
          <w:b/>
          <w:bCs w:val="0"/>
          <w:color w:val="000000"/>
          <w:highlight w:val="none"/>
        </w:rPr>
        <w:t>党群干群关系明显改善，党在农村的执政基础更加牢固</w:t>
      </w:r>
      <w:r>
        <w:rPr>
          <w:rFonts w:hint="eastAsia"/>
          <w:color w:val="000000"/>
          <w:highlight w:val="none"/>
        </w:rPr>
        <w:t>。广大扶贫干部舍小家为大家，把心血和汗水洒遍千山万水、千家万户。强化精准帮扶，由区领导挂帅，区扶贫办组建8个工作组，8个帮扶集团、49个区级部门和25个重点国企以包镇的方式对口帮扶8个镇，</w:t>
      </w:r>
      <w:r>
        <w:rPr>
          <w:color w:val="000000"/>
          <w:highlight w:val="none"/>
        </w:rPr>
        <w:t>1800</w:t>
      </w:r>
      <w:r>
        <w:rPr>
          <w:rFonts w:hint="eastAsia"/>
          <w:color w:val="000000"/>
          <w:highlight w:val="none"/>
        </w:rPr>
        <w:t>余名干部结对帮扶贫困户，落实每月走访要求，因村因户因人实施帮扶。组织全覆盖培训，举办区级扶贫干部培训班46期，培训扶贫干部6344人次。落实“四个不摘”要求，下派9支区级驻村工作队，选派9名优秀第一书记兼任工作队队长，全脱产驻村帮扶7个贫困村和2个非贫困重点村。强化攻坚力量，从区级部门抽调精干力量</w:t>
      </w:r>
      <w:r>
        <w:rPr>
          <w:color w:val="000000"/>
          <w:highlight w:val="none"/>
        </w:rPr>
        <w:t>28</w:t>
      </w:r>
      <w:r>
        <w:rPr>
          <w:rFonts w:hint="eastAsia"/>
          <w:color w:val="000000"/>
          <w:highlight w:val="none"/>
        </w:rPr>
        <w:t>人，充实到区扶贫办脱产开展脱贫攻坚工作，区级扶贫机构人员配备达到37人，镇级扶贫机构配备4—6人。基层党组织战斗堡垒作用明显增强，基层干部素质能力有效提升，党在农村的执政基础不断夯实。</w:t>
      </w:r>
    </w:p>
    <w:p w14:paraId="60219DB2">
      <w:pPr>
        <w:pStyle w:val="3"/>
        <w:spacing w:before="156" w:after="156"/>
        <w:rPr>
          <w:color w:val="000000"/>
          <w:highlight w:val="none"/>
        </w:rPr>
      </w:pPr>
      <w:bookmarkStart w:id="8" w:name="_Toc76313140"/>
      <w:bookmarkStart w:id="9" w:name="_Toc98403150"/>
      <w:r>
        <w:rPr>
          <w:color w:val="000000"/>
          <w:highlight w:val="none"/>
        </w:rPr>
        <w:t>第二节  形势环境</w:t>
      </w:r>
      <w:bookmarkEnd w:id="8"/>
      <w:bookmarkEnd w:id="9"/>
    </w:p>
    <w:p w14:paraId="3C8B7D4E">
      <w:pPr>
        <w:ind w:firstLine="640"/>
        <w:rPr>
          <w:rFonts w:ascii="方正仿宋_GBK"/>
          <w:color w:val="000000"/>
          <w:highlight w:val="none"/>
        </w:rPr>
      </w:pPr>
      <w:r>
        <w:rPr>
          <w:rFonts w:hint="eastAsia" w:ascii="方正仿宋_GBK"/>
          <w:color w:val="000000"/>
          <w:highlight w:val="none"/>
        </w:rPr>
        <w:t>“十四五”时期是我国开启全面建设社会主义现代化国家新征程、向第二个百年奋斗目标进军的第一个五年，是巩固拓展脱贫攻坚成果同乡村振兴有效衔接的“关键期”。</w:t>
      </w:r>
      <w:r>
        <w:rPr>
          <w:rFonts w:hint="eastAsia" w:ascii="方正仿宋_GBK"/>
          <w:b/>
          <w:bCs w:val="0"/>
          <w:color w:val="000000"/>
          <w:highlight w:val="none"/>
        </w:rPr>
        <w:t>从顶层设计来看</w:t>
      </w:r>
      <w:r>
        <w:rPr>
          <w:rFonts w:hint="eastAsia" w:ascii="方正仿宋_GBK"/>
          <w:color w:val="000000"/>
          <w:highlight w:val="none"/>
        </w:rPr>
        <w:t>，以习近平同志为核心的党中央高度重视“三农”工作，习近平总书记对巩固拓展脱贫攻坚成果同乡村振兴有效衔接提出明确要求，为巩固拓展脱贫攻坚成果同乡村振兴有效衔接指明了方向、提供了遵循。</w:t>
      </w:r>
      <w:r>
        <w:rPr>
          <w:rFonts w:hint="eastAsia" w:ascii="方正仿宋_GBK"/>
          <w:b/>
          <w:bCs w:val="0"/>
          <w:color w:val="000000"/>
          <w:highlight w:val="none"/>
        </w:rPr>
        <w:t>从投入力度来看</w:t>
      </w:r>
      <w:r>
        <w:rPr>
          <w:rFonts w:hint="eastAsia" w:ascii="方正仿宋_GBK"/>
          <w:color w:val="000000"/>
          <w:highlight w:val="none"/>
        </w:rPr>
        <w:t>，全党把实施乡村振兴战略作为新时代“三农”工作总抓手，必将在资金投入、要素配置、公共服务、干部配备等方面采取有力举措，必将为巩固拓展脱贫攻坚成果同乡村振兴有效衔接提供有力支撑。</w:t>
      </w:r>
      <w:r>
        <w:rPr>
          <w:rFonts w:hint="eastAsia" w:ascii="方正仿宋_GBK"/>
          <w:b/>
          <w:bCs w:val="0"/>
          <w:color w:val="000000"/>
          <w:highlight w:val="none"/>
        </w:rPr>
        <w:t>从政策举措来看</w:t>
      </w:r>
      <w:r>
        <w:rPr>
          <w:rFonts w:hint="eastAsia" w:ascii="方正仿宋_GBK"/>
          <w:color w:val="000000"/>
          <w:highlight w:val="none"/>
        </w:rPr>
        <w:t>，党中央作出构建以国内大循环为主体、国内国际双循环相互促进的新发展格局的重大决策，共建“一带一路”、长江经济带发展、新时代西部大开发、推进成渝地区双城经济圈建设、全市“一区两群”协调发展、</w:t>
      </w:r>
      <w:bookmarkStart w:id="10" w:name="_Hlk85533024"/>
      <w:r>
        <w:rPr>
          <w:rFonts w:hint="eastAsia" w:ascii="方正仿宋_GBK"/>
          <w:color w:val="000000"/>
          <w:highlight w:val="none"/>
        </w:rPr>
        <w:t>綦江—万盛一体化</w:t>
      </w:r>
      <w:bookmarkStart w:id="11" w:name="_Hlk98403371"/>
      <w:r>
        <w:rPr>
          <w:rFonts w:hint="eastAsia" w:ascii="方正仿宋_GBK"/>
          <w:color w:val="000000"/>
          <w:highlight w:val="none"/>
        </w:rPr>
        <w:t>同城化融合化</w:t>
      </w:r>
      <w:bookmarkEnd w:id="11"/>
      <w:r>
        <w:rPr>
          <w:rFonts w:hint="eastAsia" w:ascii="方正仿宋_GBK"/>
          <w:color w:val="000000"/>
          <w:highlight w:val="none"/>
        </w:rPr>
        <w:t>发展</w:t>
      </w:r>
      <w:bookmarkEnd w:id="10"/>
      <w:r>
        <w:rPr>
          <w:rFonts w:hint="eastAsia" w:ascii="方正仿宋_GBK"/>
          <w:color w:val="000000"/>
          <w:highlight w:val="none"/>
        </w:rPr>
        <w:t>深入推进和建设渝黔合作先行示范区等重大战略深入实施，供给侧结构性改革稳步推进，扩大内需战略深入实施，为我区高质量发展赋予了全新优势、创造了更为有利的条件，也必将为我区巩固拓展脱贫攻坚成果同乡村振兴有效衔接带来更多机遇。</w:t>
      </w:r>
      <w:r>
        <w:rPr>
          <w:rFonts w:hint="eastAsia" w:ascii="方正仿宋_GBK"/>
          <w:b/>
          <w:bCs w:val="0"/>
          <w:color w:val="000000"/>
          <w:highlight w:val="none"/>
        </w:rPr>
        <w:t>从全区脱贫攻坚基础来看</w:t>
      </w:r>
      <w:r>
        <w:rPr>
          <w:rFonts w:hint="eastAsia" w:ascii="方正仿宋_GBK"/>
          <w:color w:val="000000"/>
          <w:highlight w:val="none"/>
        </w:rPr>
        <w:t>，万盛经开区脱贫攻坚交出硬核答卷，为推动乡村产业、人才、文化、生态、组织等全面振兴奠定了坚实基础，城乡融合发展机制不断健全，有助于城域、镇域发挥优势、彰显特色、协同发展，增添了巩固拓展脱贫攻坚成果、全面推进乡村振兴这篇大文章的信心和底气。</w:t>
      </w:r>
      <w:r>
        <w:rPr>
          <w:rFonts w:hint="eastAsia" w:ascii="方正仿宋_GBK"/>
          <w:b/>
          <w:bCs w:val="0"/>
          <w:color w:val="000000"/>
          <w:highlight w:val="none"/>
        </w:rPr>
        <w:t>从全区优势条件来看</w:t>
      </w:r>
      <w:r>
        <w:rPr>
          <w:rFonts w:hint="eastAsia" w:ascii="方正仿宋_GBK"/>
          <w:color w:val="000000"/>
          <w:highlight w:val="none"/>
        </w:rPr>
        <w:t>，万盛旅游资源丰富，具备较好的发展基础，经济实力日益增强，对农业农村的支持力度不断加大，交通十分便利，农村生产生活条件加快改善，城乡融合发展体制机制不断健全，农村土地基本经营制度和集体产权制度不断完善，农业现代化和美丽乡村建设取得新成就，为实现巩固拓展脱贫攻坚成果同乡村振兴有效衔接奠定了良好的基础。</w:t>
      </w:r>
    </w:p>
    <w:p w14:paraId="1C7E9D63">
      <w:pPr>
        <w:ind w:firstLine="640"/>
        <w:rPr>
          <w:rFonts w:ascii="方正仿宋_GBK"/>
          <w:color w:val="000000"/>
          <w:highlight w:val="none"/>
        </w:rPr>
      </w:pPr>
      <w:r>
        <w:rPr>
          <w:rFonts w:hint="eastAsia" w:ascii="方正仿宋_GBK"/>
          <w:color w:val="000000"/>
          <w:highlight w:val="none"/>
        </w:rPr>
        <w:t>同时也必须看到，在巩固拓展脱贫攻坚成果、全面推进乡村振兴过程中仍存在一些不利因素。</w:t>
      </w:r>
      <w:r>
        <w:rPr>
          <w:rFonts w:hint="eastAsia" w:ascii="方正仿宋_GBK"/>
          <w:b/>
          <w:bCs w:val="0"/>
          <w:color w:val="000000"/>
          <w:highlight w:val="none"/>
        </w:rPr>
        <w:t>从国际环境来看</w:t>
      </w:r>
      <w:r>
        <w:rPr>
          <w:rFonts w:hint="eastAsia" w:ascii="方正仿宋_GBK"/>
          <w:color w:val="000000"/>
          <w:highlight w:val="none"/>
        </w:rPr>
        <w:t>，当前国际环境日趋复杂，不稳定性不确定性明显增加，新冠肺炎疫情影响广泛深远，经济全球化遭遇逆流，全球供应链受到冲击，农业农村发展面临新的挑战。</w:t>
      </w:r>
      <w:r>
        <w:rPr>
          <w:rFonts w:hint="eastAsia" w:ascii="方正仿宋_GBK"/>
          <w:b/>
          <w:bCs w:val="0"/>
          <w:color w:val="000000"/>
          <w:highlight w:val="none"/>
        </w:rPr>
        <w:t>从我国国情来看</w:t>
      </w:r>
      <w:r>
        <w:rPr>
          <w:rFonts w:hint="eastAsia" w:ascii="方正仿宋_GBK"/>
          <w:color w:val="000000"/>
          <w:highlight w:val="none"/>
        </w:rPr>
        <w:t>，随着工业化、城镇化的快速发展，各种优质资源大量集中到城市，乡村发展普遍缺乏人才、资金、信息等支持，虽然国家出台了众多优惠政策鼓励城市反哺农村，采取了多种举措吸引人才向农村聚集，投入了大量资金支持农村地区发展，但总体来看效果仍待显现，农村发展动力仍待增强。</w:t>
      </w:r>
      <w:r>
        <w:rPr>
          <w:rFonts w:hint="eastAsia" w:ascii="方正仿宋_GBK"/>
          <w:b/>
          <w:bCs w:val="0"/>
          <w:color w:val="000000"/>
          <w:highlight w:val="none"/>
        </w:rPr>
        <w:t>从全市发展情况来看</w:t>
      </w:r>
      <w:r>
        <w:rPr>
          <w:rFonts w:hint="eastAsia" w:ascii="方正仿宋_GBK"/>
          <w:color w:val="000000"/>
          <w:highlight w:val="none"/>
        </w:rPr>
        <w:t>，脱贫地区基础设施瓶颈依然明显，农村住房安全保障渠道较窄，办学条件和水平相对较差，基层诊疗服务能力偏弱、医疗卫生人才培养引进较难，农村文化事业发展相对缓慢，产业基础仍较薄弱，技术、资金、人才、市场等支撑还不强，乡村治理水平有待提升。</w:t>
      </w:r>
      <w:r>
        <w:rPr>
          <w:rFonts w:hint="eastAsia" w:ascii="方正仿宋_GBK"/>
          <w:b/>
          <w:bCs w:val="0"/>
          <w:color w:val="000000"/>
          <w:highlight w:val="none"/>
        </w:rPr>
        <w:t>从全区发展现状来看</w:t>
      </w:r>
      <w:r>
        <w:rPr>
          <w:rFonts w:hint="eastAsia" w:ascii="方正仿宋_GBK"/>
          <w:color w:val="000000"/>
          <w:highlight w:val="none"/>
        </w:rPr>
        <w:t>，农业产业普遍规模较小、分布较散、链条较短、附加值较低，还缺乏骨干龙头企业支撑，“立得住、叫得响、卖得好”的农产品品牌较少，市场占有率较低，规模效应和品牌价值还不高，农村基础设施仍需加强、后续运行管护机制有待完善，农村住房安全保障渠道较窄，农村供水保障总体还需完善，乡村治理水平有待提升，部分脱贫群众对脱贫攻坚期实施的惠民、兜底政策等产生依赖，缺乏自主发展的信心和动力。</w:t>
      </w:r>
      <w:r>
        <w:rPr>
          <w:rFonts w:hint="eastAsia" w:ascii="方正仿宋_GBK"/>
          <w:b/>
          <w:bCs w:val="0"/>
          <w:color w:val="000000"/>
          <w:highlight w:val="none"/>
        </w:rPr>
        <w:t>从全区艰巨任务来看</w:t>
      </w:r>
      <w:r>
        <w:rPr>
          <w:rFonts w:hint="eastAsia" w:ascii="方正仿宋_GBK"/>
          <w:color w:val="000000"/>
          <w:highlight w:val="none"/>
        </w:rPr>
        <w:t>，当前全区脱贫村、脱贫群众虽然已经实现脱贫，但有些地方发展基础仍然薄弱、自我发展能力仍然不强，巩固脱贫攻坚成果防止返贫任务仍然非常重，要深刻认识到相对贫困、相对落后、相对差距将长期存在。</w:t>
      </w:r>
    </w:p>
    <w:p w14:paraId="1D2744A4">
      <w:pPr>
        <w:ind w:firstLine="640"/>
        <w:rPr>
          <w:rFonts w:ascii="方正仿宋_GBK"/>
          <w:color w:val="000000"/>
          <w:highlight w:val="none"/>
        </w:rPr>
      </w:pPr>
      <w:r>
        <w:rPr>
          <w:rFonts w:hint="eastAsia" w:ascii="方正仿宋_GBK"/>
          <w:color w:val="000000"/>
          <w:highlight w:val="none"/>
        </w:rPr>
        <w:t>脱贫摘帽不是终点，而是新生活、新奋斗的起点。做好巩固拓展脱贫攻坚成果同乡村振兴有效衔接工作意义重大、任务艰巨，全面实施乡村振兴战略的深度、广度、难度丝毫不亚于脱贫攻坚。征途漫漫，惟有奋斗，以永不懈怠的精神状态、一往无前的奋斗姿态，真抓实干、埋头苦干，就一定能在新征程上创造新的更辉煌的成就，推动全区人民共同富裕取得更为明显的实质性进展。</w:t>
      </w:r>
    </w:p>
    <w:p w14:paraId="4621BB11">
      <w:pPr>
        <w:ind w:firstLine="640"/>
        <w:rPr>
          <w:rFonts w:ascii="方正仿宋_GBK"/>
          <w:color w:val="000000"/>
          <w:highlight w:val="none"/>
        </w:rPr>
      </w:pPr>
    </w:p>
    <w:p w14:paraId="673D663A">
      <w:pPr>
        <w:pStyle w:val="2"/>
        <w:spacing w:before="312" w:after="312"/>
        <w:rPr>
          <w:color w:val="000000"/>
          <w:highlight w:val="none"/>
        </w:rPr>
      </w:pPr>
      <w:bookmarkStart w:id="12" w:name="_Toc98403151"/>
      <w:bookmarkStart w:id="13" w:name="_Toc76313141"/>
      <w:r>
        <w:rPr>
          <w:color w:val="000000"/>
          <w:highlight w:val="none"/>
        </w:rPr>
        <w:t>第二章</w:t>
      </w:r>
      <w:r>
        <w:rPr>
          <w:rFonts w:hint="eastAsia"/>
          <w:color w:val="000000"/>
          <w:highlight w:val="none"/>
        </w:rPr>
        <w:t xml:space="preserve"> </w:t>
      </w:r>
      <w:r>
        <w:rPr>
          <w:color w:val="000000"/>
          <w:highlight w:val="none"/>
        </w:rPr>
        <w:t xml:space="preserve"> 总体要求</w:t>
      </w:r>
      <w:bookmarkEnd w:id="12"/>
      <w:bookmarkEnd w:id="13"/>
    </w:p>
    <w:p w14:paraId="21752109">
      <w:pPr>
        <w:pStyle w:val="3"/>
        <w:spacing w:before="156" w:after="156"/>
        <w:rPr>
          <w:highlight w:val="none"/>
        </w:rPr>
      </w:pPr>
      <w:bookmarkStart w:id="14" w:name="_Toc98403152"/>
      <w:bookmarkStart w:id="15" w:name="_Toc76313142"/>
      <w:r>
        <w:rPr>
          <w:highlight w:val="none"/>
        </w:rPr>
        <w:t>第一节</w:t>
      </w:r>
      <w:r>
        <w:rPr>
          <w:rFonts w:hint="eastAsia"/>
          <w:highlight w:val="none"/>
        </w:rPr>
        <w:t xml:space="preserve"> </w:t>
      </w:r>
      <w:r>
        <w:rPr>
          <w:highlight w:val="none"/>
        </w:rPr>
        <w:t xml:space="preserve"> 指导思想</w:t>
      </w:r>
      <w:bookmarkEnd w:id="14"/>
      <w:bookmarkEnd w:id="15"/>
    </w:p>
    <w:p w14:paraId="5E233C5A">
      <w:pPr>
        <w:ind w:firstLine="640"/>
        <w:rPr>
          <w:color w:val="000000"/>
          <w:highlight w:val="none"/>
        </w:rPr>
      </w:pPr>
      <w:r>
        <w:rPr>
          <w:rFonts w:hint="eastAsia"/>
          <w:color w:val="000000"/>
          <w:highlight w:val="none"/>
        </w:rPr>
        <w:t>以习近平新时代中国特色社会主义思想为指导，深入贯彻党的十九大和十九届历次全会精神，全面贯彻习近平总书记关于巩固拓展脱贫攻坚成果和乡村振兴工作的重要指示要求，全面落实习近平总书记对重庆提出的营造良好政治生态，坚持“两点”定位、“两地”“两高”目标，发挥“三个作用”和推动成渝地区双城经济圈建设等重要指示要求，深度融入西部陆海新通道、渝黔区域合作，全面落实市委关于推进“一区两群”协调发展及綦江—万盛一体化同城化融合化发展的决策部署，准确把握新发展阶段，深入践行新发展理念，积极融入新发展格局，切实担当新发展使命，坚持以人民为中心的发展思想，坚持共同富裕方向，坚持摘帽不摘责任、摘帽不摘政策、摘帽不摘帮扶、摘帽不摘监管“四个不摘”，做到有序调整、巩固提升，实现群众主体、政府引导、社会市场协同发力，将巩固脱贫攻坚成果放在突出位置，合力促进农业高质高效、乡村宜居宜业、农民富裕富足，为实现第二个百年奋斗目标开好局、起好步奠定坚实基础。</w:t>
      </w:r>
    </w:p>
    <w:p w14:paraId="67D0EA9E">
      <w:pPr>
        <w:pStyle w:val="3"/>
        <w:spacing w:before="156" w:after="156"/>
        <w:rPr>
          <w:color w:val="000000"/>
          <w:highlight w:val="none"/>
        </w:rPr>
      </w:pPr>
      <w:bookmarkStart w:id="16" w:name="_Toc76313143"/>
      <w:bookmarkStart w:id="17" w:name="_Toc98403153"/>
      <w:r>
        <w:rPr>
          <w:color w:val="000000"/>
          <w:highlight w:val="none"/>
        </w:rPr>
        <w:t>第二节</w:t>
      </w:r>
      <w:r>
        <w:rPr>
          <w:rFonts w:hint="eastAsia"/>
          <w:color w:val="000000"/>
          <w:highlight w:val="none"/>
        </w:rPr>
        <w:t xml:space="preserve"> </w:t>
      </w:r>
      <w:r>
        <w:rPr>
          <w:color w:val="000000"/>
          <w:highlight w:val="none"/>
        </w:rPr>
        <w:t xml:space="preserve"> 基本原则</w:t>
      </w:r>
      <w:bookmarkEnd w:id="16"/>
      <w:bookmarkEnd w:id="17"/>
    </w:p>
    <w:p w14:paraId="0AC2F554">
      <w:pPr>
        <w:ind w:firstLine="643"/>
        <w:rPr>
          <w:color w:val="000000"/>
          <w:highlight w:val="none"/>
        </w:rPr>
      </w:pPr>
      <w:r>
        <w:rPr>
          <w:rFonts w:hint="eastAsia"/>
          <w:b/>
          <w:bCs w:val="0"/>
          <w:color w:val="000000"/>
          <w:highlight w:val="none"/>
        </w:rPr>
        <w:t>坚持党的领导、协同发力</w:t>
      </w:r>
      <w:r>
        <w:rPr>
          <w:rFonts w:hint="eastAsia"/>
          <w:color w:val="000000"/>
          <w:highlight w:val="none"/>
        </w:rPr>
        <w:t>。充分发挥党工委总揽全局、协调各方的领导作用，区级各部门协同发力，镇村抓落实，构建责任清晰、各负其责、执行有力的领导体系。</w:t>
      </w:r>
    </w:p>
    <w:p w14:paraId="713098F7">
      <w:pPr>
        <w:ind w:firstLine="643"/>
        <w:rPr>
          <w:color w:val="000000"/>
          <w:highlight w:val="none"/>
        </w:rPr>
      </w:pPr>
      <w:r>
        <w:rPr>
          <w:rFonts w:hint="eastAsia"/>
          <w:b/>
          <w:bCs w:val="0"/>
          <w:color w:val="000000"/>
          <w:highlight w:val="none"/>
        </w:rPr>
        <w:t>坚持人民主体、激发动力</w:t>
      </w:r>
      <w:r>
        <w:rPr>
          <w:rFonts w:hint="eastAsia"/>
          <w:color w:val="000000"/>
          <w:highlight w:val="none"/>
        </w:rPr>
        <w:t>。始终坚持发展为了人民、发展依靠人民、发展成果由人民共享，坚持扶志扶智相结合，防止政策养懒汉和泛福利化倾向，发挥奋进致富典型示范引领作用，激励有劳动能力的低收入人口勤劳致富。</w:t>
      </w:r>
    </w:p>
    <w:p w14:paraId="58996330">
      <w:pPr>
        <w:ind w:firstLine="643"/>
        <w:rPr>
          <w:color w:val="000000"/>
          <w:highlight w:val="none"/>
        </w:rPr>
      </w:pPr>
      <w:r>
        <w:rPr>
          <w:rFonts w:hint="eastAsia"/>
          <w:b/>
          <w:bCs w:val="0"/>
          <w:color w:val="000000"/>
          <w:highlight w:val="none"/>
        </w:rPr>
        <w:t>坚持有序调整、巩固提升</w:t>
      </w:r>
      <w:r>
        <w:rPr>
          <w:rFonts w:hint="eastAsia"/>
          <w:color w:val="000000"/>
          <w:highlight w:val="none"/>
        </w:rPr>
        <w:t>。在巩固拓展脱贫攻坚成果上下更大功夫、想更多办法、给予更多后续帮扶支持，对脱贫村、脱贫人口扶上马送一程，确保脱贫群众不返贫。在主要帮扶政策保持总体稳定的基础上，分类优化调整，合理把握调整节奏、力度和时限，增强脱贫稳定性。</w:t>
      </w:r>
    </w:p>
    <w:p w14:paraId="3EAB9D2E">
      <w:pPr>
        <w:ind w:firstLine="643"/>
        <w:rPr>
          <w:color w:val="000000"/>
          <w:highlight w:val="none"/>
        </w:rPr>
      </w:pPr>
      <w:r>
        <w:rPr>
          <w:rFonts w:hint="eastAsia"/>
          <w:b/>
          <w:bCs w:val="0"/>
          <w:color w:val="000000"/>
          <w:highlight w:val="none"/>
        </w:rPr>
        <w:t>坚持政府引导、市场主导</w:t>
      </w:r>
      <w:r>
        <w:rPr>
          <w:rFonts w:hint="eastAsia"/>
          <w:color w:val="000000"/>
          <w:highlight w:val="none"/>
        </w:rPr>
        <w:t>。坚持行政推动与市场机制有机结合，发挥集中力量办大事的优势，广泛动员社会力量参与，统筹好市场在资源配置中起决定性的作用，形成巩固拓展脱贫攻坚成果、全面推进乡村振兴的强大合力。</w:t>
      </w:r>
    </w:p>
    <w:p w14:paraId="7CE78003">
      <w:pPr>
        <w:pStyle w:val="3"/>
        <w:spacing w:before="156" w:after="156"/>
        <w:rPr>
          <w:color w:val="000000"/>
          <w:highlight w:val="none"/>
        </w:rPr>
      </w:pPr>
      <w:bookmarkStart w:id="18" w:name="_Toc98403154"/>
      <w:bookmarkStart w:id="19" w:name="_Toc76313144"/>
      <w:r>
        <w:rPr>
          <w:color w:val="000000"/>
          <w:highlight w:val="none"/>
        </w:rPr>
        <w:t>第三节  发展目标</w:t>
      </w:r>
      <w:bookmarkEnd w:id="18"/>
      <w:bookmarkEnd w:id="19"/>
    </w:p>
    <w:p w14:paraId="57438E95">
      <w:pPr>
        <w:ind w:firstLine="640"/>
        <w:rPr>
          <w:bCs w:val="0"/>
          <w:color w:val="000000"/>
          <w:highlight w:val="none"/>
        </w:rPr>
      </w:pPr>
      <w:r>
        <w:rPr>
          <w:rFonts w:hint="eastAsia"/>
          <w:bCs w:val="0"/>
          <w:color w:val="000000"/>
          <w:highlight w:val="none"/>
        </w:rPr>
        <w:t>按照“五年巩固、十年进步、十五年基本实现农业农村现代化”的总体要求，推进“一个确保、一个提升、一个同步”，整体实现巩固拓展脱贫攻坚成果同乡村振兴有效衔接。</w:t>
      </w:r>
    </w:p>
    <w:p w14:paraId="11874964">
      <w:pPr>
        <w:ind w:firstLine="640"/>
        <w:rPr>
          <w:bCs w:val="0"/>
          <w:color w:val="000000"/>
          <w:highlight w:val="none"/>
        </w:rPr>
      </w:pPr>
      <w:r>
        <w:rPr>
          <w:rFonts w:hint="eastAsia"/>
          <w:bCs w:val="0"/>
          <w:color w:val="000000"/>
          <w:highlight w:val="none"/>
        </w:rPr>
        <w:t>一个确保：巩固拓展脱贫攻坚成果长效机制建立健全，“两不愁三保障”脱贫攻坚成果得到巩固提升，坚决</w:t>
      </w:r>
      <w:r>
        <w:rPr>
          <w:rFonts w:hint="eastAsia"/>
          <w:b/>
          <w:color w:val="000000"/>
          <w:highlight w:val="none"/>
        </w:rPr>
        <w:t>确保</w:t>
      </w:r>
      <w:r>
        <w:rPr>
          <w:rFonts w:hint="eastAsia"/>
          <w:bCs w:val="0"/>
          <w:color w:val="000000"/>
          <w:highlight w:val="none"/>
        </w:rPr>
        <w:t>不发生规模性返贫。</w:t>
      </w:r>
    </w:p>
    <w:p w14:paraId="61E29DED">
      <w:pPr>
        <w:ind w:firstLine="640"/>
        <w:rPr>
          <w:bCs w:val="0"/>
          <w:color w:val="000000"/>
          <w:highlight w:val="none"/>
        </w:rPr>
      </w:pPr>
      <w:r>
        <w:rPr>
          <w:rFonts w:hint="eastAsia"/>
          <w:bCs w:val="0"/>
          <w:color w:val="000000"/>
          <w:highlight w:val="none"/>
        </w:rPr>
        <w:t>一个提升：巩固拓展脱贫攻坚成果同乡村振兴有效衔接机制建立健全，从集中资源支持脱贫攻坚转向巩固脱贫攻坚成果和全面推进乡村振兴，从解决“两不愁三保障”为重点转向实现乡村产业兴旺、生态宜居、乡风文明、治理有效、生活富裕，全区农业农村整体发展水平显著</w:t>
      </w:r>
      <w:r>
        <w:rPr>
          <w:rFonts w:hint="eastAsia"/>
          <w:b/>
          <w:color w:val="000000"/>
          <w:highlight w:val="none"/>
        </w:rPr>
        <w:t>提升</w:t>
      </w:r>
      <w:r>
        <w:rPr>
          <w:rFonts w:hint="eastAsia"/>
          <w:bCs w:val="0"/>
          <w:color w:val="000000"/>
          <w:highlight w:val="none"/>
        </w:rPr>
        <w:t>。</w:t>
      </w:r>
    </w:p>
    <w:p w14:paraId="769CA779">
      <w:pPr>
        <w:ind w:firstLine="640"/>
        <w:rPr>
          <w:bCs w:val="0"/>
          <w:color w:val="000000"/>
          <w:highlight w:val="none"/>
        </w:rPr>
      </w:pPr>
      <w:r>
        <w:rPr>
          <w:rFonts w:hint="eastAsia"/>
          <w:bCs w:val="0"/>
          <w:color w:val="000000"/>
          <w:highlight w:val="none"/>
        </w:rPr>
        <w:t>一个同步：在“一个确保”和“一个提升”的基础上，脱贫村全面实现从脱贫攻坚到乡村振兴的转变，全面进入乡村振兴发展轨道，与全区其他镇村</w:t>
      </w:r>
      <w:r>
        <w:rPr>
          <w:rFonts w:hint="eastAsia"/>
          <w:b/>
          <w:color w:val="000000"/>
          <w:highlight w:val="none"/>
        </w:rPr>
        <w:t>同步</w:t>
      </w:r>
      <w:r>
        <w:rPr>
          <w:rFonts w:hint="eastAsia"/>
          <w:bCs w:val="0"/>
          <w:color w:val="000000"/>
          <w:highlight w:val="none"/>
        </w:rPr>
        <w:t>向农业农村现代化迈进，实现新一轮更宽领域、更高质量的发展。</w:t>
      </w:r>
    </w:p>
    <w:p w14:paraId="02F89A36">
      <w:pPr>
        <w:ind w:firstLine="643"/>
        <w:rPr>
          <w:bCs w:val="0"/>
          <w:color w:val="000000"/>
          <w:highlight w:val="none"/>
        </w:rPr>
      </w:pPr>
      <w:r>
        <w:rPr>
          <w:rFonts w:hint="eastAsia"/>
          <w:b/>
          <w:color w:val="000000"/>
          <w:highlight w:val="none"/>
        </w:rPr>
        <w:t>“两不愁三保障”成果得到巩固拓展</w:t>
      </w:r>
      <w:r>
        <w:rPr>
          <w:rFonts w:hint="eastAsia"/>
          <w:bCs w:val="0"/>
          <w:color w:val="000000"/>
          <w:highlight w:val="none"/>
        </w:rPr>
        <w:t>。城乡低保、各类救助和供养等兜底措施更加精准及时，推动无劳动能力、无就业能力的农村困难人口应保尽保、应救尽救，农村义务教育、基本医疗和住房、饮水安全保障方面的后续保障力度得到持续增强、突出短板得到有力解决，全区农村义务教育巩固率保持</w:t>
      </w:r>
      <w:r>
        <w:rPr>
          <w:bCs w:val="0"/>
          <w:color w:val="000000"/>
          <w:highlight w:val="none"/>
        </w:rPr>
        <w:t>100</w:t>
      </w:r>
      <w:r>
        <w:rPr>
          <w:rFonts w:hint="eastAsia"/>
          <w:bCs w:val="0"/>
          <w:color w:val="000000"/>
          <w:highlight w:val="none"/>
        </w:rPr>
        <w:t>%，农村人口基本医保参保率保持95%，农村自来水普及率达到8</w:t>
      </w:r>
      <w:r>
        <w:rPr>
          <w:bCs w:val="0"/>
          <w:color w:val="000000"/>
          <w:highlight w:val="none"/>
        </w:rPr>
        <w:t>9%</w:t>
      </w:r>
      <w:r>
        <w:rPr>
          <w:rFonts w:hint="eastAsia"/>
          <w:bCs w:val="0"/>
          <w:color w:val="000000"/>
          <w:highlight w:val="none"/>
        </w:rPr>
        <w:t>。</w:t>
      </w:r>
    </w:p>
    <w:p w14:paraId="1182518B">
      <w:pPr>
        <w:ind w:firstLine="643"/>
        <w:rPr>
          <w:bCs w:val="0"/>
          <w:color w:val="000000"/>
          <w:highlight w:val="none"/>
        </w:rPr>
      </w:pPr>
      <w:r>
        <w:rPr>
          <w:rFonts w:hint="eastAsia"/>
          <w:b/>
          <w:color w:val="000000"/>
          <w:highlight w:val="none"/>
        </w:rPr>
        <w:t>特色优势产业提质升级</w:t>
      </w:r>
      <w:r>
        <w:rPr>
          <w:rFonts w:hint="eastAsia"/>
          <w:bCs w:val="0"/>
          <w:color w:val="000000"/>
          <w:highlight w:val="none"/>
        </w:rPr>
        <w:t>。全区特色优势产业体系更加健全完善，农村一二三产业深度融合互动，产业链优化升级，现代山地特色高效农业、农产品加工、乡村旅游等新模式、新业态不断涌现，特色化、智能化、规模化、绿色化、品牌化产业发展力度不断增强，集体经济发展更加强劲、产业利益联结机制日益完善，产业带贫益贫、增收致富的带动能力显著提升，力争农产品加工产值与农业总产值比达到2︰1，全区第一产业增加值达到13.86亿元。</w:t>
      </w:r>
    </w:p>
    <w:p w14:paraId="40A1B913">
      <w:pPr>
        <w:ind w:firstLine="643"/>
        <w:rPr>
          <w:bCs w:val="0"/>
          <w:color w:val="000000"/>
          <w:highlight w:val="none"/>
        </w:rPr>
      </w:pPr>
      <w:r>
        <w:rPr>
          <w:rFonts w:hint="eastAsia"/>
          <w:b/>
          <w:color w:val="000000"/>
          <w:highlight w:val="none"/>
        </w:rPr>
        <w:t>乡村环境和乡风文明水平明显提升</w:t>
      </w:r>
      <w:r>
        <w:rPr>
          <w:rFonts w:hint="eastAsia"/>
          <w:bCs w:val="0"/>
          <w:color w:val="000000"/>
          <w:highlight w:val="none"/>
        </w:rPr>
        <w:t>。乡村建设行动成效明显，交通、能源、水利、信息等农村基础设施短板着力补齐，保持村民小组通硬化路的比例达到</w:t>
      </w:r>
      <w:r>
        <w:rPr>
          <w:bCs w:val="0"/>
          <w:color w:val="000000"/>
          <w:highlight w:val="none"/>
        </w:rPr>
        <w:t>100%</w:t>
      </w:r>
      <w:r>
        <w:rPr>
          <w:rFonts w:hint="eastAsia"/>
          <w:bCs w:val="0"/>
          <w:color w:val="000000"/>
          <w:highlight w:val="none"/>
        </w:rPr>
        <w:t>、农村卫生户厕普及率达到9</w:t>
      </w:r>
      <w:r>
        <w:rPr>
          <w:bCs w:val="0"/>
          <w:color w:val="000000"/>
          <w:highlight w:val="none"/>
        </w:rPr>
        <w:t>2%</w:t>
      </w:r>
      <w:r>
        <w:rPr>
          <w:rFonts w:hint="eastAsia"/>
          <w:bCs w:val="0"/>
          <w:color w:val="000000"/>
          <w:highlight w:val="none"/>
        </w:rPr>
        <w:t>、行政村生活垃圾有效治理比例达到</w:t>
      </w:r>
      <w:r>
        <w:rPr>
          <w:bCs w:val="0"/>
          <w:color w:val="000000"/>
          <w:highlight w:val="none"/>
        </w:rPr>
        <w:t>100</w:t>
      </w:r>
      <w:r>
        <w:rPr>
          <w:rFonts w:hint="eastAsia"/>
          <w:bCs w:val="0"/>
          <w:color w:val="000000"/>
          <w:highlight w:val="none"/>
        </w:rPr>
        <w:t>%，畜禽粪污综合利用率稳定在8</w:t>
      </w:r>
      <w:r>
        <w:rPr>
          <w:bCs w:val="0"/>
          <w:color w:val="000000"/>
          <w:highlight w:val="none"/>
        </w:rPr>
        <w:t>0%</w:t>
      </w:r>
      <w:r>
        <w:rPr>
          <w:rFonts w:hint="eastAsia"/>
          <w:bCs w:val="0"/>
          <w:color w:val="000000"/>
          <w:highlight w:val="none"/>
        </w:rPr>
        <w:t>以上，区级以上文明村占比达6</w:t>
      </w:r>
      <w:r>
        <w:rPr>
          <w:bCs w:val="0"/>
          <w:color w:val="000000"/>
          <w:highlight w:val="none"/>
        </w:rPr>
        <w:t>0%</w:t>
      </w:r>
      <w:r>
        <w:rPr>
          <w:rFonts w:hint="eastAsia"/>
          <w:bCs w:val="0"/>
          <w:color w:val="000000"/>
          <w:highlight w:val="none"/>
        </w:rPr>
        <w:t>以上。</w:t>
      </w:r>
    </w:p>
    <w:p w14:paraId="61564174">
      <w:pPr>
        <w:ind w:firstLine="643"/>
        <w:rPr>
          <w:bCs w:val="0"/>
          <w:color w:val="000000"/>
          <w:highlight w:val="none"/>
        </w:rPr>
      </w:pPr>
      <w:r>
        <w:rPr>
          <w:rFonts w:hint="eastAsia"/>
          <w:b/>
          <w:color w:val="000000"/>
          <w:highlight w:val="none"/>
        </w:rPr>
        <w:t>就业和公共服务水平不断提升</w:t>
      </w:r>
      <w:r>
        <w:rPr>
          <w:rFonts w:hint="eastAsia"/>
          <w:bCs w:val="0"/>
          <w:color w:val="000000"/>
          <w:highlight w:val="none"/>
        </w:rPr>
        <w:t>。公共服务一体化建设水平和均等化水平显著提升，农村教育普及水平稳步提高，公共卫生与医疗服务体系更加完善，系统化就业服务体系更加完善，现代化技能培训实效不断增强，实现农村义务教育学校校舍建设标准化率达到</w:t>
      </w:r>
      <w:r>
        <w:rPr>
          <w:bCs w:val="0"/>
          <w:color w:val="000000"/>
          <w:highlight w:val="none"/>
        </w:rPr>
        <w:t>90</w:t>
      </w:r>
      <w:r>
        <w:rPr>
          <w:rFonts w:hint="eastAsia"/>
          <w:bCs w:val="0"/>
          <w:color w:val="000000"/>
          <w:highlight w:val="none"/>
        </w:rPr>
        <w:t>%以上，全区至少有1所三级医院，确保有就业能力和就业意愿的脱贫人口转移就业“应转尽转”，居民健康素养水平“十四五”期间总上升幅度达到5个百分点。</w:t>
      </w:r>
    </w:p>
    <w:p w14:paraId="54E0458D">
      <w:pPr>
        <w:ind w:firstLine="643"/>
        <w:rPr>
          <w:bCs w:val="0"/>
          <w:color w:val="000000"/>
          <w:highlight w:val="none"/>
        </w:rPr>
      </w:pPr>
      <w:r>
        <w:rPr>
          <w:rFonts w:hint="eastAsia"/>
          <w:b/>
          <w:color w:val="000000"/>
          <w:highlight w:val="none"/>
        </w:rPr>
        <w:t>人民生活品质着力提升</w:t>
      </w:r>
      <w:r>
        <w:rPr>
          <w:rFonts w:hint="eastAsia"/>
          <w:bCs w:val="0"/>
          <w:color w:val="000000"/>
          <w:highlight w:val="none"/>
        </w:rPr>
        <w:t>。脱贫户内生发展动能显著提升、增收致富渠道明显拓宽，农村常住居民收入增长与经济增长保持同步、人均生活消费支出进一步提升、城乡居民可支配收入差距进一步缩小，城乡居民可支配收入比下降到</w:t>
      </w:r>
      <w:r>
        <w:rPr>
          <w:bCs w:val="0"/>
          <w:color w:val="000000"/>
          <w:highlight w:val="none"/>
        </w:rPr>
        <w:t>1.8</w:t>
      </w:r>
      <w:r>
        <w:rPr>
          <w:rFonts w:hint="eastAsia"/>
          <w:bCs w:val="0"/>
          <w:color w:val="000000"/>
          <w:highlight w:val="none"/>
        </w:rPr>
        <w:t>：1，农村居民人均教育文化娱乐支出占比达到</w:t>
      </w:r>
      <w:r>
        <w:rPr>
          <w:bCs w:val="0"/>
          <w:color w:val="000000"/>
          <w:highlight w:val="none"/>
        </w:rPr>
        <w:t>12</w:t>
      </w:r>
      <w:r>
        <w:rPr>
          <w:rFonts w:hint="eastAsia"/>
          <w:bCs w:val="0"/>
          <w:color w:val="000000"/>
          <w:highlight w:val="none"/>
        </w:rPr>
        <w:t>%。</w:t>
      </w:r>
    </w:p>
    <w:p w14:paraId="00040C7F">
      <w:pPr>
        <w:ind w:firstLine="640"/>
        <w:rPr>
          <w:bCs w:val="0"/>
          <w:color w:val="000000"/>
          <w:highlight w:val="none"/>
        </w:rPr>
      </w:pPr>
    </w:p>
    <w:p w14:paraId="461CC47A">
      <w:pPr>
        <w:ind w:firstLine="0" w:firstLineChars="0"/>
        <w:jc w:val="center"/>
        <w:rPr>
          <w:rFonts w:ascii="方正黑体_GBK" w:eastAsia="方正黑体_GBK"/>
          <w:sz w:val="28"/>
          <w:szCs w:val="28"/>
          <w:highlight w:val="none"/>
        </w:rPr>
      </w:pPr>
      <w:r>
        <w:rPr>
          <w:rFonts w:hint="eastAsia" w:ascii="方正黑体_GBK" w:eastAsia="方正黑体_GBK"/>
          <w:sz w:val="28"/>
          <w:szCs w:val="28"/>
          <w:highlight w:val="none"/>
        </w:rPr>
        <w:t>表1  “十四五”主要指标表</w:t>
      </w:r>
    </w:p>
    <w:tbl>
      <w:tblPr>
        <w:tblStyle w:val="2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850"/>
        <w:gridCol w:w="3685"/>
        <w:gridCol w:w="992"/>
        <w:gridCol w:w="1134"/>
        <w:gridCol w:w="930"/>
      </w:tblGrid>
      <w:tr w14:paraId="6AAF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tblHeader/>
          <w:jc w:val="center"/>
        </w:trPr>
        <w:tc>
          <w:tcPr>
            <w:tcW w:w="705" w:type="dxa"/>
            <w:vAlign w:val="center"/>
          </w:tcPr>
          <w:p w14:paraId="56DF4B58">
            <w:pPr>
              <w:spacing w:line="320" w:lineRule="exact"/>
              <w:ind w:firstLine="0" w:firstLineChars="0"/>
              <w:jc w:val="center"/>
              <w:rPr>
                <w:b/>
                <w:bCs w:val="0"/>
                <w:kern w:val="0"/>
                <w:sz w:val="22"/>
                <w:szCs w:val="22"/>
                <w:highlight w:val="none"/>
              </w:rPr>
            </w:pPr>
            <w:r>
              <w:rPr>
                <w:b/>
                <w:bCs w:val="0"/>
                <w:kern w:val="0"/>
                <w:sz w:val="22"/>
                <w:szCs w:val="22"/>
                <w:highlight w:val="none"/>
              </w:rPr>
              <w:t>序号</w:t>
            </w:r>
          </w:p>
        </w:tc>
        <w:tc>
          <w:tcPr>
            <w:tcW w:w="4535" w:type="dxa"/>
            <w:gridSpan w:val="2"/>
            <w:vAlign w:val="center"/>
          </w:tcPr>
          <w:p w14:paraId="7E44360C">
            <w:pPr>
              <w:spacing w:line="320" w:lineRule="exact"/>
              <w:ind w:firstLine="0" w:firstLineChars="0"/>
              <w:jc w:val="center"/>
              <w:rPr>
                <w:b/>
                <w:bCs w:val="0"/>
                <w:kern w:val="0"/>
                <w:sz w:val="22"/>
                <w:szCs w:val="22"/>
                <w:highlight w:val="none"/>
              </w:rPr>
            </w:pPr>
            <w:r>
              <w:rPr>
                <w:b/>
                <w:bCs w:val="0"/>
                <w:kern w:val="0"/>
                <w:sz w:val="22"/>
                <w:szCs w:val="22"/>
                <w:highlight w:val="none"/>
              </w:rPr>
              <w:t>指</w:t>
            </w:r>
            <w:r>
              <w:rPr>
                <w:rFonts w:hint="eastAsia"/>
                <w:b/>
                <w:bCs w:val="0"/>
                <w:kern w:val="0"/>
                <w:sz w:val="22"/>
                <w:szCs w:val="22"/>
                <w:highlight w:val="none"/>
              </w:rPr>
              <w:t xml:space="preserve"> </w:t>
            </w:r>
            <w:r>
              <w:rPr>
                <w:b/>
                <w:bCs w:val="0"/>
                <w:kern w:val="0"/>
                <w:sz w:val="22"/>
                <w:szCs w:val="22"/>
                <w:highlight w:val="none"/>
              </w:rPr>
              <w:t xml:space="preserve"> 标</w:t>
            </w:r>
          </w:p>
        </w:tc>
        <w:tc>
          <w:tcPr>
            <w:tcW w:w="992" w:type="dxa"/>
            <w:vAlign w:val="center"/>
          </w:tcPr>
          <w:p w14:paraId="77847048">
            <w:pPr>
              <w:spacing w:line="320" w:lineRule="exact"/>
              <w:ind w:firstLine="0" w:firstLineChars="0"/>
              <w:jc w:val="center"/>
              <w:rPr>
                <w:b/>
                <w:bCs w:val="0"/>
                <w:kern w:val="0"/>
                <w:sz w:val="22"/>
                <w:szCs w:val="22"/>
                <w:highlight w:val="none"/>
              </w:rPr>
            </w:pPr>
            <w:r>
              <w:rPr>
                <w:b/>
                <w:bCs w:val="0"/>
                <w:kern w:val="0"/>
                <w:sz w:val="22"/>
                <w:szCs w:val="22"/>
                <w:highlight w:val="none"/>
              </w:rPr>
              <w:t>2020年</w:t>
            </w:r>
          </w:p>
        </w:tc>
        <w:tc>
          <w:tcPr>
            <w:tcW w:w="1134" w:type="dxa"/>
            <w:vAlign w:val="center"/>
          </w:tcPr>
          <w:p w14:paraId="784FE68A">
            <w:pPr>
              <w:spacing w:line="320" w:lineRule="exact"/>
              <w:ind w:firstLine="0" w:firstLineChars="0"/>
              <w:jc w:val="center"/>
              <w:rPr>
                <w:b/>
                <w:bCs w:val="0"/>
                <w:kern w:val="0"/>
                <w:sz w:val="22"/>
                <w:szCs w:val="22"/>
                <w:highlight w:val="none"/>
              </w:rPr>
            </w:pPr>
            <w:r>
              <w:rPr>
                <w:b/>
                <w:bCs w:val="0"/>
                <w:kern w:val="0"/>
                <w:sz w:val="22"/>
                <w:szCs w:val="22"/>
                <w:highlight w:val="none"/>
              </w:rPr>
              <w:t>2025年</w:t>
            </w:r>
          </w:p>
        </w:tc>
        <w:tc>
          <w:tcPr>
            <w:tcW w:w="930" w:type="dxa"/>
            <w:vAlign w:val="center"/>
          </w:tcPr>
          <w:p w14:paraId="7FEC0CC5">
            <w:pPr>
              <w:spacing w:line="320" w:lineRule="exact"/>
              <w:ind w:firstLine="0" w:firstLineChars="0"/>
              <w:jc w:val="center"/>
              <w:rPr>
                <w:b/>
                <w:bCs w:val="0"/>
                <w:kern w:val="0"/>
                <w:sz w:val="22"/>
                <w:szCs w:val="22"/>
                <w:highlight w:val="none"/>
              </w:rPr>
            </w:pPr>
            <w:r>
              <w:rPr>
                <w:b/>
                <w:bCs w:val="0"/>
                <w:kern w:val="0"/>
                <w:sz w:val="22"/>
                <w:szCs w:val="22"/>
                <w:highlight w:val="none"/>
              </w:rPr>
              <w:t>指标属性</w:t>
            </w:r>
          </w:p>
        </w:tc>
      </w:tr>
      <w:tr w14:paraId="008BE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jc w:val="center"/>
        </w:trPr>
        <w:tc>
          <w:tcPr>
            <w:tcW w:w="705" w:type="dxa"/>
            <w:vAlign w:val="center"/>
          </w:tcPr>
          <w:p w14:paraId="343A5018">
            <w:pPr>
              <w:spacing w:line="320" w:lineRule="exact"/>
              <w:ind w:firstLine="0" w:firstLineChars="0"/>
              <w:jc w:val="center"/>
              <w:rPr>
                <w:kern w:val="0"/>
                <w:sz w:val="22"/>
                <w:szCs w:val="22"/>
                <w:highlight w:val="none"/>
              </w:rPr>
            </w:pPr>
            <w:r>
              <w:rPr>
                <w:rFonts w:hint="eastAsia"/>
                <w:kern w:val="0"/>
                <w:sz w:val="22"/>
                <w:szCs w:val="22"/>
                <w:highlight w:val="none"/>
              </w:rPr>
              <w:t>1</w:t>
            </w:r>
          </w:p>
        </w:tc>
        <w:tc>
          <w:tcPr>
            <w:tcW w:w="4535" w:type="dxa"/>
            <w:gridSpan w:val="2"/>
            <w:vAlign w:val="center"/>
          </w:tcPr>
          <w:p w14:paraId="364BE588">
            <w:pPr>
              <w:spacing w:line="320" w:lineRule="exact"/>
              <w:ind w:firstLine="0" w:firstLineChars="0"/>
              <w:rPr>
                <w:kern w:val="0"/>
                <w:sz w:val="22"/>
                <w:szCs w:val="22"/>
                <w:highlight w:val="none"/>
              </w:rPr>
            </w:pPr>
            <w:r>
              <w:rPr>
                <w:rFonts w:hint="eastAsia"/>
                <w:kern w:val="0"/>
                <w:sz w:val="22"/>
                <w:szCs w:val="22"/>
                <w:highlight w:val="none"/>
              </w:rPr>
              <w:t>地区生产总值增长（%）</w:t>
            </w:r>
          </w:p>
        </w:tc>
        <w:tc>
          <w:tcPr>
            <w:tcW w:w="992" w:type="dxa"/>
            <w:vAlign w:val="center"/>
          </w:tcPr>
          <w:p w14:paraId="471F5809">
            <w:pPr>
              <w:spacing w:line="320" w:lineRule="exact"/>
              <w:ind w:firstLine="0" w:firstLineChars="0"/>
              <w:jc w:val="center"/>
              <w:rPr>
                <w:kern w:val="0"/>
                <w:sz w:val="22"/>
                <w:szCs w:val="22"/>
                <w:highlight w:val="none"/>
              </w:rPr>
            </w:pPr>
            <w:r>
              <w:rPr>
                <w:rFonts w:hint="eastAsia"/>
                <w:kern w:val="0"/>
                <w:sz w:val="22"/>
                <w:szCs w:val="22"/>
                <w:highlight w:val="none"/>
              </w:rPr>
              <w:t>2.4</w:t>
            </w:r>
          </w:p>
        </w:tc>
        <w:tc>
          <w:tcPr>
            <w:tcW w:w="1134" w:type="dxa"/>
            <w:vAlign w:val="center"/>
          </w:tcPr>
          <w:p w14:paraId="01BCBFE9">
            <w:pPr>
              <w:spacing w:line="320" w:lineRule="exact"/>
              <w:ind w:firstLine="0" w:firstLineChars="0"/>
              <w:jc w:val="center"/>
              <w:rPr>
                <w:kern w:val="0"/>
                <w:sz w:val="22"/>
                <w:szCs w:val="22"/>
                <w:highlight w:val="none"/>
              </w:rPr>
            </w:pPr>
            <w:r>
              <w:rPr>
                <w:rFonts w:hint="eastAsia"/>
                <w:kern w:val="0"/>
                <w:sz w:val="22"/>
                <w:szCs w:val="22"/>
                <w:highlight w:val="none"/>
              </w:rPr>
              <w:t>高于全市平均水平</w:t>
            </w:r>
          </w:p>
        </w:tc>
        <w:tc>
          <w:tcPr>
            <w:tcW w:w="930" w:type="dxa"/>
            <w:vAlign w:val="center"/>
          </w:tcPr>
          <w:p w14:paraId="03288205">
            <w:pPr>
              <w:spacing w:line="320" w:lineRule="exact"/>
              <w:ind w:firstLine="0" w:firstLineChars="0"/>
              <w:jc w:val="center"/>
              <w:rPr>
                <w:kern w:val="0"/>
                <w:sz w:val="22"/>
                <w:szCs w:val="22"/>
                <w:highlight w:val="none"/>
              </w:rPr>
            </w:pPr>
            <w:r>
              <w:rPr>
                <w:rFonts w:hint="eastAsia"/>
                <w:kern w:val="0"/>
                <w:sz w:val="22"/>
                <w:szCs w:val="22"/>
                <w:highlight w:val="none"/>
              </w:rPr>
              <w:t>预期性</w:t>
            </w:r>
          </w:p>
        </w:tc>
      </w:tr>
      <w:tr w14:paraId="6D86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705" w:type="dxa"/>
            <w:vAlign w:val="center"/>
          </w:tcPr>
          <w:p w14:paraId="182E3B50">
            <w:pPr>
              <w:spacing w:line="320" w:lineRule="exact"/>
              <w:ind w:firstLine="0" w:firstLineChars="0"/>
              <w:jc w:val="center"/>
              <w:rPr>
                <w:kern w:val="0"/>
                <w:sz w:val="22"/>
                <w:szCs w:val="22"/>
                <w:highlight w:val="none"/>
              </w:rPr>
            </w:pPr>
            <w:r>
              <w:rPr>
                <w:kern w:val="0"/>
                <w:sz w:val="22"/>
                <w:szCs w:val="22"/>
                <w:highlight w:val="none"/>
              </w:rPr>
              <w:t>2</w:t>
            </w:r>
          </w:p>
        </w:tc>
        <w:tc>
          <w:tcPr>
            <w:tcW w:w="4535" w:type="dxa"/>
            <w:gridSpan w:val="2"/>
            <w:vAlign w:val="center"/>
          </w:tcPr>
          <w:p w14:paraId="4887E40D">
            <w:pPr>
              <w:spacing w:line="320" w:lineRule="exact"/>
              <w:ind w:firstLine="0" w:firstLineChars="0"/>
              <w:rPr>
                <w:kern w:val="0"/>
                <w:sz w:val="22"/>
                <w:szCs w:val="22"/>
                <w:highlight w:val="none"/>
              </w:rPr>
            </w:pPr>
            <w:r>
              <w:rPr>
                <w:kern w:val="0"/>
                <w:sz w:val="22"/>
                <w:szCs w:val="22"/>
                <w:highlight w:val="none"/>
              </w:rPr>
              <w:t>农村常住居民人均可支配收入增</w:t>
            </w:r>
            <w:r>
              <w:rPr>
                <w:rFonts w:hint="eastAsia"/>
                <w:kern w:val="0"/>
                <w:sz w:val="22"/>
                <w:szCs w:val="22"/>
                <w:highlight w:val="none"/>
              </w:rPr>
              <w:t>速</w:t>
            </w:r>
            <w:r>
              <w:rPr>
                <w:kern w:val="0"/>
                <w:sz w:val="22"/>
                <w:szCs w:val="22"/>
                <w:highlight w:val="none"/>
              </w:rPr>
              <w:t>（%）</w:t>
            </w:r>
          </w:p>
        </w:tc>
        <w:tc>
          <w:tcPr>
            <w:tcW w:w="992" w:type="dxa"/>
            <w:vAlign w:val="center"/>
          </w:tcPr>
          <w:p w14:paraId="33F740C3">
            <w:pPr>
              <w:spacing w:line="320" w:lineRule="exact"/>
              <w:ind w:firstLine="0" w:firstLineChars="0"/>
              <w:jc w:val="center"/>
              <w:rPr>
                <w:kern w:val="0"/>
                <w:sz w:val="22"/>
                <w:szCs w:val="22"/>
                <w:highlight w:val="none"/>
              </w:rPr>
            </w:pPr>
            <w:r>
              <w:rPr>
                <w:rFonts w:hint="eastAsia"/>
                <w:kern w:val="0"/>
                <w:sz w:val="22"/>
                <w:szCs w:val="22"/>
                <w:highlight w:val="none"/>
              </w:rPr>
              <w:t>7.1</w:t>
            </w:r>
          </w:p>
        </w:tc>
        <w:tc>
          <w:tcPr>
            <w:tcW w:w="1134" w:type="dxa"/>
            <w:vAlign w:val="center"/>
          </w:tcPr>
          <w:p w14:paraId="77EDA6CB">
            <w:pPr>
              <w:spacing w:line="320" w:lineRule="exact"/>
              <w:ind w:firstLine="0" w:firstLineChars="0"/>
              <w:jc w:val="center"/>
              <w:rPr>
                <w:kern w:val="0"/>
                <w:sz w:val="22"/>
                <w:szCs w:val="22"/>
                <w:highlight w:val="none"/>
              </w:rPr>
            </w:pPr>
            <w:r>
              <w:rPr>
                <w:rFonts w:hint="eastAsia"/>
                <w:kern w:val="0"/>
                <w:sz w:val="22"/>
                <w:szCs w:val="22"/>
                <w:highlight w:val="none"/>
              </w:rPr>
              <w:t>高于全市平均水平</w:t>
            </w:r>
          </w:p>
        </w:tc>
        <w:tc>
          <w:tcPr>
            <w:tcW w:w="930" w:type="dxa"/>
            <w:vAlign w:val="center"/>
          </w:tcPr>
          <w:p w14:paraId="74C6ACBD">
            <w:pPr>
              <w:spacing w:line="320" w:lineRule="exact"/>
              <w:ind w:firstLine="0" w:firstLineChars="0"/>
              <w:jc w:val="center"/>
              <w:rPr>
                <w:kern w:val="0"/>
                <w:sz w:val="22"/>
                <w:szCs w:val="22"/>
                <w:highlight w:val="none"/>
              </w:rPr>
            </w:pPr>
            <w:r>
              <w:rPr>
                <w:kern w:val="0"/>
                <w:sz w:val="22"/>
                <w:szCs w:val="22"/>
                <w:highlight w:val="none"/>
              </w:rPr>
              <w:t>预期性</w:t>
            </w:r>
          </w:p>
        </w:tc>
      </w:tr>
      <w:tr w14:paraId="0E00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5" w:type="dxa"/>
            <w:vAlign w:val="center"/>
          </w:tcPr>
          <w:p w14:paraId="2D4EE620">
            <w:pPr>
              <w:spacing w:line="320" w:lineRule="exact"/>
              <w:ind w:firstLine="0" w:firstLineChars="0"/>
              <w:jc w:val="center"/>
              <w:rPr>
                <w:kern w:val="0"/>
                <w:sz w:val="22"/>
                <w:szCs w:val="22"/>
                <w:highlight w:val="none"/>
              </w:rPr>
            </w:pPr>
            <w:r>
              <w:rPr>
                <w:kern w:val="0"/>
                <w:sz w:val="22"/>
                <w:szCs w:val="22"/>
                <w:highlight w:val="none"/>
              </w:rPr>
              <w:t>3</w:t>
            </w:r>
          </w:p>
        </w:tc>
        <w:tc>
          <w:tcPr>
            <w:tcW w:w="4535" w:type="dxa"/>
            <w:gridSpan w:val="2"/>
            <w:vAlign w:val="center"/>
          </w:tcPr>
          <w:p w14:paraId="6E5476A6">
            <w:pPr>
              <w:spacing w:line="320" w:lineRule="exact"/>
              <w:ind w:firstLine="0" w:firstLineChars="0"/>
              <w:rPr>
                <w:kern w:val="0"/>
                <w:sz w:val="22"/>
                <w:szCs w:val="22"/>
                <w:highlight w:val="none"/>
              </w:rPr>
            </w:pPr>
            <w:r>
              <w:rPr>
                <w:kern w:val="0"/>
                <w:sz w:val="22"/>
                <w:szCs w:val="22"/>
                <w:highlight w:val="none"/>
              </w:rPr>
              <w:t>农村义务教育巩固率（%）</w:t>
            </w:r>
          </w:p>
        </w:tc>
        <w:tc>
          <w:tcPr>
            <w:tcW w:w="992" w:type="dxa"/>
            <w:vAlign w:val="center"/>
          </w:tcPr>
          <w:p w14:paraId="551543CD">
            <w:pPr>
              <w:spacing w:line="320" w:lineRule="exact"/>
              <w:ind w:firstLine="0" w:firstLineChars="0"/>
              <w:jc w:val="center"/>
              <w:rPr>
                <w:kern w:val="0"/>
                <w:sz w:val="22"/>
                <w:szCs w:val="22"/>
                <w:highlight w:val="none"/>
              </w:rPr>
            </w:pPr>
            <w:r>
              <w:rPr>
                <w:kern w:val="0"/>
                <w:sz w:val="22"/>
                <w:szCs w:val="22"/>
                <w:highlight w:val="none"/>
              </w:rPr>
              <w:t>100</w:t>
            </w:r>
          </w:p>
        </w:tc>
        <w:tc>
          <w:tcPr>
            <w:tcW w:w="1134" w:type="dxa"/>
            <w:vAlign w:val="center"/>
          </w:tcPr>
          <w:p w14:paraId="703ADBDC">
            <w:pPr>
              <w:spacing w:line="320" w:lineRule="exact"/>
              <w:ind w:firstLine="0" w:firstLineChars="0"/>
              <w:jc w:val="center"/>
              <w:rPr>
                <w:kern w:val="0"/>
                <w:sz w:val="22"/>
                <w:szCs w:val="22"/>
                <w:highlight w:val="none"/>
              </w:rPr>
            </w:pPr>
            <w:r>
              <w:rPr>
                <w:kern w:val="0"/>
                <w:sz w:val="22"/>
                <w:szCs w:val="22"/>
                <w:highlight w:val="none"/>
              </w:rPr>
              <w:t>100</w:t>
            </w:r>
          </w:p>
        </w:tc>
        <w:tc>
          <w:tcPr>
            <w:tcW w:w="930" w:type="dxa"/>
            <w:vAlign w:val="center"/>
          </w:tcPr>
          <w:p w14:paraId="706103BE">
            <w:pPr>
              <w:spacing w:line="320" w:lineRule="exact"/>
              <w:ind w:firstLine="0" w:firstLineChars="0"/>
              <w:jc w:val="center"/>
              <w:rPr>
                <w:kern w:val="0"/>
                <w:sz w:val="22"/>
                <w:szCs w:val="22"/>
                <w:highlight w:val="none"/>
              </w:rPr>
            </w:pPr>
            <w:r>
              <w:rPr>
                <w:kern w:val="0"/>
                <w:sz w:val="22"/>
                <w:szCs w:val="22"/>
                <w:highlight w:val="none"/>
              </w:rPr>
              <w:t>约束性</w:t>
            </w:r>
          </w:p>
        </w:tc>
      </w:tr>
      <w:tr w14:paraId="0F94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705" w:type="dxa"/>
            <w:vMerge w:val="restart"/>
            <w:vAlign w:val="center"/>
          </w:tcPr>
          <w:p w14:paraId="1222047F">
            <w:pPr>
              <w:spacing w:line="320" w:lineRule="exact"/>
              <w:ind w:firstLine="0" w:firstLineChars="0"/>
              <w:jc w:val="center"/>
              <w:rPr>
                <w:kern w:val="0"/>
                <w:sz w:val="22"/>
                <w:szCs w:val="22"/>
                <w:highlight w:val="none"/>
              </w:rPr>
            </w:pPr>
            <w:r>
              <w:rPr>
                <w:kern w:val="0"/>
                <w:sz w:val="22"/>
                <w:szCs w:val="22"/>
                <w:highlight w:val="none"/>
              </w:rPr>
              <w:t>4</w:t>
            </w:r>
          </w:p>
        </w:tc>
        <w:tc>
          <w:tcPr>
            <w:tcW w:w="850" w:type="dxa"/>
            <w:vMerge w:val="restart"/>
            <w:vAlign w:val="center"/>
          </w:tcPr>
          <w:p w14:paraId="56897EBC">
            <w:pPr>
              <w:spacing w:line="320" w:lineRule="exact"/>
              <w:ind w:firstLine="0" w:firstLineChars="0"/>
              <w:jc w:val="center"/>
              <w:rPr>
                <w:kern w:val="0"/>
                <w:sz w:val="22"/>
                <w:szCs w:val="22"/>
                <w:highlight w:val="none"/>
              </w:rPr>
            </w:pPr>
            <w:r>
              <w:rPr>
                <w:kern w:val="0"/>
                <w:sz w:val="22"/>
                <w:szCs w:val="22"/>
                <w:highlight w:val="none"/>
              </w:rPr>
              <w:t>医疗保障巩固</w:t>
            </w:r>
          </w:p>
        </w:tc>
        <w:tc>
          <w:tcPr>
            <w:tcW w:w="3685" w:type="dxa"/>
            <w:vAlign w:val="center"/>
          </w:tcPr>
          <w:p w14:paraId="764D13A4">
            <w:pPr>
              <w:spacing w:line="320" w:lineRule="exact"/>
              <w:ind w:firstLine="0" w:firstLineChars="0"/>
              <w:rPr>
                <w:kern w:val="0"/>
                <w:sz w:val="22"/>
                <w:szCs w:val="22"/>
                <w:highlight w:val="none"/>
              </w:rPr>
            </w:pPr>
            <w:r>
              <w:rPr>
                <w:rFonts w:hint="eastAsia"/>
                <w:kern w:val="0"/>
                <w:sz w:val="22"/>
                <w:szCs w:val="22"/>
                <w:highlight w:val="none"/>
              </w:rPr>
              <w:t>农村人口基本医保参保率</w:t>
            </w:r>
            <w:r>
              <w:rPr>
                <w:kern w:val="0"/>
                <w:sz w:val="22"/>
                <w:szCs w:val="22"/>
                <w:highlight w:val="none"/>
              </w:rPr>
              <w:t>（%）</w:t>
            </w:r>
          </w:p>
        </w:tc>
        <w:tc>
          <w:tcPr>
            <w:tcW w:w="992" w:type="dxa"/>
            <w:vAlign w:val="center"/>
          </w:tcPr>
          <w:p w14:paraId="252143B0">
            <w:pPr>
              <w:spacing w:line="320" w:lineRule="exact"/>
              <w:ind w:firstLine="0" w:firstLineChars="0"/>
              <w:jc w:val="center"/>
              <w:rPr>
                <w:kern w:val="0"/>
                <w:sz w:val="22"/>
                <w:szCs w:val="22"/>
                <w:highlight w:val="none"/>
              </w:rPr>
            </w:pPr>
            <w:r>
              <w:rPr>
                <w:rFonts w:hint="eastAsia"/>
                <w:kern w:val="0"/>
                <w:sz w:val="22"/>
                <w:szCs w:val="22"/>
                <w:highlight w:val="none"/>
              </w:rPr>
              <w:t>95</w:t>
            </w:r>
          </w:p>
        </w:tc>
        <w:tc>
          <w:tcPr>
            <w:tcW w:w="1134" w:type="dxa"/>
            <w:vAlign w:val="center"/>
          </w:tcPr>
          <w:p w14:paraId="0CB345EB">
            <w:pPr>
              <w:spacing w:line="320" w:lineRule="exact"/>
              <w:ind w:firstLine="0" w:firstLineChars="0"/>
              <w:jc w:val="center"/>
              <w:rPr>
                <w:kern w:val="0"/>
                <w:sz w:val="22"/>
                <w:szCs w:val="22"/>
                <w:highlight w:val="none"/>
              </w:rPr>
            </w:pPr>
            <w:r>
              <w:rPr>
                <w:rFonts w:hint="eastAsia"/>
                <w:kern w:val="0"/>
                <w:sz w:val="22"/>
                <w:szCs w:val="22"/>
                <w:highlight w:val="none"/>
              </w:rPr>
              <w:t>95</w:t>
            </w:r>
          </w:p>
        </w:tc>
        <w:tc>
          <w:tcPr>
            <w:tcW w:w="930" w:type="dxa"/>
            <w:vAlign w:val="center"/>
          </w:tcPr>
          <w:p w14:paraId="3928A765">
            <w:pPr>
              <w:spacing w:line="320" w:lineRule="exact"/>
              <w:ind w:firstLine="0" w:firstLineChars="0"/>
              <w:jc w:val="center"/>
              <w:rPr>
                <w:kern w:val="0"/>
                <w:sz w:val="22"/>
                <w:szCs w:val="22"/>
                <w:highlight w:val="none"/>
              </w:rPr>
            </w:pPr>
            <w:r>
              <w:rPr>
                <w:kern w:val="0"/>
                <w:sz w:val="22"/>
                <w:szCs w:val="22"/>
                <w:highlight w:val="none"/>
              </w:rPr>
              <w:t>约束性</w:t>
            </w:r>
          </w:p>
        </w:tc>
      </w:tr>
      <w:tr w14:paraId="57F4F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5" w:type="dxa"/>
            <w:vMerge w:val="continue"/>
            <w:vAlign w:val="center"/>
          </w:tcPr>
          <w:p w14:paraId="257E752D">
            <w:pPr>
              <w:spacing w:line="320" w:lineRule="exact"/>
              <w:ind w:firstLine="0" w:firstLineChars="0"/>
              <w:jc w:val="center"/>
              <w:rPr>
                <w:kern w:val="0"/>
                <w:sz w:val="22"/>
                <w:szCs w:val="22"/>
                <w:highlight w:val="none"/>
              </w:rPr>
            </w:pPr>
          </w:p>
        </w:tc>
        <w:tc>
          <w:tcPr>
            <w:tcW w:w="850" w:type="dxa"/>
            <w:vMerge w:val="continue"/>
            <w:vAlign w:val="center"/>
          </w:tcPr>
          <w:p w14:paraId="5EA21365">
            <w:pPr>
              <w:spacing w:line="320" w:lineRule="exact"/>
              <w:ind w:firstLine="0" w:firstLineChars="0"/>
              <w:rPr>
                <w:kern w:val="0"/>
                <w:sz w:val="22"/>
                <w:szCs w:val="22"/>
                <w:highlight w:val="none"/>
              </w:rPr>
            </w:pPr>
          </w:p>
        </w:tc>
        <w:tc>
          <w:tcPr>
            <w:tcW w:w="3685" w:type="dxa"/>
            <w:vAlign w:val="center"/>
          </w:tcPr>
          <w:p w14:paraId="7F9A5B92">
            <w:pPr>
              <w:spacing w:line="320" w:lineRule="exact"/>
              <w:ind w:firstLine="0" w:firstLineChars="0"/>
              <w:rPr>
                <w:kern w:val="0"/>
                <w:sz w:val="22"/>
                <w:szCs w:val="22"/>
                <w:highlight w:val="none"/>
              </w:rPr>
            </w:pPr>
            <w:r>
              <w:rPr>
                <w:kern w:val="0"/>
                <w:sz w:val="22"/>
                <w:szCs w:val="22"/>
                <w:highlight w:val="none"/>
              </w:rPr>
              <w:t>标准化村卫生室比重（%）</w:t>
            </w:r>
          </w:p>
        </w:tc>
        <w:tc>
          <w:tcPr>
            <w:tcW w:w="992" w:type="dxa"/>
            <w:vAlign w:val="center"/>
          </w:tcPr>
          <w:p w14:paraId="1A6A6E95">
            <w:pPr>
              <w:spacing w:line="320" w:lineRule="exact"/>
              <w:ind w:firstLine="0" w:firstLineChars="0"/>
              <w:jc w:val="center"/>
              <w:rPr>
                <w:kern w:val="0"/>
                <w:sz w:val="22"/>
                <w:szCs w:val="22"/>
                <w:highlight w:val="none"/>
              </w:rPr>
            </w:pPr>
            <w:r>
              <w:rPr>
                <w:rFonts w:hint="eastAsia"/>
                <w:kern w:val="0"/>
                <w:sz w:val="22"/>
                <w:szCs w:val="22"/>
                <w:highlight w:val="none"/>
              </w:rPr>
              <w:t>1</w:t>
            </w:r>
            <w:r>
              <w:rPr>
                <w:kern w:val="0"/>
                <w:sz w:val="22"/>
                <w:szCs w:val="22"/>
                <w:highlight w:val="none"/>
              </w:rPr>
              <w:t>00</w:t>
            </w:r>
          </w:p>
        </w:tc>
        <w:tc>
          <w:tcPr>
            <w:tcW w:w="1134" w:type="dxa"/>
            <w:vAlign w:val="center"/>
          </w:tcPr>
          <w:p w14:paraId="7574A2FD">
            <w:pPr>
              <w:spacing w:line="320" w:lineRule="exact"/>
              <w:ind w:firstLine="0" w:firstLineChars="0"/>
              <w:jc w:val="center"/>
              <w:rPr>
                <w:kern w:val="0"/>
                <w:sz w:val="22"/>
                <w:szCs w:val="22"/>
                <w:highlight w:val="none"/>
              </w:rPr>
            </w:pPr>
            <w:r>
              <w:rPr>
                <w:rFonts w:hint="eastAsia"/>
                <w:kern w:val="0"/>
                <w:sz w:val="22"/>
                <w:szCs w:val="22"/>
                <w:highlight w:val="none"/>
              </w:rPr>
              <w:t>1</w:t>
            </w:r>
            <w:r>
              <w:rPr>
                <w:kern w:val="0"/>
                <w:sz w:val="22"/>
                <w:szCs w:val="22"/>
                <w:highlight w:val="none"/>
              </w:rPr>
              <w:t>00</w:t>
            </w:r>
          </w:p>
        </w:tc>
        <w:tc>
          <w:tcPr>
            <w:tcW w:w="930" w:type="dxa"/>
            <w:vAlign w:val="center"/>
          </w:tcPr>
          <w:p w14:paraId="3ACF02E3">
            <w:pPr>
              <w:spacing w:line="320" w:lineRule="exact"/>
              <w:ind w:firstLine="0" w:firstLineChars="0"/>
              <w:jc w:val="center"/>
              <w:rPr>
                <w:kern w:val="0"/>
                <w:sz w:val="22"/>
                <w:szCs w:val="22"/>
                <w:highlight w:val="none"/>
              </w:rPr>
            </w:pPr>
            <w:r>
              <w:rPr>
                <w:kern w:val="0"/>
                <w:sz w:val="22"/>
                <w:szCs w:val="22"/>
                <w:highlight w:val="none"/>
              </w:rPr>
              <w:t>预期性</w:t>
            </w:r>
          </w:p>
        </w:tc>
      </w:tr>
      <w:tr w14:paraId="69AAB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705" w:type="dxa"/>
            <w:vMerge w:val="continue"/>
            <w:vAlign w:val="center"/>
          </w:tcPr>
          <w:p w14:paraId="29282005">
            <w:pPr>
              <w:spacing w:line="320" w:lineRule="exact"/>
              <w:ind w:firstLine="0" w:firstLineChars="0"/>
              <w:jc w:val="center"/>
              <w:rPr>
                <w:kern w:val="0"/>
                <w:sz w:val="22"/>
                <w:szCs w:val="22"/>
                <w:highlight w:val="none"/>
              </w:rPr>
            </w:pPr>
          </w:p>
        </w:tc>
        <w:tc>
          <w:tcPr>
            <w:tcW w:w="850" w:type="dxa"/>
            <w:vMerge w:val="continue"/>
            <w:vAlign w:val="center"/>
          </w:tcPr>
          <w:p w14:paraId="49CEE2CA">
            <w:pPr>
              <w:spacing w:line="320" w:lineRule="exact"/>
              <w:ind w:firstLine="0" w:firstLineChars="0"/>
              <w:rPr>
                <w:kern w:val="0"/>
                <w:sz w:val="22"/>
                <w:szCs w:val="22"/>
                <w:highlight w:val="none"/>
              </w:rPr>
            </w:pPr>
          </w:p>
        </w:tc>
        <w:tc>
          <w:tcPr>
            <w:tcW w:w="3685" w:type="dxa"/>
            <w:vAlign w:val="center"/>
          </w:tcPr>
          <w:p w14:paraId="21C1A45C">
            <w:pPr>
              <w:spacing w:line="320" w:lineRule="exact"/>
              <w:ind w:firstLine="0" w:firstLineChars="0"/>
              <w:rPr>
                <w:kern w:val="0"/>
                <w:sz w:val="22"/>
                <w:szCs w:val="22"/>
                <w:highlight w:val="none"/>
              </w:rPr>
            </w:pPr>
            <w:r>
              <w:rPr>
                <w:kern w:val="0"/>
                <w:sz w:val="22"/>
                <w:szCs w:val="22"/>
                <w:highlight w:val="none"/>
              </w:rPr>
              <w:t>乡村医生中执业（助理）医师比例（%）</w:t>
            </w:r>
          </w:p>
        </w:tc>
        <w:tc>
          <w:tcPr>
            <w:tcW w:w="992" w:type="dxa"/>
            <w:vAlign w:val="center"/>
          </w:tcPr>
          <w:p w14:paraId="3E064E9A">
            <w:pPr>
              <w:spacing w:line="320" w:lineRule="exact"/>
              <w:ind w:firstLine="0" w:firstLineChars="0"/>
              <w:jc w:val="center"/>
              <w:rPr>
                <w:kern w:val="0"/>
                <w:sz w:val="22"/>
                <w:szCs w:val="22"/>
                <w:highlight w:val="none"/>
              </w:rPr>
            </w:pPr>
            <w:r>
              <w:rPr>
                <w:kern w:val="0"/>
                <w:sz w:val="22"/>
                <w:szCs w:val="22"/>
                <w:highlight w:val="none"/>
              </w:rPr>
              <w:t>15</w:t>
            </w:r>
          </w:p>
        </w:tc>
        <w:tc>
          <w:tcPr>
            <w:tcW w:w="1134" w:type="dxa"/>
            <w:vAlign w:val="center"/>
          </w:tcPr>
          <w:p w14:paraId="258B6695">
            <w:pPr>
              <w:spacing w:line="320" w:lineRule="exact"/>
              <w:ind w:firstLine="0" w:firstLineChars="0"/>
              <w:jc w:val="center"/>
              <w:rPr>
                <w:kern w:val="0"/>
                <w:sz w:val="22"/>
                <w:szCs w:val="22"/>
                <w:highlight w:val="none"/>
              </w:rPr>
            </w:pPr>
            <w:r>
              <w:rPr>
                <w:kern w:val="0"/>
                <w:sz w:val="22"/>
                <w:szCs w:val="22"/>
                <w:highlight w:val="none"/>
              </w:rPr>
              <w:t>18</w:t>
            </w:r>
          </w:p>
        </w:tc>
        <w:tc>
          <w:tcPr>
            <w:tcW w:w="930" w:type="dxa"/>
            <w:vAlign w:val="center"/>
          </w:tcPr>
          <w:p w14:paraId="71A31101">
            <w:pPr>
              <w:spacing w:line="320" w:lineRule="exact"/>
              <w:ind w:firstLine="0" w:firstLineChars="0"/>
              <w:jc w:val="center"/>
              <w:rPr>
                <w:kern w:val="0"/>
                <w:sz w:val="22"/>
                <w:szCs w:val="22"/>
                <w:highlight w:val="none"/>
              </w:rPr>
            </w:pPr>
            <w:r>
              <w:rPr>
                <w:kern w:val="0"/>
                <w:sz w:val="22"/>
                <w:szCs w:val="22"/>
                <w:highlight w:val="none"/>
              </w:rPr>
              <w:t>预期性</w:t>
            </w:r>
          </w:p>
        </w:tc>
      </w:tr>
      <w:tr w14:paraId="4B62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5" w:type="dxa"/>
            <w:vAlign w:val="center"/>
          </w:tcPr>
          <w:p w14:paraId="1FE5C624">
            <w:pPr>
              <w:spacing w:line="320" w:lineRule="exact"/>
              <w:ind w:firstLine="0" w:firstLineChars="0"/>
              <w:jc w:val="center"/>
              <w:rPr>
                <w:kern w:val="0"/>
                <w:sz w:val="22"/>
                <w:szCs w:val="22"/>
                <w:highlight w:val="none"/>
              </w:rPr>
            </w:pPr>
            <w:r>
              <w:rPr>
                <w:kern w:val="0"/>
                <w:sz w:val="22"/>
                <w:szCs w:val="22"/>
                <w:highlight w:val="none"/>
              </w:rPr>
              <w:t>5</w:t>
            </w:r>
          </w:p>
        </w:tc>
        <w:tc>
          <w:tcPr>
            <w:tcW w:w="4535" w:type="dxa"/>
            <w:gridSpan w:val="2"/>
            <w:vAlign w:val="center"/>
          </w:tcPr>
          <w:p w14:paraId="3DB3844E">
            <w:pPr>
              <w:spacing w:line="320" w:lineRule="exact"/>
              <w:ind w:firstLine="0" w:firstLineChars="0"/>
              <w:rPr>
                <w:kern w:val="0"/>
                <w:sz w:val="22"/>
                <w:szCs w:val="22"/>
                <w:highlight w:val="none"/>
              </w:rPr>
            </w:pPr>
            <w:r>
              <w:rPr>
                <w:kern w:val="0"/>
                <w:sz w:val="22"/>
                <w:szCs w:val="22"/>
                <w:highlight w:val="none"/>
              </w:rPr>
              <w:t>农村自来水普及率（%）</w:t>
            </w:r>
          </w:p>
        </w:tc>
        <w:tc>
          <w:tcPr>
            <w:tcW w:w="992" w:type="dxa"/>
            <w:vAlign w:val="center"/>
          </w:tcPr>
          <w:p w14:paraId="1871348A">
            <w:pPr>
              <w:spacing w:line="320" w:lineRule="exact"/>
              <w:ind w:firstLine="0" w:firstLineChars="0"/>
              <w:jc w:val="center"/>
              <w:rPr>
                <w:kern w:val="0"/>
                <w:sz w:val="22"/>
                <w:szCs w:val="22"/>
                <w:highlight w:val="none"/>
              </w:rPr>
            </w:pPr>
            <w:r>
              <w:rPr>
                <w:kern w:val="0"/>
                <w:sz w:val="22"/>
                <w:szCs w:val="22"/>
                <w:highlight w:val="none"/>
              </w:rPr>
              <w:t>88.6</w:t>
            </w:r>
          </w:p>
        </w:tc>
        <w:tc>
          <w:tcPr>
            <w:tcW w:w="1134" w:type="dxa"/>
            <w:vAlign w:val="center"/>
          </w:tcPr>
          <w:p w14:paraId="3C191952">
            <w:pPr>
              <w:spacing w:line="320" w:lineRule="exact"/>
              <w:ind w:firstLine="0" w:firstLineChars="0"/>
              <w:jc w:val="center"/>
              <w:rPr>
                <w:kern w:val="0"/>
                <w:sz w:val="22"/>
                <w:szCs w:val="22"/>
                <w:highlight w:val="none"/>
              </w:rPr>
            </w:pPr>
            <w:r>
              <w:rPr>
                <w:kern w:val="0"/>
                <w:sz w:val="22"/>
                <w:szCs w:val="22"/>
                <w:highlight w:val="none"/>
              </w:rPr>
              <w:t>89</w:t>
            </w:r>
          </w:p>
        </w:tc>
        <w:tc>
          <w:tcPr>
            <w:tcW w:w="930" w:type="dxa"/>
            <w:vAlign w:val="center"/>
          </w:tcPr>
          <w:p w14:paraId="2D19D621">
            <w:pPr>
              <w:spacing w:line="320" w:lineRule="exact"/>
              <w:ind w:firstLine="0" w:firstLineChars="0"/>
              <w:jc w:val="center"/>
              <w:rPr>
                <w:kern w:val="0"/>
                <w:sz w:val="22"/>
                <w:szCs w:val="22"/>
                <w:highlight w:val="none"/>
              </w:rPr>
            </w:pPr>
            <w:r>
              <w:rPr>
                <w:kern w:val="0"/>
                <w:sz w:val="22"/>
                <w:szCs w:val="22"/>
                <w:highlight w:val="none"/>
              </w:rPr>
              <w:t>预期性</w:t>
            </w:r>
          </w:p>
        </w:tc>
      </w:tr>
      <w:tr w14:paraId="0ABC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705" w:type="dxa"/>
            <w:vMerge w:val="restart"/>
            <w:vAlign w:val="center"/>
          </w:tcPr>
          <w:p w14:paraId="22BA03DD">
            <w:pPr>
              <w:spacing w:line="320" w:lineRule="exact"/>
              <w:ind w:firstLine="0" w:firstLineChars="0"/>
              <w:jc w:val="center"/>
              <w:rPr>
                <w:kern w:val="0"/>
                <w:sz w:val="22"/>
                <w:szCs w:val="22"/>
                <w:highlight w:val="none"/>
              </w:rPr>
            </w:pPr>
            <w:r>
              <w:rPr>
                <w:kern w:val="0"/>
                <w:sz w:val="22"/>
                <w:szCs w:val="22"/>
                <w:highlight w:val="none"/>
              </w:rPr>
              <w:t>6</w:t>
            </w:r>
          </w:p>
        </w:tc>
        <w:tc>
          <w:tcPr>
            <w:tcW w:w="850" w:type="dxa"/>
            <w:vMerge w:val="restart"/>
            <w:vAlign w:val="center"/>
          </w:tcPr>
          <w:p w14:paraId="02D242E3">
            <w:pPr>
              <w:spacing w:line="320" w:lineRule="exact"/>
              <w:ind w:firstLine="0" w:firstLineChars="0"/>
              <w:jc w:val="center"/>
              <w:rPr>
                <w:kern w:val="0"/>
                <w:sz w:val="22"/>
                <w:szCs w:val="22"/>
                <w:highlight w:val="none"/>
              </w:rPr>
            </w:pPr>
            <w:r>
              <w:rPr>
                <w:kern w:val="0"/>
                <w:sz w:val="22"/>
                <w:szCs w:val="22"/>
                <w:highlight w:val="none"/>
              </w:rPr>
              <w:t>农村人居环境</w:t>
            </w:r>
          </w:p>
        </w:tc>
        <w:tc>
          <w:tcPr>
            <w:tcW w:w="3685" w:type="dxa"/>
            <w:vAlign w:val="center"/>
          </w:tcPr>
          <w:p w14:paraId="27E5F0E6">
            <w:pPr>
              <w:spacing w:line="320" w:lineRule="exact"/>
              <w:ind w:firstLine="0" w:firstLineChars="0"/>
              <w:rPr>
                <w:kern w:val="0"/>
                <w:sz w:val="22"/>
                <w:szCs w:val="22"/>
                <w:highlight w:val="none"/>
              </w:rPr>
            </w:pPr>
            <w:r>
              <w:rPr>
                <w:kern w:val="0"/>
                <w:sz w:val="22"/>
                <w:szCs w:val="22"/>
                <w:highlight w:val="none"/>
              </w:rPr>
              <w:t>农村卫生户厕普及率（%）</w:t>
            </w:r>
          </w:p>
        </w:tc>
        <w:tc>
          <w:tcPr>
            <w:tcW w:w="992" w:type="dxa"/>
            <w:vAlign w:val="center"/>
          </w:tcPr>
          <w:p w14:paraId="752F9BEB">
            <w:pPr>
              <w:spacing w:line="320" w:lineRule="exact"/>
              <w:ind w:firstLine="0" w:firstLineChars="0"/>
              <w:jc w:val="center"/>
              <w:rPr>
                <w:kern w:val="0"/>
                <w:sz w:val="22"/>
                <w:szCs w:val="22"/>
                <w:highlight w:val="none"/>
              </w:rPr>
            </w:pPr>
            <w:r>
              <w:rPr>
                <w:kern w:val="0"/>
                <w:sz w:val="22"/>
                <w:szCs w:val="22"/>
                <w:highlight w:val="none"/>
              </w:rPr>
              <w:t>91.7</w:t>
            </w:r>
          </w:p>
        </w:tc>
        <w:tc>
          <w:tcPr>
            <w:tcW w:w="1134" w:type="dxa"/>
            <w:vAlign w:val="center"/>
          </w:tcPr>
          <w:p w14:paraId="0806F256">
            <w:pPr>
              <w:spacing w:line="320" w:lineRule="exact"/>
              <w:ind w:firstLine="0" w:firstLineChars="0"/>
              <w:jc w:val="center"/>
              <w:rPr>
                <w:kern w:val="0"/>
                <w:sz w:val="22"/>
                <w:szCs w:val="22"/>
                <w:highlight w:val="none"/>
              </w:rPr>
            </w:pPr>
            <w:r>
              <w:rPr>
                <w:rFonts w:hint="eastAsia"/>
                <w:kern w:val="0"/>
                <w:sz w:val="22"/>
                <w:szCs w:val="22"/>
                <w:highlight w:val="none"/>
              </w:rPr>
              <w:t>9</w:t>
            </w:r>
            <w:r>
              <w:rPr>
                <w:kern w:val="0"/>
                <w:sz w:val="22"/>
                <w:szCs w:val="22"/>
                <w:highlight w:val="none"/>
              </w:rPr>
              <w:t>2</w:t>
            </w:r>
          </w:p>
        </w:tc>
        <w:tc>
          <w:tcPr>
            <w:tcW w:w="930" w:type="dxa"/>
            <w:vAlign w:val="center"/>
          </w:tcPr>
          <w:p w14:paraId="7118AE56">
            <w:pPr>
              <w:spacing w:line="320" w:lineRule="exact"/>
              <w:ind w:firstLine="0" w:firstLineChars="0"/>
              <w:jc w:val="center"/>
              <w:rPr>
                <w:kern w:val="0"/>
                <w:sz w:val="22"/>
                <w:szCs w:val="22"/>
                <w:highlight w:val="none"/>
              </w:rPr>
            </w:pPr>
            <w:r>
              <w:rPr>
                <w:kern w:val="0"/>
                <w:sz w:val="22"/>
                <w:szCs w:val="22"/>
                <w:highlight w:val="none"/>
              </w:rPr>
              <w:t>预期性</w:t>
            </w:r>
          </w:p>
        </w:tc>
      </w:tr>
      <w:tr w14:paraId="1EC6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705" w:type="dxa"/>
            <w:vMerge w:val="continue"/>
            <w:vAlign w:val="center"/>
          </w:tcPr>
          <w:p w14:paraId="46D68607">
            <w:pPr>
              <w:spacing w:line="320" w:lineRule="exact"/>
              <w:ind w:firstLine="0" w:firstLineChars="0"/>
              <w:jc w:val="center"/>
              <w:rPr>
                <w:kern w:val="0"/>
                <w:sz w:val="22"/>
                <w:szCs w:val="22"/>
                <w:highlight w:val="none"/>
              </w:rPr>
            </w:pPr>
          </w:p>
        </w:tc>
        <w:tc>
          <w:tcPr>
            <w:tcW w:w="850" w:type="dxa"/>
            <w:vMerge w:val="continue"/>
            <w:vAlign w:val="center"/>
          </w:tcPr>
          <w:p w14:paraId="52423E17">
            <w:pPr>
              <w:spacing w:line="320" w:lineRule="exact"/>
              <w:ind w:firstLine="0" w:firstLineChars="0"/>
              <w:jc w:val="center"/>
              <w:rPr>
                <w:kern w:val="0"/>
                <w:sz w:val="22"/>
                <w:szCs w:val="22"/>
                <w:highlight w:val="none"/>
              </w:rPr>
            </w:pPr>
          </w:p>
        </w:tc>
        <w:tc>
          <w:tcPr>
            <w:tcW w:w="3685" w:type="dxa"/>
            <w:vAlign w:val="center"/>
          </w:tcPr>
          <w:p w14:paraId="4DCA1DE1">
            <w:pPr>
              <w:spacing w:line="320" w:lineRule="exact"/>
              <w:ind w:firstLine="0" w:firstLineChars="0"/>
              <w:rPr>
                <w:kern w:val="0"/>
                <w:sz w:val="22"/>
                <w:szCs w:val="22"/>
                <w:highlight w:val="none"/>
              </w:rPr>
            </w:pPr>
            <w:r>
              <w:rPr>
                <w:kern w:val="0"/>
                <w:sz w:val="22"/>
                <w:szCs w:val="22"/>
                <w:highlight w:val="none"/>
              </w:rPr>
              <w:t>行政村生活垃圾有效治理比例(%)</w:t>
            </w:r>
          </w:p>
        </w:tc>
        <w:tc>
          <w:tcPr>
            <w:tcW w:w="992" w:type="dxa"/>
            <w:vAlign w:val="center"/>
          </w:tcPr>
          <w:p w14:paraId="4EE59626">
            <w:pPr>
              <w:spacing w:line="320" w:lineRule="exact"/>
              <w:ind w:firstLine="0" w:firstLineChars="0"/>
              <w:jc w:val="center"/>
              <w:rPr>
                <w:kern w:val="0"/>
                <w:sz w:val="22"/>
                <w:szCs w:val="22"/>
                <w:highlight w:val="none"/>
              </w:rPr>
            </w:pPr>
            <w:r>
              <w:rPr>
                <w:kern w:val="0"/>
                <w:sz w:val="22"/>
                <w:szCs w:val="22"/>
                <w:highlight w:val="none"/>
              </w:rPr>
              <w:t>90</w:t>
            </w:r>
          </w:p>
        </w:tc>
        <w:tc>
          <w:tcPr>
            <w:tcW w:w="1134" w:type="dxa"/>
            <w:vAlign w:val="center"/>
          </w:tcPr>
          <w:p w14:paraId="7EABD20A">
            <w:pPr>
              <w:spacing w:line="320" w:lineRule="exact"/>
              <w:ind w:firstLine="0" w:firstLineChars="0"/>
              <w:jc w:val="center"/>
              <w:rPr>
                <w:kern w:val="0"/>
                <w:sz w:val="22"/>
                <w:szCs w:val="22"/>
                <w:highlight w:val="none"/>
              </w:rPr>
            </w:pPr>
            <w:r>
              <w:rPr>
                <w:kern w:val="0"/>
                <w:sz w:val="22"/>
                <w:szCs w:val="22"/>
                <w:highlight w:val="none"/>
              </w:rPr>
              <w:t>100</w:t>
            </w:r>
          </w:p>
        </w:tc>
        <w:tc>
          <w:tcPr>
            <w:tcW w:w="930" w:type="dxa"/>
            <w:vAlign w:val="center"/>
          </w:tcPr>
          <w:p w14:paraId="7F38D97B">
            <w:pPr>
              <w:spacing w:line="320" w:lineRule="exact"/>
              <w:ind w:firstLine="0" w:firstLineChars="0"/>
              <w:jc w:val="center"/>
              <w:rPr>
                <w:kern w:val="0"/>
                <w:sz w:val="22"/>
                <w:szCs w:val="22"/>
                <w:highlight w:val="none"/>
              </w:rPr>
            </w:pPr>
            <w:r>
              <w:rPr>
                <w:kern w:val="0"/>
                <w:sz w:val="22"/>
                <w:szCs w:val="22"/>
                <w:highlight w:val="none"/>
              </w:rPr>
              <w:t>预期性</w:t>
            </w:r>
          </w:p>
        </w:tc>
      </w:tr>
      <w:tr w14:paraId="50C3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705" w:type="dxa"/>
            <w:vMerge w:val="restart"/>
            <w:vAlign w:val="center"/>
          </w:tcPr>
          <w:p w14:paraId="48B60D25">
            <w:pPr>
              <w:spacing w:line="320" w:lineRule="exact"/>
              <w:ind w:firstLine="0" w:firstLineChars="0"/>
              <w:jc w:val="center"/>
              <w:rPr>
                <w:kern w:val="0"/>
                <w:sz w:val="22"/>
                <w:szCs w:val="22"/>
                <w:highlight w:val="none"/>
              </w:rPr>
            </w:pPr>
            <w:r>
              <w:rPr>
                <w:kern w:val="0"/>
                <w:sz w:val="22"/>
                <w:szCs w:val="22"/>
                <w:highlight w:val="none"/>
              </w:rPr>
              <w:t>7</w:t>
            </w:r>
          </w:p>
        </w:tc>
        <w:tc>
          <w:tcPr>
            <w:tcW w:w="850" w:type="dxa"/>
            <w:vMerge w:val="restart"/>
            <w:vAlign w:val="center"/>
          </w:tcPr>
          <w:p w14:paraId="417176D5">
            <w:pPr>
              <w:spacing w:line="320" w:lineRule="exact"/>
              <w:ind w:firstLine="0" w:firstLineChars="0"/>
              <w:jc w:val="center"/>
              <w:rPr>
                <w:kern w:val="0"/>
                <w:sz w:val="22"/>
                <w:szCs w:val="22"/>
                <w:highlight w:val="none"/>
              </w:rPr>
            </w:pPr>
            <w:r>
              <w:rPr>
                <w:kern w:val="0"/>
                <w:sz w:val="22"/>
                <w:szCs w:val="22"/>
                <w:highlight w:val="none"/>
              </w:rPr>
              <w:t>就业保障</w:t>
            </w:r>
          </w:p>
        </w:tc>
        <w:tc>
          <w:tcPr>
            <w:tcW w:w="3685" w:type="dxa"/>
            <w:vAlign w:val="center"/>
          </w:tcPr>
          <w:p w14:paraId="59AD9F45">
            <w:pPr>
              <w:spacing w:line="320" w:lineRule="exact"/>
              <w:ind w:firstLine="0" w:firstLineChars="0"/>
              <w:rPr>
                <w:kern w:val="0"/>
                <w:sz w:val="22"/>
                <w:szCs w:val="22"/>
                <w:highlight w:val="none"/>
              </w:rPr>
            </w:pPr>
            <w:r>
              <w:rPr>
                <w:kern w:val="0"/>
                <w:sz w:val="22"/>
                <w:szCs w:val="22"/>
                <w:highlight w:val="none"/>
              </w:rPr>
              <w:t>公益岗位脱贫人口就业比重（%）</w:t>
            </w:r>
          </w:p>
        </w:tc>
        <w:tc>
          <w:tcPr>
            <w:tcW w:w="992" w:type="dxa"/>
            <w:vAlign w:val="center"/>
          </w:tcPr>
          <w:p w14:paraId="7097BCA2">
            <w:pPr>
              <w:spacing w:line="320" w:lineRule="exact"/>
              <w:ind w:firstLine="0" w:firstLineChars="0"/>
              <w:jc w:val="center"/>
              <w:rPr>
                <w:kern w:val="0"/>
                <w:sz w:val="20"/>
                <w:szCs w:val="20"/>
                <w:highlight w:val="none"/>
              </w:rPr>
            </w:pPr>
            <w:r>
              <w:rPr>
                <w:kern w:val="0"/>
                <w:sz w:val="20"/>
                <w:szCs w:val="20"/>
                <w:highlight w:val="none"/>
              </w:rPr>
              <w:t>14.29</w:t>
            </w:r>
          </w:p>
        </w:tc>
        <w:tc>
          <w:tcPr>
            <w:tcW w:w="1134" w:type="dxa"/>
            <w:vAlign w:val="center"/>
          </w:tcPr>
          <w:p w14:paraId="03A2A8CE">
            <w:pPr>
              <w:spacing w:line="320" w:lineRule="exact"/>
              <w:ind w:firstLine="0" w:firstLineChars="0"/>
              <w:jc w:val="center"/>
              <w:rPr>
                <w:kern w:val="0"/>
                <w:sz w:val="22"/>
                <w:szCs w:val="22"/>
                <w:highlight w:val="none"/>
              </w:rPr>
            </w:pPr>
            <w:r>
              <w:rPr>
                <w:rFonts w:hint="eastAsia"/>
                <w:kern w:val="0"/>
                <w:sz w:val="22"/>
                <w:szCs w:val="22"/>
                <w:highlight w:val="none"/>
              </w:rPr>
              <w:t>保持规模总体稳定</w:t>
            </w:r>
          </w:p>
        </w:tc>
        <w:tc>
          <w:tcPr>
            <w:tcW w:w="930" w:type="dxa"/>
            <w:vAlign w:val="center"/>
          </w:tcPr>
          <w:p w14:paraId="418D5746">
            <w:pPr>
              <w:spacing w:line="320" w:lineRule="exact"/>
              <w:ind w:firstLine="0" w:firstLineChars="0"/>
              <w:jc w:val="center"/>
              <w:rPr>
                <w:kern w:val="0"/>
                <w:sz w:val="22"/>
                <w:szCs w:val="22"/>
                <w:highlight w:val="none"/>
              </w:rPr>
            </w:pPr>
            <w:r>
              <w:rPr>
                <w:kern w:val="0"/>
                <w:sz w:val="22"/>
                <w:szCs w:val="22"/>
                <w:highlight w:val="none"/>
              </w:rPr>
              <w:t>预期性</w:t>
            </w:r>
          </w:p>
        </w:tc>
      </w:tr>
      <w:tr w14:paraId="11F6A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705" w:type="dxa"/>
            <w:vMerge w:val="continue"/>
            <w:vAlign w:val="center"/>
          </w:tcPr>
          <w:p w14:paraId="2097A3BD">
            <w:pPr>
              <w:spacing w:line="320" w:lineRule="exact"/>
              <w:ind w:firstLine="0" w:firstLineChars="0"/>
              <w:jc w:val="center"/>
              <w:rPr>
                <w:kern w:val="0"/>
                <w:sz w:val="22"/>
                <w:szCs w:val="22"/>
                <w:highlight w:val="none"/>
              </w:rPr>
            </w:pPr>
          </w:p>
        </w:tc>
        <w:tc>
          <w:tcPr>
            <w:tcW w:w="850" w:type="dxa"/>
            <w:vMerge w:val="continue"/>
            <w:vAlign w:val="center"/>
          </w:tcPr>
          <w:p w14:paraId="757CE69B">
            <w:pPr>
              <w:spacing w:line="320" w:lineRule="exact"/>
              <w:ind w:firstLine="0" w:firstLineChars="0"/>
              <w:jc w:val="center"/>
              <w:rPr>
                <w:kern w:val="0"/>
                <w:sz w:val="22"/>
                <w:szCs w:val="22"/>
                <w:highlight w:val="none"/>
              </w:rPr>
            </w:pPr>
          </w:p>
        </w:tc>
        <w:tc>
          <w:tcPr>
            <w:tcW w:w="3685" w:type="dxa"/>
            <w:vAlign w:val="center"/>
          </w:tcPr>
          <w:p w14:paraId="4110C96C">
            <w:pPr>
              <w:spacing w:line="320" w:lineRule="exact"/>
              <w:ind w:firstLine="0" w:firstLineChars="0"/>
              <w:rPr>
                <w:kern w:val="0"/>
                <w:sz w:val="22"/>
                <w:szCs w:val="22"/>
                <w:highlight w:val="none"/>
              </w:rPr>
            </w:pPr>
            <w:r>
              <w:rPr>
                <w:rFonts w:hint="eastAsia"/>
                <w:kern w:val="0"/>
                <w:sz w:val="22"/>
                <w:szCs w:val="22"/>
                <w:highlight w:val="none"/>
              </w:rPr>
              <w:t>有劳动能力、有就业意愿和培训需求的群众培训比重</w:t>
            </w:r>
            <w:r>
              <w:rPr>
                <w:kern w:val="0"/>
                <w:sz w:val="22"/>
                <w:szCs w:val="22"/>
                <w:highlight w:val="none"/>
              </w:rPr>
              <w:t>（%）</w:t>
            </w:r>
          </w:p>
        </w:tc>
        <w:tc>
          <w:tcPr>
            <w:tcW w:w="992" w:type="dxa"/>
            <w:vAlign w:val="center"/>
          </w:tcPr>
          <w:p w14:paraId="7205F350">
            <w:pPr>
              <w:spacing w:line="320" w:lineRule="exact"/>
              <w:ind w:firstLine="0" w:firstLineChars="0"/>
              <w:jc w:val="center"/>
              <w:rPr>
                <w:kern w:val="0"/>
                <w:sz w:val="22"/>
                <w:szCs w:val="22"/>
                <w:highlight w:val="none"/>
              </w:rPr>
            </w:pPr>
            <w:r>
              <w:rPr>
                <w:rFonts w:hint="eastAsia"/>
                <w:kern w:val="0"/>
                <w:sz w:val="22"/>
                <w:szCs w:val="22"/>
                <w:highlight w:val="none"/>
              </w:rPr>
              <w:t>100</w:t>
            </w:r>
          </w:p>
        </w:tc>
        <w:tc>
          <w:tcPr>
            <w:tcW w:w="1134" w:type="dxa"/>
            <w:vAlign w:val="center"/>
          </w:tcPr>
          <w:p w14:paraId="7A6576FD">
            <w:pPr>
              <w:spacing w:line="320" w:lineRule="exact"/>
              <w:ind w:firstLine="0" w:firstLineChars="0"/>
              <w:jc w:val="center"/>
              <w:rPr>
                <w:kern w:val="0"/>
                <w:sz w:val="22"/>
                <w:szCs w:val="22"/>
                <w:highlight w:val="none"/>
              </w:rPr>
            </w:pPr>
            <w:r>
              <w:rPr>
                <w:rFonts w:hint="eastAsia"/>
                <w:kern w:val="0"/>
                <w:sz w:val="22"/>
                <w:szCs w:val="22"/>
                <w:highlight w:val="none"/>
              </w:rPr>
              <w:t>100</w:t>
            </w:r>
          </w:p>
        </w:tc>
        <w:tc>
          <w:tcPr>
            <w:tcW w:w="930" w:type="dxa"/>
            <w:vAlign w:val="center"/>
          </w:tcPr>
          <w:p w14:paraId="0684E680">
            <w:pPr>
              <w:spacing w:line="320" w:lineRule="exact"/>
              <w:ind w:firstLine="0" w:firstLineChars="0"/>
              <w:jc w:val="center"/>
              <w:rPr>
                <w:kern w:val="0"/>
                <w:sz w:val="22"/>
                <w:szCs w:val="22"/>
                <w:highlight w:val="none"/>
              </w:rPr>
            </w:pPr>
            <w:r>
              <w:rPr>
                <w:kern w:val="0"/>
                <w:sz w:val="22"/>
                <w:szCs w:val="22"/>
                <w:highlight w:val="none"/>
              </w:rPr>
              <w:t>预期性</w:t>
            </w:r>
          </w:p>
        </w:tc>
      </w:tr>
      <w:tr w14:paraId="6E548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5" w:type="dxa"/>
            <w:vMerge w:val="continue"/>
            <w:vAlign w:val="center"/>
          </w:tcPr>
          <w:p w14:paraId="119F289E">
            <w:pPr>
              <w:spacing w:line="320" w:lineRule="exact"/>
              <w:ind w:firstLine="0" w:firstLineChars="0"/>
              <w:jc w:val="center"/>
              <w:rPr>
                <w:kern w:val="0"/>
                <w:sz w:val="22"/>
                <w:szCs w:val="22"/>
                <w:highlight w:val="none"/>
              </w:rPr>
            </w:pPr>
          </w:p>
        </w:tc>
        <w:tc>
          <w:tcPr>
            <w:tcW w:w="850" w:type="dxa"/>
            <w:vMerge w:val="continue"/>
            <w:vAlign w:val="center"/>
          </w:tcPr>
          <w:p w14:paraId="1692E6CA">
            <w:pPr>
              <w:spacing w:line="320" w:lineRule="exact"/>
              <w:ind w:firstLine="0" w:firstLineChars="0"/>
              <w:jc w:val="center"/>
              <w:rPr>
                <w:kern w:val="0"/>
                <w:sz w:val="22"/>
                <w:szCs w:val="22"/>
                <w:highlight w:val="none"/>
              </w:rPr>
            </w:pPr>
          </w:p>
        </w:tc>
        <w:tc>
          <w:tcPr>
            <w:tcW w:w="3685" w:type="dxa"/>
            <w:vAlign w:val="center"/>
          </w:tcPr>
          <w:p w14:paraId="768B4FC4">
            <w:pPr>
              <w:spacing w:line="320" w:lineRule="exact"/>
              <w:ind w:firstLine="0" w:firstLineChars="0"/>
              <w:rPr>
                <w:kern w:val="0"/>
                <w:sz w:val="22"/>
                <w:szCs w:val="22"/>
                <w:highlight w:val="none"/>
              </w:rPr>
            </w:pPr>
            <w:r>
              <w:rPr>
                <w:kern w:val="0"/>
                <w:sz w:val="22"/>
                <w:szCs w:val="22"/>
                <w:highlight w:val="none"/>
              </w:rPr>
              <w:t>转移就业比重（%）</w:t>
            </w:r>
          </w:p>
        </w:tc>
        <w:tc>
          <w:tcPr>
            <w:tcW w:w="992" w:type="dxa"/>
            <w:vAlign w:val="center"/>
          </w:tcPr>
          <w:p w14:paraId="498BD57D">
            <w:pPr>
              <w:spacing w:line="320" w:lineRule="exact"/>
              <w:ind w:firstLine="0" w:firstLineChars="0"/>
              <w:jc w:val="center"/>
              <w:rPr>
                <w:kern w:val="0"/>
                <w:sz w:val="22"/>
                <w:szCs w:val="22"/>
                <w:highlight w:val="none"/>
              </w:rPr>
            </w:pPr>
            <w:r>
              <w:rPr>
                <w:rFonts w:hint="eastAsia"/>
                <w:kern w:val="0"/>
                <w:sz w:val="22"/>
                <w:szCs w:val="22"/>
                <w:highlight w:val="none"/>
              </w:rPr>
              <w:t>--</w:t>
            </w:r>
          </w:p>
        </w:tc>
        <w:tc>
          <w:tcPr>
            <w:tcW w:w="1134" w:type="dxa"/>
            <w:vAlign w:val="center"/>
          </w:tcPr>
          <w:p w14:paraId="51443DF3">
            <w:pPr>
              <w:spacing w:line="320" w:lineRule="exact"/>
              <w:ind w:firstLine="0" w:firstLineChars="0"/>
              <w:jc w:val="center"/>
              <w:rPr>
                <w:kern w:val="0"/>
                <w:sz w:val="22"/>
                <w:szCs w:val="22"/>
                <w:highlight w:val="none"/>
              </w:rPr>
            </w:pPr>
            <w:r>
              <w:rPr>
                <w:rFonts w:hint="eastAsia"/>
                <w:kern w:val="0"/>
                <w:sz w:val="22"/>
                <w:szCs w:val="22"/>
                <w:highlight w:val="none"/>
              </w:rPr>
              <w:t>85</w:t>
            </w:r>
          </w:p>
        </w:tc>
        <w:tc>
          <w:tcPr>
            <w:tcW w:w="930" w:type="dxa"/>
            <w:vAlign w:val="center"/>
          </w:tcPr>
          <w:p w14:paraId="423B83F8">
            <w:pPr>
              <w:spacing w:line="320" w:lineRule="exact"/>
              <w:ind w:firstLine="0" w:firstLineChars="0"/>
              <w:jc w:val="center"/>
              <w:rPr>
                <w:kern w:val="0"/>
                <w:sz w:val="22"/>
                <w:szCs w:val="22"/>
                <w:highlight w:val="none"/>
              </w:rPr>
            </w:pPr>
            <w:r>
              <w:rPr>
                <w:kern w:val="0"/>
                <w:sz w:val="22"/>
                <w:szCs w:val="22"/>
                <w:highlight w:val="none"/>
              </w:rPr>
              <w:t>预期性</w:t>
            </w:r>
          </w:p>
        </w:tc>
      </w:tr>
      <w:tr w14:paraId="3D58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705" w:type="dxa"/>
            <w:vMerge w:val="restart"/>
            <w:vAlign w:val="center"/>
          </w:tcPr>
          <w:p w14:paraId="7BBA57A6">
            <w:pPr>
              <w:spacing w:line="320" w:lineRule="exact"/>
              <w:ind w:firstLine="0" w:firstLineChars="0"/>
              <w:jc w:val="center"/>
              <w:rPr>
                <w:kern w:val="0"/>
                <w:sz w:val="22"/>
                <w:szCs w:val="22"/>
                <w:highlight w:val="none"/>
              </w:rPr>
            </w:pPr>
            <w:r>
              <w:rPr>
                <w:kern w:val="0"/>
                <w:sz w:val="22"/>
                <w:szCs w:val="22"/>
                <w:highlight w:val="none"/>
              </w:rPr>
              <w:t>8</w:t>
            </w:r>
          </w:p>
        </w:tc>
        <w:tc>
          <w:tcPr>
            <w:tcW w:w="850" w:type="dxa"/>
            <w:vMerge w:val="restart"/>
            <w:vAlign w:val="center"/>
          </w:tcPr>
          <w:p w14:paraId="793DD3DE">
            <w:pPr>
              <w:spacing w:line="320" w:lineRule="exact"/>
              <w:ind w:firstLine="0" w:firstLineChars="0"/>
              <w:jc w:val="center"/>
              <w:rPr>
                <w:kern w:val="0"/>
                <w:sz w:val="22"/>
                <w:szCs w:val="22"/>
                <w:highlight w:val="none"/>
              </w:rPr>
            </w:pPr>
            <w:r>
              <w:rPr>
                <w:kern w:val="0"/>
                <w:sz w:val="22"/>
                <w:szCs w:val="22"/>
                <w:highlight w:val="none"/>
              </w:rPr>
              <w:t>产业发展</w:t>
            </w:r>
          </w:p>
        </w:tc>
        <w:tc>
          <w:tcPr>
            <w:tcW w:w="3685" w:type="dxa"/>
            <w:vAlign w:val="center"/>
          </w:tcPr>
          <w:p w14:paraId="6CE5B32E">
            <w:pPr>
              <w:spacing w:line="320" w:lineRule="exact"/>
              <w:ind w:firstLine="0" w:firstLineChars="0"/>
              <w:rPr>
                <w:kern w:val="0"/>
                <w:sz w:val="22"/>
                <w:szCs w:val="22"/>
                <w:highlight w:val="none"/>
              </w:rPr>
            </w:pPr>
            <w:r>
              <w:rPr>
                <w:rFonts w:hint="eastAsia"/>
                <w:kern w:val="0"/>
                <w:sz w:val="22"/>
                <w:szCs w:val="22"/>
                <w:highlight w:val="none"/>
              </w:rPr>
              <w:t>第一产业增加值（亿元）</w:t>
            </w:r>
          </w:p>
        </w:tc>
        <w:tc>
          <w:tcPr>
            <w:tcW w:w="992" w:type="dxa"/>
            <w:vAlign w:val="center"/>
          </w:tcPr>
          <w:p w14:paraId="260817D1">
            <w:pPr>
              <w:spacing w:line="320" w:lineRule="exact"/>
              <w:ind w:firstLine="0" w:firstLineChars="0"/>
              <w:jc w:val="center"/>
              <w:rPr>
                <w:color w:val="000000"/>
                <w:kern w:val="0"/>
                <w:sz w:val="22"/>
                <w:szCs w:val="22"/>
                <w:highlight w:val="none"/>
              </w:rPr>
            </w:pPr>
            <w:r>
              <w:rPr>
                <w:color w:val="000000"/>
                <w:kern w:val="0"/>
                <w:sz w:val="22"/>
                <w:szCs w:val="22"/>
                <w:highlight w:val="none"/>
              </w:rPr>
              <w:t>11.96</w:t>
            </w:r>
          </w:p>
        </w:tc>
        <w:tc>
          <w:tcPr>
            <w:tcW w:w="1134" w:type="dxa"/>
            <w:vAlign w:val="center"/>
          </w:tcPr>
          <w:p w14:paraId="0275FF17">
            <w:pPr>
              <w:spacing w:line="320" w:lineRule="exact"/>
              <w:ind w:firstLine="0" w:firstLineChars="0"/>
              <w:jc w:val="center"/>
              <w:rPr>
                <w:color w:val="000000"/>
                <w:kern w:val="0"/>
                <w:sz w:val="22"/>
                <w:szCs w:val="22"/>
                <w:highlight w:val="none"/>
              </w:rPr>
            </w:pPr>
            <w:r>
              <w:rPr>
                <w:color w:val="000000"/>
                <w:kern w:val="0"/>
                <w:sz w:val="22"/>
                <w:szCs w:val="22"/>
                <w:highlight w:val="none"/>
              </w:rPr>
              <w:t>13.86</w:t>
            </w:r>
          </w:p>
        </w:tc>
        <w:tc>
          <w:tcPr>
            <w:tcW w:w="930" w:type="dxa"/>
            <w:vAlign w:val="center"/>
          </w:tcPr>
          <w:p w14:paraId="5B02F700">
            <w:pPr>
              <w:spacing w:line="320" w:lineRule="exact"/>
              <w:ind w:firstLine="0" w:firstLineChars="0"/>
              <w:jc w:val="center"/>
              <w:rPr>
                <w:color w:val="000000"/>
                <w:kern w:val="0"/>
                <w:sz w:val="22"/>
                <w:szCs w:val="22"/>
                <w:highlight w:val="none"/>
              </w:rPr>
            </w:pPr>
            <w:r>
              <w:rPr>
                <w:rFonts w:hint="eastAsia"/>
                <w:color w:val="000000"/>
                <w:kern w:val="0"/>
                <w:sz w:val="22"/>
                <w:szCs w:val="22"/>
                <w:highlight w:val="none"/>
              </w:rPr>
              <w:t>预期性</w:t>
            </w:r>
          </w:p>
        </w:tc>
      </w:tr>
      <w:tr w14:paraId="41E5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705" w:type="dxa"/>
            <w:vMerge w:val="continue"/>
            <w:vAlign w:val="center"/>
          </w:tcPr>
          <w:p w14:paraId="54BCB386">
            <w:pPr>
              <w:spacing w:line="320" w:lineRule="exact"/>
              <w:ind w:firstLine="0" w:firstLineChars="0"/>
              <w:jc w:val="center"/>
              <w:rPr>
                <w:kern w:val="0"/>
                <w:sz w:val="22"/>
                <w:szCs w:val="22"/>
                <w:highlight w:val="none"/>
              </w:rPr>
            </w:pPr>
          </w:p>
        </w:tc>
        <w:tc>
          <w:tcPr>
            <w:tcW w:w="850" w:type="dxa"/>
            <w:vMerge w:val="continue"/>
            <w:vAlign w:val="center"/>
          </w:tcPr>
          <w:p w14:paraId="42C5DFC9">
            <w:pPr>
              <w:spacing w:line="320" w:lineRule="exact"/>
              <w:ind w:firstLine="0" w:firstLineChars="0"/>
              <w:rPr>
                <w:kern w:val="0"/>
                <w:sz w:val="22"/>
                <w:szCs w:val="22"/>
                <w:highlight w:val="none"/>
              </w:rPr>
            </w:pPr>
          </w:p>
        </w:tc>
        <w:tc>
          <w:tcPr>
            <w:tcW w:w="3685" w:type="dxa"/>
            <w:vAlign w:val="center"/>
          </w:tcPr>
          <w:p w14:paraId="3D5B6A04">
            <w:pPr>
              <w:spacing w:line="320" w:lineRule="exact"/>
              <w:ind w:firstLine="0" w:firstLineChars="0"/>
              <w:rPr>
                <w:kern w:val="0"/>
                <w:sz w:val="22"/>
                <w:szCs w:val="22"/>
                <w:highlight w:val="none"/>
              </w:rPr>
            </w:pPr>
            <w:r>
              <w:rPr>
                <w:kern w:val="0"/>
                <w:sz w:val="22"/>
                <w:szCs w:val="22"/>
                <w:highlight w:val="none"/>
              </w:rPr>
              <w:t>农产品加工产值与农业总产值比</w:t>
            </w:r>
          </w:p>
        </w:tc>
        <w:tc>
          <w:tcPr>
            <w:tcW w:w="992" w:type="dxa"/>
            <w:vAlign w:val="center"/>
          </w:tcPr>
          <w:p w14:paraId="436959C8">
            <w:pPr>
              <w:spacing w:line="320" w:lineRule="exact"/>
              <w:ind w:firstLine="0" w:firstLineChars="0"/>
              <w:jc w:val="center"/>
              <w:rPr>
                <w:kern w:val="0"/>
                <w:sz w:val="22"/>
                <w:szCs w:val="22"/>
                <w:highlight w:val="none"/>
              </w:rPr>
            </w:pPr>
            <w:r>
              <w:rPr>
                <w:kern w:val="0"/>
                <w:sz w:val="22"/>
                <w:szCs w:val="22"/>
                <w:highlight w:val="none"/>
              </w:rPr>
              <w:t>1.4</w:t>
            </w:r>
            <w:r>
              <w:rPr>
                <w:rFonts w:hint="eastAsia"/>
                <w:kern w:val="0"/>
                <w:sz w:val="22"/>
                <w:szCs w:val="22"/>
                <w:highlight w:val="none"/>
              </w:rPr>
              <w:t>:</w:t>
            </w:r>
            <w:r>
              <w:rPr>
                <w:kern w:val="0"/>
                <w:sz w:val="22"/>
                <w:szCs w:val="22"/>
                <w:highlight w:val="none"/>
              </w:rPr>
              <w:t>1</w:t>
            </w:r>
          </w:p>
        </w:tc>
        <w:tc>
          <w:tcPr>
            <w:tcW w:w="1134" w:type="dxa"/>
            <w:vAlign w:val="center"/>
          </w:tcPr>
          <w:p w14:paraId="13323F52">
            <w:pPr>
              <w:spacing w:line="320" w:lineRule="exact"/>
              <w:ind w:firstLine="0" w:firstLineChars="0"/>
              <w:jc w:val="center"/>
              <w:rPr>
                <w:kern w:val="0"/>
                <w:sz w:val="22"/>
                <w:szCs w:val="22"/>
                <w:highlight w:val="none"/>
              </w:rPr>
            </w:pPr>
            <w:r>
              <w:rPr>
                <w:rFonts w:hint="eastAsia"/>
                <w:kern w:val="0"/>
                <w:sz w:val="22"/>
                <w:szCs w:val="22"/>
                <w:highlight w:val="none"/>
              </w:rPr>
              <w:t>2:</w:t>
            </w:r>
            <w:r>
              <w:rPr>
                <w:kern w:val="0"/>
                <w:sz w:val="22"/>
                <w:szCs w:val="22"/>
                <w:highlight w:val="none"/>
              </w:rPr>
              <w:t>1</w:t>
            </w:r>
          </w:p>
        </w:tc>
        <w:tc>
          <w:tcPr>
            <w:tcW w:w="930" w:type="dxa"/>
            <w:vAlign w:val="center"/>
          </w:tcPr>
          <w:p w14:paraId="498CC491">
            <w:pPr>
              <w:spacing w:line="320" w:lineRule="exact"/>
              <w:ind w:firstLine="0" w:firstLineChars="0"/>
              <w:jc w:val="center"/>
              <w:rPr>
                <w:kern w:val="0"/>
                <w:sz w:val="22"/>
                <w:szCs w:val="22"/>
                <w:highlight w:val="none"/>
              </w:rPr>
            </w:pPr>
            <w:r>
              <w:rPr>
                <w:kern w:val="0"/>
                <w:sz w:val="22"/>
                <w:szCs w:val="22"/>
                <w:highlight w:val="none"/>
              </w:rPr>
              <w:t>预期性</w:t>
            </w:r>
          </w:p>
        </w:tc>
      </w:tr>
      <w:tr w14:paraId="3C16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exact"/>
          <w:jc w:val="center"/>
        </w:trPr>
        <w:tc>
          <w:tcPr>
            <w:tcW w:w="705" w:type="dxa"/>
            <w:vMerge w:val="continue"/>
            <w:vAlign w:val="center"/>
          </w:tcPr>
          <w:p w14:paraId="340FBC59">
            <w:pPr>
              <w:spacing w:line="320" w:lineRule="exact"/>
              <w:ind w:firstLine="0" w:firstLineChars="0"/>
              <w:jc w:val="center"/>
              <w:rPr>
                <w:kern w:val="0"/>
                <w:sz w:val="22"/>
                <w:szCs w:val="22"/>
                <w:highlight w:val="none"/>
              </w:rPr>
            </w:pPr>
          </w:p>
        </w:tc>
        <w:tc>
          <w:tcPr>
            <w:tcW w:w="850" w:type="dxa"/>
            <w:vMerge w:val="continue"/>
            <w:vAlign w:val="center"/>
          </w:tcPr>
          <w:p w14:paraId="59B4FBC4">
            <w:pPr>
              <w:spacing w:line="320" w:lineRule="exact"/>
              <w:ind w:firstLine="0" w:firstLineChars="0"/>
              <w:rPr>
                <w:kern w:val="0"/>
                <w:sz w:val="22"/>
                <w:szCs w:val="22"/>
                <w:highlight w:val="none"/>
              </w:rPr>
            </w:pPr>
          </w:p>
        </w:tc>
        <w:tc>
          <w:tcPr>
            <w:tcW w:w="3685" w:type="dxa"/>
            <w:vAlign w:val="center"/>
          </w:tcPr>
          <w:p w14:paraId="027CFD3D">
            <w:pPr>
              <w:spacing w:line="320" w:lineRule="exact"/>
              <w:ind w:firstLine="0" w:firstLineChars="0"/>
              <w:rPr>
                <w:kern w:val="0"/>
                <w:sz w:val="22"/>
                <w:szCs w:val="22"/>
                <w:highlight w:val="none"/>
              </w:rPr>
            </w:pPr>
            <w:r>
              <w:rPr>
                <w:rFonts w:hint="eastAsia"/>
                <w:kern w:val="0"/>
                <w:sz w:val="22"/>
                <w:szCs w:val="22"/>
                <w:highlight w:val="none"/>
              </w:rPr>
              <w:t>农林牧渔服务业产值增速（%）</w:t>
            </w:r>
          </w:p>
        </w:tc>
        <w:tc>
          <w:tcPr>
            <w:tcW w:w="992" w:type="dxa"/>
            <w:vAlign w:val="center"/>
          </w:tcPr>
          <w:p w14:paraId="6955D0C8">
            <w:pPr>
              <w:spacing w:line="320" w:lineRule="exact"/>
              <w:ind w:firstLine="0" w:firstLineChars="0"/>
              <w:jc w:val="center"/>
              <w:rPr>
                <w:kern w:val="0"/>
                <w:sz w:val="22"/>
                <w:szCs w:val="22"/>
                <w:highlight w:val="none"/>
              </w:rPr>
            </w:pPr>
            <w:r>
              <w:rPr>
                <w:rFonts w:hint="eastAsia"/>
                <w:kern w:val="0"/>
                <w:sz w:val="22"/>
                <w:szCs w:val="22"/>
                <w:highlight w:val="none"/>
              </w:rPr>
              <w:t>3.3</w:t>
            </w:r>
          </w:p>
        </w:tc>
        <w:tc>
          <w:tcPr>
            <w:tcW w:w="1134" w:type="dxa"/>
            <w:vAlign w:val="center"/>
          </w:tcPr>
          <w:p w14:paraId="0EF606D5">
            <w:pPr>
              <w:spacing w:line="320" w:lineRule="exact"/>
              <w:ind w:firstLine="0" w:firstLineChars="0"/>
              <w:jc w:val="center"/>
              <w:rPr>
                <w:kern w:val="0"/>
                <w:sz w:val="22"/>
                <w:szCs w:val="22"/>
                <w:highlight w:val="none"/>
              </w:rPr>
            </w:pPr>
            <w:r>
              <w:rPr>
                <w:rFonts w:hint="eastAsia"/>
                <w:kern w:val="0"/>
                <w:sz w:val="22"/>
                <w:szCs w:val="22"/>
                <w:highlight w:val="none"/>
              </w:rPr>
              <w:t>高于全市平均水平</w:t>
            </w:r>
          </w:p>
        </w:tc>
        <w:tc>
          <w:tcPr>
            <w:tcW w:w="930" w:type="dxa"/>
            <w:vAlign w:val="center"/>
          </w:tcPr>
          <w:p w14:paraId="357781B0">
            <w:pPr>
              <w:spacing w:line="320" w:lineRule="exact"/>
              <w:ind w:firstLine="0" w:firstLineChars="0"/>
              <w:jc w:val="center"/>
              <w:rPr>
                <w:kern w:val="0"/>
                <w:sz w:val="22"/>
                <w:szCs w:val="22"/>
                <w:highlight w:val="none"/>
              </w:rPr>
            </w:pPr>
            <w:r>
              <w:rPr>
                <w:rFonts w:hint="eastAsia"/>
                <w:kern w:val="0"/>
                <w:sz w:val="22"/>
                <w:szCs w:val="22"/>
                <w:highlight w:val="none"/>
              </w:rPr>
              <w:t>预期性</w:t>
            </w:r>
          </w:p>
        </w:tc>
      </w:tr>
      <w:tr w14:paraId="635F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705" w:type="dxa"/>
            <w:vMerge w:val="continue"/>
            <w:vAlign w:val="center"/>
          </w:tcPr>
          <w:p w14:paraId="0B8322F3">
            <w:pPr>
              <w:spacing w:line="320" w:lineRule="exact"/>
              <w:ind w:firstLine="0" w:firstLineChars="0"/>
              <w:jc w:val="center"/>
              <w:rPr>
                <w:kern w:val="0"/>
                <w:sz w:val="22"/>
                <w:szCs w:val="22"/>
                <w:highlight w:val="none"/>
              </w:rPr>
            </w:pPr>
          </w:p>
        </w:tc>
        <w:tc>
          <w:tcPr>
            <w:tcW w:w="850" w:type="dxa"/>
            <w:vMerge w:val="continue"/>
            <w:vAlign w:val="center"/>
          </w:tcPr>
          <w:p w14:paraId="7BBAA6E5">
            <w:pPr>
              <w:spacing w:line="320" w:lineRule="exact"/>
              <w:ind w:firstLine="0" w:firstLineChars="0"/>
              <w:rPr>
                <w:kern w:val="0"/>
                <w:sz w:val="22"/>
                <w:szCs w:val="22"/>
                <w:highlight w:val="none"/>
              </w:rPr>
            </w:pPr>
          </w:p>
        </w:tc>
        <w:tc>
          <w:tcPr>
            <w:tcW w:w="3685" w:type="dxa"/>
            <w:vAlign w:val="center"/>
          </w:tcPr>
          <w:p w14:paraId="127AC70F">
            <w:pPr>
              <w:spacing w:line="320" w:lineRule="exact"/>
              <w:ind w:firstLine="0" w:firstLineChars="0"/>
              <w:rPr>
                <w:kern w:val="0"/>
                <w:sz w:val="22"/>
                <w:szCs w:val="22"/>
                <w:highlight w:val="none"/>
              </w:rPr>
            </w:pPr>
            <w:r>
              <w:rPr>
                <w:rFonts w:hint="eastAsia"/>
                <w:kern w:val="0"/>
                <w:sz w:val="22"/>
                <w:szCs w:val="22"/>
                <w:highlight w:val="none"/>
              </w:rPr>
              <w:t>粮食综合生产能力（万吨）</w:t>
            </w:r>
          </w:p>
        </w:tc>
        <w:tc>
          <w:tcPr>
            <w:tcW w:w="992" w:type="dxa"/>
            <w:vAlign w:val="center"/>
          </w:tcPr>
          <w:p w14:paraId="5F3E2639">
            <w:pPr>
              <w:spacing w:line="320" w:lineRule="exact"/>
              <w:ind w:firstLine="0" w:firstLineChars="0"/>
              <w:jc w:val="center"/>
              <w:rPr>
                <w:kern w:val="0"/>
                <w:sz w:val="22"/>
                <w:szCs w:val="22"/>
                <w:highlight w:val="none"/>
              </w:rPr>
            </w:pPr>
            <w:r>
              <w:rPr>
                <w:rFonts w:hint="eastAsia"/>
                <w:kern w:val="0"/>
                <w:sz w:val="22"/>
                <w:szCs w:val="22"/>
                <w:highlight w:val="none"/>
              </w:rPr>
              <w:t>5</w:t>
            </w:r>
          </w:p>
        </w:tc>
        <w:tc>
          <w:tcPr>
            <w:tcW w:w="1134" w:type="dxa"/>
            <w:vAlign w:val="center"/>
          </w:tcPr>
          <w:p w14:paraId="706BF04E">
            <w:pPr>
              <w:spacing w:line="320" w:lineRule="exact"/>
              <w:ind w:firstLine="0" w:firstLineChars="0"/>
              <w:jc w:val="center"/>
              <w:rPr>
                <w:kern w:val="0"/>
                <w:sz w:val="22"/>
                <w:szCs w:val="22"/>
                <w:highlight w:val="none"/>
              </w:rPr>
            </w:pPr>
            <w:r>
              <w:rPr>
                <w:rFonts w:hint="eastAsia"/>
                <w:kern w:val="0"/>
                <w:sz w:val="22"/>
                <w:szCs w:val="22"/>
                <w:highlight w:val="none"/>
              </w:rPr>
              <w:t>≥5</w:t>
            </w:r>
          </w:p>
        </w:tc>
        <w:tc>
          <w:tcPr>
            <w:tcW w:w="930" w:type="dxa"/>
            <w:vAlign w:val="center"/>
          </w:tcPr>
          <w:p w14:paraId="2CDD0ADE">
            <w:pPr>
              <w:spacing w:line="320" w:lineRule="exact"/>
              <w:ind w:firstLine="0" w:firstLineChars="0"/>
              <w:jc w:val="center"/>
              <w:rPr>
                <w:kern w:val="0"/>
                <w:sz w:val="22"/>
                <w:szCs w:val="22"/>
                <w:highlight w:val="none"/>
              </w:rPr>
            </w:pPr>
            <w:r>
              <w:rPr>
                <w:rFonts w:hint="eastAsia"/>
                <w:kern w:val="0"/>
                <w:sz w:val="22"/>
                <w:szCs w:val="22"/>
                <w:highlight w:val="none"/>
              </w:rPr>
              <w:t>约束性</w:t>
            </w:r>
          </w:p>
        </w:tc>
      </w:tr>
      <w:tr w14:paraId="1C595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705" w:type="dxa"/>
            <w:vMerge w:val="continue"/>
            <w:vAlign w:val="center"/>
          </w:tcPr>
          <w:p w14:paraId="10102BC3">
            <w:pPr>
              <w:spacing w:line="320" w:lineRule="exact"/>
              <w:ind w:firstLine="0" w:firstLineChars="0"/>
              <w:jc w:val="center"/>
              <w:rPr>
                <w:kern w:val="0"/>
                <w:sz w:val="22"/>
                <w:szCs w:val="22"/>
                <w:highlight w:val="none"/>
              </w:rPr>
            </w:pPr>
          </w:p>
        </w:tc>
        <w:tc>
          <w:tcPr>
            <w:tcW w:w="850" w:type="dxa"/>
            <w:vMerge w:val="continue"/>
            <w:vAlign w:val="center"/>
          </w:tcPr>
          <w:p w14:paraId="1E82778D">
            <w:pPr>
              <w:spacing w:line="320" w:lineRule="exact"/>
              <w:ind w:firstLine="0" w:firstLineChars="0"/>
              <w:rPr>
                <w:kern w:val="0"/>
                <w:sz w:val="22"/>
                <w:szCs w:val="22"/>
                <w:highlight w:val="none"/>
              </w:rPr>
            </w:pPr>
          </w:p>
        </w:tc>
        <w:tc>
          <w:tcPr>
            <w:tcW w:w="3685" w:type="dxa"/>
            <w:vAlign w:val="center"/>
          </w:tcPr>
          <w:p w14:paraId="4B0EDD14">
            <w:pPr>
              <w:spacing w:line="320" w:lineRule="exact"/>
              <w:ind w:firstLine="0" w:firstLineChars="0"/>
              <w:rPr>
                <w:kern w:val="0"/>
                <w:sz w:val="22"/>
                <w:szCs w:val="22"/>
                <w:highlight w:val="none"/>
              </w:rPr>
            </w:pPr>
            <w:r>
              <w:rPr>
                <w:rFonts w:hint="eastAsia"/>
                <w:kern w:val="0"/>
                <w:sz w:val="22"/>
                <w:szCs w:val="22"/>
                <w:highlight w:val="none"/>
              </w:rPr>
              <w:t>耕地中高标准农田占比（%）</w:t>
            </w:r>
          </w:p>
        </w:tc>
        <w:tc>
          <w:tcPr>
            <w:tcW w:w="992" w:type="dxa"/>
            <w:vAlign w:val="center"/>
          </w:tcPr>
          <w:p w14:paraId="3C70FCEE">
            <w:pPr>
              <w:widowControl/>
              <w:spacing w:line="320" w:lineRule="exact"/>
              <w:ind w:firstLine="0" w:firstLineChars="0"/>
              <w:jc w:val="center"/>
              <w:rPr>
                <w:kern w:val="0"/>
                <w:sz w:val="22"/>
                <w:szCs w:val="22"/>
                <w:highlight w:val="none"/>
              </w:rPr>
            </w:pPr>
            <w:r>
              <w:rPr>
                <w:color w:val="000000"/>
                <w:kern w:val="0"/>
                <w:sz w:val="22"/>
                <w:szCs w:val="22"/>
                <w:highlight w:val="none"/>
              </w:rPr>
              <w:t>68.6</w:t>
            </w:r>
          </w:p>
        </w:tc>
        <w:tc>
          <w:tcPr>
            <w:tcW w:w="1134" w:type="dxa"/>
            <w:vAlign w:val="center"/>
          </w:tcPr>
          <w:p w14:paraId="74E5DDDA">
            <w:pPr>
              <w:widowControl/>
              <w:spacing w:line="320" w:lineRule="exact"/>
              <w:ind w:firstLine="440"/>
              <w:rPr>
                <w:kern w:val="0"/>
                <w:sz w:val="22"/>
                <w:szCs w:val="22"/>
                <w:highlight w:val="none"/>
              </w:rPr>
            </w:pPr>
            <w:r>
              <w:rPr>
                <w:color w:val="000000"/>
                <w:kern w:val="0"/>
                <w:sz w:val="22"/>
                <w:szCs w:val="22"/>
                <w:highlight w:val="none"/>
              </w:rPr>
              <w:t>≥70</w:t>
            </w:r>
          </w:p>
        </w:tc>
        <w:tc>
          <w:tcPr>
            <w:tcW w:w="930" w:type="dxa"/>
            <w:vAlign w:val="center"/>
          </w:tcPr>
          <w:p w14:paraId="1F69CA8D">
            <w:pPr>
              <w:spacing w:line="320" w:lineRule="exact"/>
              <w:ind w:firstLine="0" w:firstLineChars="0"/>
              <w:jc w:val="center"/>
              <w:rPr>
                <w:kern w:val="0"/>
                <w:sz w:val="22"/>
                <w:szCs w:val="22"/>
                <w:highlight w:val="none"/>
              </w:rPr>
            </w:pPr>
            <w:r>
              <w:rPr>
                <w:rFonts w:hint="eastAsia"/>
                <w:kern w:val="0"/>
                <w:sz w:val="22"/>
                <w:szCs w:val="22"/>
                <w:highlight w:val="none"/>
              </w:rPr>
              <w:t>约束性</w:t>
            </w:r>
          </w:p>
        </w:tc>
      </w:tr>
      <w:tr w14:paraId="12F3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jc w:val="center"/>
        </w:trPr>
        <w:tc>
          <w:tcPr>
            <w:tcW w:w="705" w:type="dxa"/>
            <w:vAlign w:val="center"/>
          </w:tcPr>
          <w:p w14:paraId="04ABD18C">
            <w:pPr>
              <w:spacing w:line="320" w:lineRule="exact"/>
              <w:ind w:firstLine="0" w:firstLineChars="0"/>
              <w:jc w:val="center"/>
              <w:rPr>
                <w:kern w:val="0"/>
                <w:sz w:val="22"/>
                <w:szCs w:val="22"/>
                <w:highlight w:val="none"/>
              </w:rPr>
            </w:pPr>
            <w:r>
              <w:rPr>
                <w:kern w:val="0"/>
                <w:sz w:val="22"/>
                <w:szCs w:val="22"/>
                <w:highlight w:val="none"/>
              </w:rPr>
              <w:t>9</w:t>
            </w:r>
          </w:p>
        </w:tc>
        <w:tc>
          <w:tcPr>
            <w:tcW w:w="4535" w:type="dxa"/>
            <w:gridSpan w:val="2"/>
            <w:vAlign w:val="center"/>
          </w:tcPr>
          <w:p w14:paraId="1FE51B74">
            <w:pPr>
              <w:spacing w:line="320" w:lineRule="exact"/>
              <w:ind w:firstLine="0" w:firstLineChars="0"/>
              <w:rPr>
                <w:kern w:val="0"/>
                <w:sz w:val="22"/>
                <w:szCs w:val="22"/>
                <w:highlight w:val="none"/>
              </w:rPr>
            </w:pPr>
            <w:r>
              <w:rPr>
                <w:rFonts w:hint="eastAsia"/>
                <w:kern w:val="0"/>
                <w:sz w:val="22"/>
                <w:szCs w:val="22"/>
                <w:highlight w:val="none"/>
              </w:rPr>
              <w:t>村民小组通硬化路的比例（%）</w:t>
            </w:r>
          </w:p>
        </w:tc>
        <w:tc>
          <w:tcPr>
            <w:tcW w:w="992" w:type="dxa"/>
            <w:vAlign w:val="center"/>
          </w:tcPr>
          <w:p w14:paraId="1458C8CC">
            <w:pPr>
              <w:spacing w:line="320" w:lineRule="exact"/>
              <w:ind w:firstLine="0" w:firstLineChars="0"/>
              <w:jc w:val="center"/>
              <w:rPr>
                <w:kern w:val="0"/>
                <w:sz w:val="22"/>
                <w:szCs w:val="22"/>
                <w:highlight w:val="none"/>
              </w:rPr>
            </w:pPr>
            <w:r>
              <w:rPr>
                <w:rFonts w:hint="eastAsia"/>
                <w:kern w:val="0"/>
                <w:sz w:val="22"/>
                <w:szCs w:val="22"/>
                <w:highlight w:val="none"/>
              </w:rPr>
              <w:t>1</w:t>
            </w:r>
            <w:r>
              <w:rPr>
                <w:kern w:val="0"/>
                <w:sz w:val="22"/>
                <w:szCs w:val="22"/>
                <w:highlight w:val="none"/>
              </w:rPr>
              <w:t>00</w:t>
            </w:r>
          </w:p>
        </w:tc>
        <w:tc>
          <w:tcPr>
            <w:tcW w:w="1134" w:type="dxa"/>
            <w:vAlign w:val="center"/>
          </w:tcPr>
          <w:p w14:paraId="4BF54D7E">
            <w:pPr>
              <w:spacing w:line="320" w:lineRule="exact"/>
              <w:ind w:firstLine="0" w:firstLineChars="0"/>
              <w:jc w:val="center"/>
              <w:rPr>
                <w:kern w:val="0"/>
                <w:sz w:val="22"/>
                <w:szCs w:val="22"/>
                <w:highlight w:val="none"/>
              </w:rPr>
            </w:pPr>
            <w:r>
              <w:rPr>
                <w:rFonts w:hint="eastAsia"/>
                <w:kern w:val="0"/>
                <w:sz w:val="22"/>
                <w:szCs w:val="22"/>
                <w:highlight w:val="none"/>
              </w:rPr>
              <w:t>1</w:t>
            </w:r>
            <w:r>
              <w:rPr>
                <w:kern w:val="0"/>
                <w:sz w:val="22"/>
                <w:szCs w:val="22"/>
                <w:highlight w:val="none"/>
              </w:rPr>
              <w:t>00</w:t>
            </w:r>
          </w:p>
        </w:tc>
        <w:tc>
          <w:tcPr>
            <w:tcW w:w="930" w:type="dxa"/>
            <w:vAlign w:val="center"/>
          </w:tcPr>
          <w:p w14:paraId="42885318">
            <w:pPr>
              <w:spacing w:line="320" w:lineRule="exact"/>
              <w:ind w:firstLine="0" w:firstLineChars="0"/>
              <w:jc w:val="center"/>
              <w:rPr>
                <w:kern w:val="0"/>
                <w:sz w:val="22"/>
                <w:szCs w:val="22"/>
                <w:highlight w:val="none"/>
              </w:rPr>
            </w:pPr>
            <w:r>
              <w:rPr>
                <w:kern w:val="0"/>
                <w:sz w:val="22"/>
                <w:szCs w:val="22"/>
                <w:highlight w:val="none"/>
              </w:rPr>
              <w:t>预期性</w:t>
            </w:r>
          </w:p>
        </w:tc>
      </w:tr>
      <w:tr w14:paraId="11C5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5" w:type="dxa"/>
            <w:vAlign w:val="center"/>
          </w:tcPr>
          <w:p w14:paraId="189EAC37">
            <w:pPr>
              <w:spacing w:line="320" w:lineRule="exact"/>
              <w:ind w:firstLine="0" w:firstLineChars="0"/>
              <w:jc w:val="center"/>
              <w:rPr>
                <w:kern w:val="0"/>
                <w:sz w:val="22"/>
                <w:szCs w:val="22"/>
                <w:highlight w:val="none"/>
              </w:rPr>
            </w:pPr>
            <w:r>
              <w:rPr>
                <w:kern w:val="0"/>
                <w:sz w:val="22"/>
                <w:szCs w:val="22"/>
                <w:highlight w:val="none"/>
              </w:rPr>
              <w:t>10</w:t>
            </w:r>
          </w:p>
        </w:tc>
        <w:tc>
          <w:tcPr>
            <w:tcW w:w="4535" w:type="dxa"/>
            <w:gridSpan w:val="2"/>
            <w:vAlign w:val="center"/>
          </w:tcPr>
          <w:p w14:paraId="0915EDEE">
            <w:pPr>
              <w:spacing w:line="320" w:lineRule="exact"/>
              <w:ind w:firstLine="0" w:firstLineChars="0"/>
              <w:rPr>
                <w:kern w:val="0"/>
                <w:sz w:val="22"/>
                <w:szCs w:val="22"/>
                <w:highlight w:val="none"/>
              </w:rPr>
            </w:pPr>
            <w:r>
              <w:rPr>
                <w:kern w:val="0"/>
                <w:sz w:val="22"/>
                <w:szCs w:val="22"/>
                <w:highlight w:val="none"/>
              </w:rPr>
              <w:t>返贫人口帮扶率（%）</w:t>
            </w:r>
          </w:p>
        </w:tc>
        <w:tc>
          <w:tcPr>
            <w:tcW w:w="992" w:type="dxa"/>
            <w:vAlign w:val="center"/>
          </w:tcPr>
          <w:p w14:paraId="4168A4AF">
            <w:pPr>
              <w:spacing w:line="320" w:lineRule="exact"/>
              <w:ind w:firstLine="0" w:firstLineChars="0"/>
              <w:jc w:val="center"/>
              <w:rPr>
                <w:kern w:val="0"/>
                <w:sz w:val="22"/>
                <w:szCs w:val="22"/>
                <w:highlight w:val="none"/>
              </w:rPr>
            </w:pPr>
            <w:r>
              <w:rPr>
                <w:rFonts w:hint="eastAsia"/>
                <w:kern w:val="0"/>
                <w:sz w:val="22"/>
                <w:szCs w:val="22"/>
                <w:highlight w:val="none"/>
              </w:rPr>
              <w:t>--</w:t>
            </w:r>
          </w:p>
        </w:tc>
        <w:tc>
          <w:tcPr>
            <w:tcW w:w="1134" w:type="dxa"/>
            <w:vAlign w:val="center"/>
          </w:tcPr>
          <w:p w14:paraId="59F4A6F3">
            <w:pPr>
              <w:spacing w:line="320" w:lineRule="exact"/>
              <w:ind w:firstLine="0" w:firstLineChars="0"/>
              <w:jc w:val="center"/>
              <w:rPr>
                <w:kern w:val="0"/>
                <w:sz w:val="22"/>
                <w:szCs w:val="22"/>
                <w:highlight w:val="none"/>
              </w:rPr>
            </w:pPr>
            <w:r>
              <w:rPr>
                <w:rFonts w:hint="eastAsia"/>
                <w:kern w:val="0"/>
                <w:sz w:val="22"/>
                <w:szCs w:val="22"/>
                <w:highlight w:val="none"/>
              </w:rPr>
              <w:t>1</w:t>
            </w:r>
            <w:r>
              <w:rPr>
                <w:kern w:val="0"/>
                <w:sz w:val="22"/>
                <w:szCs w:val="22"/>
                <w:highlight w:val="none"/>
              </w:rPr>
              <w:t>00%</w:t>
            </w:r>
          </w:p>
        </w:tc>
        <w:tc>
          <w:tcPr>
            <w:tcW w:w="930" w:type="dxa"/>
            <w:vAlign w:val="center"/>
          </w:tcPr>
          <w:p w14:paraId="0DA97B11">
            <w:pPr>
              <w:spacing w:line="320" w:lineRule="exact"/>
              <w:ind w:firstLine="0" w:firstLineChars="0"/>
              <w:jc w:val="center"/>
              <w:rPr>
                <w:kern w:val="0"/>
                <w:sz w:val="22"/>
                <w:szCs w:val="22"/>
                <w:highlight w:val="none"/>
              </w:rPr>
            </w:pPr>
            <w:r>
              <w:rPr>
                <w:kern w:val="0"/>
                <w:sz w:val="22"/>
                <w:szCs w:val="22"/>
                <w:highlight w:val="none"/>
              </w:rPr>
              <w:t>约束性</w:t>
            </w:r>
          </w:p>
        </w:tc>
      </w:tr>
    </w:tbl>
    <w:p w14:paraId="4B454936">
      <w:pPr>
        <w:ind w:firstLine="640"/>
        <w:rPr>
          <w:color w:val="000000"/>
          <w:highlight w:val="none"/>
        </w:rPr>
      </w:pPr>
      <w:r>
        <w:rPr>
          <w:rFonts w:hint="eastAsia"/>
          <w:color w:val="000000"/>
          <w:highlight w:val="none"/>
        </w:rPr>
        <w:t>到</w:t>
      </w:r>
      <w:r>
        <w:rPr>
          <w:color w:val="000000"/>
          <w:highlight w:val="none"/>
        </w:rPr>
        <w:t>2035</w:t>
      </w:r>
      <w:r>
        <w:rPr>
          <w:rFonts w:hint="eastAsia"/>
          <w:color w:val="000000"/>
          <w:highlight w:val="none"/>
        </w:rPr>
        <w:t>年，乡村振兴取得决定性进展，农村低收入人口生活水平显著提高，内生发展动力和综合实力显著提升，城乡区域发展差距和居民生活水平差距显著缩小，农民生活质量显著提升，农村基本公共服务实现均等化，高品质宜居乡村基本建成，基本实现乡村治理体系和治理能力现代化。</w:t>
      </w:r>
    </w:p>
    <w:p w14:paraId="3977171F">
      <w:pPr>
        <w:pStyle w:val="2"/>
        <w:spacing w:before="312" w:after="312"/>
        <w:rPr>
          <w:color w:val="000000"/>
          <w:highlight w:val="none"/>
        </w:rPr>
      </w:pPr>
      <w:bookmarkStart w:id="20" w:name="_Toc76313145"/>
      <w:bookmarkStart w:id="21" w:name="_Toc98403155"/>
      <w:r>
        <w:rPr>
          <w:color w:val="000000"/>
          <w:highlight w:val="none"/>
        </w:rPr>
        <w:t>第三章</w:t>
      </w:r>
      <w:r>
        <w:rPr>
          <w:rFonts w:hint="eastAsia"/>
          <w:color w:val="000000"/>
          <w:highlight w:val="none"/>
        </w:rPr>
        <w:t xml:space="preserve"> </w:t>
      </w:r>
      <w:r>
        <w:rPr>
          <w:color w:val="000000"/>
          <w:highlight w:val="none"/>
        </w:rPr>
        <w:t xml:space="preserve"> </w:t>
      </w:r>
      <w:r>
        <w:rPr>
          <w:rFonts w:hint="eastAsia"/>
          <w:color w:val="000000"/>
          <w:highlight w:val="none"/>
        </w:rPr>
        <w:t>保持主要帮扶政策总体稳定</w:t>
      </w:r>
      <w:bookmarkEnd w:id="20"/>
      <w:bookmarkEnd w:id="21"/>
    </w:p>
    <w:p w14:paraId="527DF798">
      <w:pPr>
        <w:ind w:firstLine="640"/>
        <w:rPr>
          <w:color w:val="000000"/>
          <w:highlight w:val="none"/>
        </w:rPr>
      </w:pPr>
      <w:r>
        <w:rPr>
          <w:rFonts w:hint="eastAsia"/>
          <w:color w:val="000000"/>
          <w:highlight w:val="none"/>
        </w:rPr>
        <w:t>脱贫攻坚目标任务完成后，严格落实“四个不摘”要求，扎实做好重点衔接工作，狠抓责任和工作落实，确保脱贫攻坚体系全面平稳转向乡村振兴。</w:t>
      </w:r>
    </w:p>
    <w:p w14:paraId="0969A266">
      <w:pPr>
        <w:pStyle w:val="3"/>
        <w:spacing w:before="156" w:after="156"/>
        <w:rPr>
          <w:highlight w:val="none"/>
        </w:rPr>
      </w:pPr>
      <w:bookmarkStart w:id="22" w:name="_Toc98403156"/>
      <w:r>
        <w:rPr>
          <w:rFonts w:hint="eastAsia"/>
          <w:highlight w:val="none"/>
        </w:rPr>
        <w:t xml:space="preserve">第一节 </w:t>
      </w:r>
      <w:r>
        <w:rPr>
          <w:highlight w:val="none"/>
        </w:rPr>
        <w:t xml:space="preserve"> </w:t>
      </w:r>
      <w:r>
        <w:rPr>
          <w:rFonts w:hint="eastAsia"/>
          <w:highlight w:val="none"/>
        </w:rPr>
        <w:t>严格落实“四个不摘”要求</w:t>
      </w:r>
      <w:bookmarkEnd w:id="22"/>
    </w:p>
    <w:p w14:paraId="08F32F32">
      <w:pPr>
        <w:ind w:firstLine="640"/>
        <w:rPr>
          <w:color w:val="000000"/>
          <w:highlight w:val="none"/>
        </w:rPr>
      </w:pPr>
      <w:r>
        <w:rPr>
          <w:rFonts w:hint="eastAsia"/>
          <w:color w:val="000000"/>
          <w:highlight w:val="none"/>
        </w:rPr>
        <w:t>摘帽不摘责任，防止松劲懈怠，持续做到“五级书记一起抓”，完善区、镇、村三级协同巩固拓展脱贫攻坚成果机制。摘帽不摘政策，防止急刹车，持续做到现有帮扶政策该延续的延续、该优化的优化、该调整的调整。摘帽不摘帮扶，防止一撤了之，以乡村振兴重点帮扶乡镇、脱贫村、乡村振兴示范村、乡村振兴重点帮扶村、党组织软弱涣散村等为重点，持续分类做好驻镇驻村第一书记和工作队员轮换选派工作，完善选派制度、确保选优派强、健全常态化驻村工作机制。摘帽不摘监管，防止贫困反弹，开展脱贫攻坚对象和成果“回头看”，完善巩固拓展脱贫攻坚成果同乡村振兴有效衔接考核机制。</w:t>
      </w:r>
    </w:p>
    <w:tbl>
      <w:tblPr>
        <w:tblStyle w:val="2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03FBF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vAlign w:val="top"/>
          </w:tcPr>
          <w:p w14:paraId="1DA17012">
            <w:pPr>
              <w:spacing w:line="440" w:lineRule="exact"/>
              <w:ind w:firstLine="0" w:firstLineChars="0"/>
              <w:jc w:val="center"/>
              <w:rPr>
                <w:color w:val="000000"/>
                <w:kern w:val="0"/>
                <w:sz w:val="28"/>
                <w:szCs w:val="28"/>
                <w:highlight w:val="none"/>
              </w:rPr>
            </w:pPr>
            <w:r>
              <w:rPr>
                <w:rFonts w:hint="eastAsia"/>
                <w:color w:val="000000"/>
                <w:kern w:val="0"/>
                <w:sz w:val="28"/>
                <w:szCs w:val="28"/>
                <w:highlight w:val="none"/>
              </w:rPr>
              <w:t>专栏1</w:t>
            </w:r>
            <w:r>
              <w:rPr>
                <w:color w:val="000000"/>
                <w:kern w:val="0"/>
                <w:sz w:val="28"/>
                <w:szCs w:val="28"/>
                <w:highlight w:val="none"/>
              </w:rPr>
              <w:t xml:space="preserve">  </w:t>
            </w:r>
            <w:r>
              <w:rPr>
                <w:rFonts w:hint="eastAsia"/>
                <w:color w:val="000000"/>
                <w:kern w:val="0"/>
                <w:sz w:val="28"/>
                <w:szCs w:val="28"/>
                <w:highlight w:val="none"/>
              </w:rPr>
              <w:t>分类实施驻村行动重点镇村</w:t>
            </w:r>
          </w:p>
        </w:tc>
      </w:tr>
      <w:tr w14:paraId="2A88F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vAlign w:val="top"/>
          </w:tcPr>
          <w:p w14:paraId="2640CFC8">
            <w:pPr>
              <w:spacing w:line="440" w:lineRule="exact"/>
              <w:ind w:firstLine="562"/>
              <w:rPr>
                <w:color w:val="000000"/>
                <w:kern w:val="0"/>
                <w:sz w:val="28"/>
                <w:szCs w:val="28"/>
                <w:highlight w:val="none"/>
              </w:rPr>
            </w:pPr>
            <w:r>
              <w:rPr>
                <w:rFonts w:hint="eastAsia"/>
                <w:b/>
                <w:bCs w:val="0"/>
                <w:color w:val="000000"/>
                <w:kern w:val="0"/>
                <w:sz w:val="28"/>
                <w:szCs w:val="28"/>
                <w:highlight w:val="none"/>
              </w:rPr>
              <w:t>乡村振兴重点帮扶镇：</w:t>
            </w:r>
            <w:r>
              <w:rPr>
                <w:rFonts w:hint="eastAsia"/>
                <w:color w:val="000000"/>
                <w:kern w:val="0"/>
                <w:sz w:val="28"/>
                <w:szCs w:val="28"/>
                <w:highlight w:val="none"/>
              </w:rPr>
              <w:t>青年镇、丛林镇、黑山镇。</w:t>
            </w:r>
          </w:p>
          <w:p w14:paraId="56E36B35">
            <w:pPr>
              <w:spacing w:line="440" w:lineRule="exact"/>
              <w:ind w:firstLine="562"/>
              <w:rPr>
                <w:color w:val="000000"/>
                <w:kern w:val="0"/>
                <w:sz w:val="28"/>
                <w:szCs w:val="28"/>
                <w:highlight w:val="none"/>
              </w:rPr>
            </w:pPr>
            <w:r>
              <w:rPr>
                <w:rFonts w:hint="eastAsia"/>
                <w:b/>
                <w:bCs w:val="0"/>
                <w:color w:val="000000"/>
                <w:kern w:val="0"/>
                <w:sz w:val="28"/>
                <w:szCs w:val="28"/>
                <w:highlight w:val="none"/>
              </w:rPr>
              <w:t>乡村振兴示范村</w:t>
            </w:r>
            <w:r>
              <w:rPr>
                <w:rFonts w:hint="eastAsia"/>
                <w:color w:val="000000"/>
                <w:kern w:val="0"/>
                <w:sz w:val="28"/>
                <w:szCs w:val="28"/>
                <w:highlight w:val="none"/>
              </w:rPr>
              <w:t>：丛林镇绿水村。</w:t>
            </w:r>
          </w:p>
          <w:p w14:paraId="772A28F6">
            <w:pPr>
              <w:spacing w:line="440" w:lineRule="exact"/>
              <w:ind w:firstLine="562"/>
              <w:rPr>
                <w:color w:val="000000"/>
                <w:kern w:val="0"/>
                <w:sz w:val="28"/>
                <w:szCs w:val="28"/>
                <w:highlight w:val="none"/>
              </w:rPr>
            </w:pPr>
            <w:bookmarkStart w:id="23" w:name="_Hlk85718394"/>
            <w:r>
              <w:rPr>
                <w:rFonts w:hint="eastAsia"/>
                <w:b/>
                <w:bCs w:val="0"/>
                <w:color w:val="000000"/>
                <w:kern w:val="0"/>
                <w:sz w:val="28"/>
                <w:szCs w:val="28"/>
                <w:highlight w:val="none"/>
              </w:rPr>
              <w:t>乡村振兴重点帮扶村</w:t>
            </w:r>
            <w:bookmarkEnd w:id="23"/>
            <w:r>
              <w:rPr>
                <w:rFonts w:hint="eastAsia"/>
                <w:color w:val="000000"/>
                <w:kern w:val="0"/>
                <w:sz w:val="28"/>
                <w:szCs w:val="28"/>
                <w:highlight w:val="none"/>
              </w:rPr>
              <w:t>：万东镇五和村、青年镇板辽村、石林镇星台村、金桥镇青山村、南桐镇王家坝村、关坝镇凉风村、黑山镇鱼子村。</w:t>
            </w:r>
          </w:p>
          <w:p w14:paraId="25F3E621">
            <w:pPr>
              <w:spacing w:line="440" w:lineRule="exact"/>
              <w:ind w:firstLine="562"/>
              <w:rPr>
                <w:color w:val="000000"/>
                <w:kern w:val="0"/>
                <w:sz w:val="28"/>
                <w:szCs w:val="28"/>
                <w:highlight w:val="none"/>
              </w:rPr>
            </w:pPr>
            <w:r>
              <w:rPr>
                <w:rFonts w:hint="eastAsia"/>
                <w:b/>
                <w:bCs w:val="0"/>
                <w:color w:val="000000"/>
                <w:kern w:val="0"/>
                <w:sz w:val="28"/>
                <w:szCs w:val="28"/>
                <w:highlight w:val="none"/>
              </w:rPr>
              <w:t>脱贫村</w:t>
            </w:r>
            <w:r>
              <w:rPr>
                <w:rFonts w:hint="eastAsia"/>
                <w:color w:val="000000"/>
                <w:kern w:val="0"/>
                <w:sz w:val="28"/>
                <w:szCs w:val="28"/>
                <w:highlight w:val="none"/>
              </w:rPr>
              <w:t>：万东镇五和村、南桐镇岩门村、青年镇板辽村、关坝镇凉风村、石林镇庙坝村、丛林镇海孔村、金桥镇三台村。</w:t>
            </w:r>
          </w:p>
        </w:tc>
      </w:tr>
    </w:tbl>
    <w:p w14:paraId="3B5E6D1A">
      <w:pPr>
        <w:pStyle w:val="3"/>
        <w:spacing w:before="156" w:after="156"/>
        <w:rPr>
          <w:highlight w:val="none"/>
        </w:rPr>
      </w:pPr>
      <w:bookmarkStart w:id="24" w:name="_Toc98403157"/>
      <w:r>
        <w:rPr>
          <w:rFonts w:hint="eastAsia"/>
          <w:highlight w:val="none"/>
        </w:rPr>
        <w:t>第二节  扎实做好体制机制衔接</w:t>
      </w:r>
      <w:bookmarkEnd w:id="24"/>
    </w:p>
    <w:p w14:paraId="47D36D02">
      <w:pPr>
        <w:ind w:firstLine="640"/>
        <w:rPr>
          <w:color w:val="000000"/>
          <w:highlight w:val="none"/>
        </w:rPr>
      </w:pPr>
      <w:r>
        <w:rPr>
          <w:rFonts w:hint="eastAsia"/>
          <w:color w:val="000000"/>
          <w:highlight w:val="none"/>
        </w:rPr>
        <w:t>加强党对巩固拓展脱贫攻坚成果同乡村振兴有效衔接工作的统一领导，统筹推进两者在领导机构、工作班子、人员队伍等方面的有效衔接，清单化明确衔接工作任务和目标，确保脱贫攻坚工作向乡村振兴全面平稳过渡。按照“区负总责、部门主管、镇村抓落实”的工作体制，建立完善责任清晰、</w:t>
      </w:r>
      <w:r>
        <w:rPr>
          <w:rFonts w:hint="eastAsia"/>
          <w:color w:val="000000"/>
          <w:highlight w:val="none"/>
          <w:lang w:eastAsia="zh-CN"/>
        </w:rPr>
        <w:t>各负其责</w:t>
      </w:r>
      <w:r>
        <w:rPr>
          <w:rFonts w:hint="eastAsia"/>
          <w:color w:val="000000"/>
          <w:highlight w:val="none"/>
        </w:rPr>
        <w:t>、执行有力的领导体制。着力完善党工委农村工作暨实施乡村振兴战略工作领导小组对各部门、各领域涉农工作的统筹协调职能，切实加强各行业部门对各自领域衔接工作的调研指导，持续增强脱贫村党组织的带头引领和传帮带作用。建立健全党政领导班子和领导干部推进乡村振兴战略实绩考核办法，把巩固拓展脱贫攻坚成果作为乡村振兴</w:t>
      </w:r>
      <w:bookmarkStart w:id="127" w:name="_GoBack"/>
      <w:bookmarkEnd w:id="127"/>
      <w:r>
        <w:rPr>
          <w:rFonts w:hint="eastAsia"/>
          <w:color w:val="000000"/>
          <w:highlight w:val="none"/>
        </w:rPr>
        <w:t>考核的重点。</w:t>
      </w:r>
    </w:p>
    <w:p w14:paraId="04308F0E">
      <w:pPr>
        <w:pStyle w:val="3"/>
        <w:spacing w:before="156" w:after="156"/>
        <w:rPr>
          <w:highlight w:val="none"/>
        </w:rPr>
      </w:pPr>
      <w:bookmarkStart w:id="25" w:name="_Toc98403158"/>
      <w:r>
        <w:rPr>
          <w:rFonts w:hint="eastAsia"/>
          <w:highlight w:val="none"/>
        </w:rPr>
        <w:t xml:space="preserve">第三节 </w:t>
      </w:r>
      <w:r>
        <w:rPr>
          <w:highlight w:val="none"/>
        </w:rPr>
        <w:t xml:space="preserve"> </w:t>
      </w:r>
      <w:r>
        <w:rPr>
          <w:rFonts w:hint="eastAsia"/>
          <w:highlight w:val="none"/>
        </w:rPr>
        <w:t>扎实做好政策衔接</w:t>
      </w:r>
      <w:bookmarkEnd w:id="25"/>
    </w:p>
    <w:p w14:paraId="2328BA60">
      <w:pPr>
        <w:ind w:firstLine="640"/>
        <w:rPr>
          <w:color w:val="000000"/>
          <w:highlight w:val="none"/>
        </w:rPr>
      </w:pPr>
      <w:r>
        <w:rPr>
          <w:rFonts w:hint="eastAsia"/>
          <w:color w:val="000000"/>
          <w:highlight w:val="none"/>
        </w:rPr>
        <w:t>继续把脱贫村</w:t>
      </w:r>
      <w:bookmarkStart w:id="26" w:name="_Hlk86135277"/>
      <w:r>
        <w:rPr>
          <w:rFonts w:hint="eastAsia"/>
          <w:color w:val="000000"/>
          <w:highlight w:val="none"/>
        </w:rPr>
        <w:t>、乡村振兴示范村和乡村振兴重点帮扶村</w:t>
      </w:r>
      <w:bookmarkEnd w:id="26"/>
      <w:r>
        <w:rPr>
          <w:rFonts w:hint="eastAsia"/>
          <w:color w:val="000000"/>
          <w:highlight w:val="none"/>
        </w:rPr>
        <w:t>作为全面推进乡村振兴的支持重点，将脱贫攻坚期内给予贫困村强化财政保障能力的政策维持一段时间，并与全面推进乡村振兴加强衔接。巩固期内，保持主要金融帮扶政策总体稳定，加大对易返贫致贫户</w:t>
      </w:r>
      <w:r>
        <w:rPr>
          <w:rStyle w:val="26"/>
          <w:color w:val="000000"/>
          <w:highlight w:val="none"/>
        </w:rPr>
        <w:footnoteReference w:id="0"/>
      </w:r>
      <w:r>
        <w:rPr>
          <w:rFonts w:hint="eastAsia"/>
          <w:color w:val="000000"/>
          <w:highlight w:val="none"/>
        </w:rPr>
        <w:t>和有劳动能力的低收入人口的信贷投放，支持脱贫人口就业创业。继续稳定兜底救助类政策，落实好民生保障普惠性政策，优化产业就业等发展类政策。</w:t>
      </w:r>
    </w:p>
    <w:p w14:paraId="47CCC2B7">
      <w:pPr>
        <w:pStyle w:val="3"/>
        <w:spacing w:before="156" w:after="156"/>
        <w:rPr>
          <w:highlight w:val="none"/>
        </w:rPr>
      </w:pPr>
      <w:bookmarkStart w:id="27" w:name="_Toc98403159"/>
      <w:r>
        <w:rPr>
          <w:rFonts w:hint="eastAsia"/>
          <w:highlight w:val="none"/>
        </w:rPr>
        <w:t>第四节  扎实做好工作衔接</w:t>
      </w:r>
      <w:bookmarkEnd w:id="27"/>
    </w:p>
    <w:p w14:paraId="1A0659E0">
      <w:pPr>
        <w:ind w:firstLine="640"/>
        <w:rPr>
          <w:color w:val="000000"/>
          <w:highlight w:val="none"/>
        </w:rPr>
      </w:pPr>
      <w:r>
        <w:rPr>
          <w:rFonts w:hint="eastAsia"/>
          <w:color w:val="000000"/>
          <w:highlight w:val="none"/>
        </w:rPr>
        <w:t>把脱贫攻坚具体工作举措全面衔接到乡村振兴，积极开展关坝镇凉风村脱贫攻坚与乡村振兴衔接试点工作。在产业发展方面，由重点解决一家一户的脱贫问题向规模化经营、标准化生产、品牌化建设等与农业现代化发展相融合转变。在促进就业方面，由重点解决脱贫户就业难、生存难向就业稳定、多样转变。在基础设施建设方面，由重点解决脱贫人口出行难、饮水难、用电难等向更加通畅、更加优质、更加宜居转变。在公共服务发展方面，由主要实现义务教育、基本医疗有保障等向推进公共服务一体化、均等化发展转变。</w:t>
      </w:r>
    </w:p>
    <w:p w14:paraId="32F91BD3">
      <w:pPr>
        <w:pStyle w:val="2"/>
        <w:spacing w:before="312" w:after="312"/>
        <w:rPr>
          <w:color w:val="000000"/>
          <w:highlight w:val="none"/>
        </w:rPr>
      </w:pPr>
      <w:bookmarkStart w:id="28" w:name="_Toc76313148"/>
      <w:bookmarkStart w:id="29" w:name="_Toc98403160"/>
      <w:r>
        <w:rPr>
          <w:color w:val="000000"/>
          <w:highlight w:val="none"/>
        </w:rPr>
        <w:t>第</w:t>
      </w:r>
      <w:r>
        <w:rPr>
          <w:rFonts w:hint="eastAsia"/>
          <w:color w:val="000000"/>
          <w:highlight w:val="none"/>
        </w:rPr>
        <w:t>四</w:t>
      </w:r>
      <w:r>
        <w:rPr>
          <w:color w:val="000000"/>
          <w:highlight w:val="none"/>
        </w:rPr>
        <w:t>章</w:t>
      </w:r>
      <w:r>
        <w:rPr>
          <w:rFonts w:hint="eastAsia"/>
          <w:color w:val="000000"/>
          <w:highlight w:val="none"/>
        </w:rPr>
        <w:t xml:space="preserve"> </w:t>
      </w:r>
      <w:r>
        <w:rPr>
          <w:color w:val="000000"/>
          <w:highlight w:val="none"/>
        </w:rPr>
        <w:t xml:space="preserve"> 巩固</w:t>
      </w:r>
      <w:r>
        <w:rPr>
          <w:rFonts w:hint="eastAsia"/>
          <w:color w:val="000000"/>
          <w:highlight w:val="none"/>
        </w:rPr>
        <w:t>拓展</w:t>
      </w:r>
      <w:r>
        <w:rPr>
          <w:color w:val="000000"/>
          <w:highlight w:val="none"/>
        </w:rPr>
        <w:t>“两不愁三保障”</w:t>
      </w:r>
      <w:r>
        <w:rPr>
          <w:rFonts w:hint="eastAsia"/>
          <w:color w:val="000000"/>
          <w:highlight w:val="none"/>
        </w:rPr>
        <w:t>及饮水安全</w:t>
      </w:r>
      <w:r>
        <w:rPr>
          <w:color w:val="000000"/>
          <w:highlight w:val="none"/>
        </w:rPr>
        <w:t>成果</w:t>
      </w:r>
      <w:bookmarkEnd w:id="28"/>
      <w:bookmarkEnd w:id="29"/>
    </w:p>
    <w:p w14:paraId="3E8931E3">
      <w:pPr>
        <w:ind w:firstLine="640"/>
        <w:rPr>
          <w:color w:val="000000"/>
          <w:highlight w:val="none"/>
        </w:rPr>
      </w:pPr>
      <w:r>
        <w:rPr>
          <w:rFonts w:hint="eastAsia"/>
          <w:color w:val="000000"/>
          <w:highlight w:val="none"/>
        </w:rPr>
        <w:t>持续优化政策举措、强化常态保障，以义务教育、基本医疗、住房安全、饮水安全等为重点，做到保底线、保基本、保民生，全面巩固拓展“两不愁三保障”及饮水安全成果。</w:t>
      </w:r>
    </w:p>
    <w:p w14:paraId="2459A26A">
      <w:pPr>
        <w:pStyle w:val="3"/>
        <w:spacing w:before="156" w:after="156"/>
        <w:rPr>
          <w:rFonts w:eastAsia="方正黑体_GBK"/>
          <w:color w:val="000000"/>
          <w:highlight w:val="none"/>
        </w:rPr>
      </w:pPr>
      <w:bookmarkStart w:id="30" w:name="_Toc76313149"/>
      <w:bookmarkStart w:id="31" w:name="_Toc98403161"/>
      <w:r>
        <w:rPr>
          <w:color w:val="000000"/>
          <w:highlight w:val="none"/>
        </w:rPr>
        <w:t>第一节  巩固</w:t>
      </w:r>
      <w:r>
        <w:rPr>
          <w:rFonts w:hint="eastAsia"/>
          <w:color w:val="000000"/>
          <w:highlight w:val="none"/>
        </w:rPr>
        <w:t>拓展“</w:t>
      </w:r>
      <w:r>
        <w:rPr>
          <w:color w:val="000000"/>
          <w:highlight w:val="none"/>
        </w:rPr>
        <w:t>两不愁</w:t>
      </w:r>
      <w:r>
        <w:rPr>
          <w:rFonts w:hint="eastAsia"/>
          <w:color w:val="000000"/>
          <w:highlight w:val="none"/>
        </w:rPr>
        <w:t>”</w:t>
      </w:r>
      <w:r>
        <w:rPr>
          <w:color w:val="000000"/>
          <w:highlight w:val="none"/>
        </w:rPr>
        <w:t>成果</w:t>
      </w:r>
      <w:bookmarkEnd w:id="30"/>
      <w:bookmarkEnd w:id="31"/>
    </w:p>
    <w:p w14:paraId="0DFE4D83">
      <w:pPr>
        <w:ind w:firstLine="643"/>
        <w:rPr>
          <w:bCs w:val="0"/>
          <w:color w:val="000000"/>
          <w:highlight w:val="none"/>
        </w:rPr>
      </w:pPr>
      <w:r>
        <w:rPr>
          <w:rFonts w:hint="eastAsia"/>
          <w:b/>
          <w:color w:val="000000"/>
          <w:highlight w:val="none"/>
        </w:rPr>
        <w:t>兜住兜牢基本生活底线</w:t>
      </w:r>
      <w:r>
        <w:rPr>
          <w:rFonts w:hint="eastAsia"/>
          <w:bCs w:val="0"/>
          <w:color w:val="000000"/>
          <w:highlight w:val="none"/>
        </w:rPr>
        <w:t>。持续健全社会救助兜底保障体系，对符合条件的依规纳入农村低保、特困人员救助供养范围或及时给予临时救助，做到应保尽保、应救尽救，联合推进医疗、教育、住房、就业等专项救助。持续健全农村低保动态调整机制，贯彻落实农村低保“单人户”政策。扎实做好农村“三留守”人员关爱服务工作，开展以空巢、留守、散居特困等特殊困难老年人和留守儿童为重点的“三留守”人员定期探访，加强困境儿童保护、留守妇女关爱。扎实做好残疾人、精神障碍患者福利保障工作，完善残疾儿童康复救助制度，提升残疾康复服务质量。</w:t>
      </w:r>
    </w:p>
    <w:p w14:paraId="0DE56885">
      <w:pPr>
        <w:ind w:firstLine="643"/>
        <w:rPr>
          <w:bCs w:val="0"/>
          <w:color w:val="000000"/>
          <w:highlight w:val="none"/>
        </w:rPr>
      </w:pPr>
      <w:r>
        <w:rPr>
          <w:rFonts w:hint="eastAsia"/>
          <w:b/>
          <w:color w:val="000000"/>
          <w:highlight w:val="none"/>
        </w:rPr>
        <w:t>保住保牢基本收入底线</w:t>
      </w:r>
      <w:r>
        <w:rPr>
          <w:rFonts w:hint="eastAsia"/>
          <w:bCs w:val="0"/>
          <w:color w:val="000000"/>
          <w:highlight w:val="none"/>
        </w:rPr>
        <w:t>。开展农村低收入人口动态监测，完善定期核查和动态调整机制，做到早发现、早研判、早预警、早帮扶。分层分类实施帮扶，对有劳动能力人群坚持开发式帮扶，对丧失劳动能力人群强化保障性兜底帮扶。及时足额向参与以工代赈务工的劳动力发放劳务报酬，根据当地实际情况在依法合规的前提下，尽量提高项目资金中劳务报酬发放比例。加大公益性岗位开发力度，强化就业帮扶车间、乡村振兴车间等联农带农能力，重点吸纳易返贫致贫户等务工，保障长期稳定收入。创新“防贫保”模式和渠道，推进农业保险与信贷、担保、期货（权）等金融工具联动。</w:t>
      </w:r>
    </w:p>
    <w:p w14:paraId="6755F475">
      <w:pPr>
        <w:pStyle w:val="3"/>
        <w:spacing w:before="156" w:after="156"/>
        <w:rPr>
          <w:color w:val="000000"/>
          <w:highlight w:val="none"/>
        </w:rPr>
      </w:pPr>
      <w:bookmarkStart w:id="32" w:name="_Toc76313150"/>
      <w:bookmarkStart w:id="33" w:name="_Toc98403162"/>
      <w:r>
        <w:rPr>
          <w:color w:val="000000"/>
          <w:highlight w:val="none"/>
        </w:rPr>
        <w:t>第二节</w:t>
      </w:r>
      <w:r>
        <w:rPr>
          <w:rFonts w:hint="eastAsia"/>
          <w:color w:val="000000"/>
          <w:highlight w:val="none"/>
        </w:rPr>
        <w:t xml:space="preserve"> </w:t>
      </w:r>
      <w:r>
        <w:rPr>
          <w:color w:val="000000"/>
          <w:highlight w:val="none"/>
        </w:rPr>
        <w:t xml:space="preserve"> 巩固</w:t>
      </w:r>
      <w:r>
        <w:rPr>
          <w:rFonts w:hint="eastAsia"/>
          <w:color w:val="000000"/>
          <w:highlight w:val="none"/>
        </w:rPr>
        <w:t>拓展</w:t>
      </w:r>
      <w:r>
        <w:rPr>
          <w:color w:val="000000"/>
          <w:highlight w:val="none"/>
        </w:rPr>
        <w:t>义务教育保障成果</w:t>
      </w:r>
      <w:bookmarkEnd w:id="32"/>
      <w:bookmarkEnd w:id="33"/>
    </w:p>
    <w:p w14:paraId="47EE1106">
      <w:pPr>
        <w:ind w:firstLine="643"/>
        <w:rPr>
          <w:bCs w:val="0"/>
          <w:color w:val="000000"/>
          <w:highlight w:val="none"/>
        </w:rPr>
      </w:pPr>
      <w:r>
        <w:rPr>
          <w:rFonts w:hint="eastAsia"/>
          <w:b/>
          <w:color w:val="000000"/>
          <w:highlight w:val="none"/>
        </w:rPr>
        <w:t>持续做好义务教育控辍保学工作</w:t>
      </w:r>
      <w:r>
        <w:rPr>
          <w:rFonts w:hint="eastAsia"/>
          <w:bCs w:val="0"/>
          <w:color w:val="000000"/>
          <w:highlight w:val="none"/>
        </w:rPr>
        <w:t>。持续加强相关职能部门及学校共同参与的联控联保责任体系建设，重点排查辖区内建档立卡家庭，特别是易返贫致贫户义务教育阶段适龄儿童少年县域内外就学情况。持续做好贫困学生帮扶工作。全面摸排适龄儿童就读情况，建立适龄儿童少年就读、辍学台账，同时进一步做好残疾学生、厌学学生、特殊家庭学生等异动学生动态监控，完善延缓入学、休学或请假手续。确保脱贫家庭义务教育阶段适龄儿童少年除身体原因不具备学习条件外不失学辍学。定期组织专项行动，强化依法控辍，完善运用法律手段做好劝返复学工作。农村义务教育巩固率稳定在</w:t>
      </w:r>
      <w:r>
        <w:rPr>
          <w:bCs w:val="0"/>
          <w:color w:val="000000"/>
          <w:highlight w:val="none"/>
        </w:rPr>
        <w:t>100</w:t>
      </w:r>
      <w:r>
        <w:rPr>
          <w:rFonts w:hint="eastAsia"/>
          <w:bCs w:val="0"/>
          <w:color w:val="000000"/>
          <w:highlight w:val="none"/>
        </w:rPr>
        <w:t>%。</w:t>
      </w:r>
    </w:p>
    <w:p w14:paraId="7FC0E166">
      <w:pPr>
        <w:ind w:firstLine="643"/>
        <w:rPr>
          <w:bCs w:val="0"/>
          <w:color w:val="000000"/>
          <w:highlight w:val="none"/>
        </w:rPr>
      </w:pPr>
      <w:r>
        <w:rPr>
          <w:rFonts w:hint="eastAsia"/>
          <w:b/>
          <w:color w:val="000000"/>
          <w:highlight w:val="none"/>
        </w:rPr>
        <w:t>健全农村家庭经济困难学生教育帮扶机制</w:t>
      </w:r>
      <w:r>
        <w:rPr>
          <w:rFonts w:hint="eastAsia"/>
          <w:bCs w:val="0"/>
          <w:color w:val="000000"/>
          <w:highlight w:val="none"/>
        </w:rPr>
        <w:t>。精准资助农村家庭经济困难学生，完善农村儿童教育关爱工作，加强农村家庭经济困难毕业生就业帮扶工作。强化教育资助、送教上门等帮扶措施。支持设置乡镇寄宿制学校，对有特殊困难的儿童优先安排在校住宿。继续实施农村义务教育薄弱环节改善与能力提升工作，实施农村小学全科教师定向培养计划，有序推进义务教育阶段教师“区管校聘”管理改革，深化教育教学改革，不断提高农村教育教学质量。</w:t>
      </w:r>
    </w:p>
    <w:p w14:paraId="07E3FE8C">
      <w:pPr>
        <w:pStyle w:val="3"/>
        <w:spacing w:before="156" w:after="156"/>
        <w:rPr>
          <w:color w:val="000000"/>
          <w:highlight w:val="none"/>
        </w:rPr>
      </w:pPr>
      <w:bookmarkStart w:id="34" w:name="_Toc76313151"/>
      <w:bookmarkStart w:id="35" w:name="_Toc98403163"/>
      <w:r>
        <w:rPr>
          <w:color w:val="000000"/>
          <w:highlight w:val="none"/>
        </w:rPr>
        <w:t>第三节  巩固</w:t>
      </w:r>
      <w:r>
        <w:rPr>
          <w:rFonts w:hint="eastAsia"/>
          <w:color w:val="000000"/>
          <w:highlight w:val="none"/>
        </w:rPr>
        <w:t>拓展</w:t>
      </w:r>
      <w:r>
        <w:rPr>
          <w:color w:val="000000"/>
          <w:highlight w:val="none"/>
        </w:rPr>
        <w:t>基本医疗保障成果</w:t>
      </w:r>
      <w:bookmarkEnd w:id="34"/>
      <w:bookmarkEnd w:id="35"/>
    </w:p>
    <w:p w14:paraId="3E34D64B">
      <w:pPr>
        <w:ind w:firstLine="643"/>
        <w:rPr>
          <w:bCs w:val="0"/>
          <w:color w:val="000000"/>
          <w:highlight w:val="none"/>
        </w:rPr>
      </w:pPr>
      <w:r>
        <w:rPr>
          <w:rFonts w:hint="eastAsia"/>
          <w:b/>
          <w:color w:val="000000"/>
          <w:highlight w:val="none"/>
        </w:rPr>
        <w:t>持续完善脱贫人口待遇保障政策</w:t>
      </w:r>
      <w:r>
        <w:rPr>
          <w:rFonts w:hint="eastAsia"/>
          <w:bCs w:val="0"/>
          <w:color w:val="000000"/>
          <w:highlight w:val="none"/>
        </w:rPr>
        <w:t>。优化调整脱贫人口医疗救助资助参保政策，增强基本医疗保险保障功能，提高大病保险保障能力，夯实医疗救助托底保障，合理确定农村居民医疗保障待遇水平，逐步实现由集中资源支持脱贫攻坚向统筹基本医保、大病保险、医疗救助三重制度常态化保障平稳过渡。</w:t>
      </w:r>
    </w:p>
    <w:p w14:paraId="5E0133B1">
      <w:pPr>
        <w:ind w:firstLine="643"/>
        <w:rPr>
          <w:bCs w:val="0"/>
          <w:color w:val="000000"/>
          <w:highlight w:val="none"/>
        </w:rPr>
      </w:pPr>
      <w:r>
        <w:rPr>
          <w:rFonts w:hint="eastAsia"/>
          <w:b/>
          <w:color w:val="000000"/>
          <w:highlight w:val="none"/>
        </w:rPr>
        <w:t>整体提升农村医疗保障和健康管理水平</w:t>
      </w:r>
      <w:r>
        <w:rPr>
          <w:rFonts w:hint="eastAsia"/>
          <w:bCs w:val="0"/>
          <w:color w:val="000000"/>
          <w:highlight w:val="none"/>
        </w:rPr>
        <w:t>。建立健全防范化解因病返贫致贫长效机制，持续加强乡镇卫生院标准化建设，确保村卫生室达标规范。提升农村地区医疗服务保障水平，全面实现参保人员统筹区内基本医疗保险、大病保险、医疗救助“一站式”服务，降低看病就医成本。全面落实脱贫人口参加城乡居民基本医疗保险个人缴费补助政策，做好全额资助农村特困人员、定额资助低保对象工作。大病保险继续对低保对象、特困人口和返贫致贫人口进行倾斜支付。积极争取分阶段、分对象、分类别调整脱贫攻坚期超常规保障措施。落实医疗救助政策和家庭医生签约服务，定期推动家庭医生开展医疗服务，坚决防止因病致贫返贫。</w:t>
      </w:r>
    </w:p>
    <w:p w14:paraId="72014B77">
      <w:pPr>
        <w:pStyle w:val="3"/>
        <w:spacing w:before="156" w:after="156"/>
        <w:rPr>
          <w:color w:val="000000"/>
          <w:highlight w:val="none"/>
        </w:rPr>
      </w:pPr>
      <w:bookmarkStart w:id="36" w:name="_Toc76313152"/>
      <w:bookmarkStart w:id="37" w:name="_Toc98403164"/>
      <w:r>
        <w:rPr>
          <w:color w:val="000000"/>
          <w:highlight w:val="none"/>
        </w:rPr>
        <w:t>第四节</w:t>
      </w:r>
      <w:r>
        <w:rPr>
          <w:rFonts w:hint="eastAsia"/>
          <w:color w:val="000000"/>
          <w:highlight w:val="none"/>
        </w:rPr>
        <w:t xml:space="preserve"> </w:t>
      </w:r>
      <w:r>
        <w:rPr>
          <w:color w:val="000000"/>
          <w:highlight w:val="none"/>
        </w:rPr>
        <w:t xml:space="preserve"> 巩固</w:t>
      </w:r>
      <w:r>
        <w:rPr>
          <w:rFonts w:hint="eastAsia"/>
          <w:color w:val="000000"/>
          <w:highlight w:val="none"/>
        </w:rPr>
        <w:t>拓展</w:t>
      </w:r>
      <w:r>
        <w:rPr>
          <w:color w:val="000000"/>
          <w:highlight w:val="none"/>
        </w:rPr>
        <w:t>住房安全保障成果</w:t>
      </w:r>
      <w:bookmarkEnd w:id="36"/>
      <w:bookmarkEnd w:id="37"/>
    </w:p>
    <w:p w14:paraId="1D467FB1">
      <w:pPr>
        <w:ind w:firstLine="640"/>
        <w:rPr>
          <w:bCs w:val="0"/>
          <w:color w:val="000000"/>
          <w:highlight w:val="none"/>
        </w:rPr>
      </w:pPr>
      <w:r>
        <w:rPr>
          <w:rFonts w:hint="eastAsia"/>
          <w:bCs w:val="0"/>
          <w:color w:val="000000"/>
          <w:highlight w:val="none"/>
        </w:rPr>
        <w:t>健全完善农村低收入群体等重点对象住房安全动态监测机制，排查整治农村住房安全隐患，</w:t>
      </w:r>
      <w:r>
        <w:rPr>
          <w:rFonts w:hint="eastAsia" w:ascii="方正仿宋_GBK" w:hAnsi="方正仿宋_GBK" w:cs="方正仿宋_GBK"/>
          <w:color w:val="000000"/>
          <w:highlight w:val="none"/>
        </w:rPr>
        <w:t>全覆盖开展农村房屋安全隐患排查和鉴定，将符合农村危房改造条件的对象全部纳入补助范围，确保低收入群体住房安全全部有保障。开展设计下乡活动，加强农房风貌建设引导，优化提升农村住房品质。强化技术支持，开展农村建筑工匠培训。</w:t>
      </w:r>
      <w:r>
        <w:rPr>
          <w:rFonts w:hint="eastAsia"/>
          <w:bCs w:val="0"/>
          <w:color w:val="000000"/>
          <w:highlight w:val="none"/>
        </w:rPr>
        <w:t>因地制宜编制符合安全要求及农民生活习惯的农房设计通用图集。加强施工现场巡查与指导监督，确保改造后的房屋符合安全要求。</w:t>
      </w:r>
    </w:p>
    <w:p w14:paraId="7FD70C74">
      <w:pPr>
        <w:pStyle w:val="3"/>
        <w:spacing w:before="156" w:after="156"/>
        <w:rPr>
          <w:color w:val="000000"/>
          <w:highlight w:val="none"/>
        </w:rPr>
      </w:pPr>
      <w:bookmarkStart w:id="38" w:name="_Toc76313153"/>
      <w:bookmarkStart w:id="39" w:name="_Toc98403165"/>
      <w:r>
        <w:rPr>
          <w:color w:val="000000"/>
          <w:highlight w:val="none"/>
        </w:rPr>
        <w:t>第五节  巩固</w:t>
      </w:r>
      <w:r>
        <w:rPr>
          <w:rFonts w:hint="eastAsia"/>
          <w:color w:val="000000"/>
          <w:highlight w:val="none"/>
        </w:rPr>
        <w:t>拓展</w:t>
      </w:r>
      <w:r>
        <w:rPr>
          <w:color w:val="000000"/>
          <w:highlight w:val="none"/>
        </w:rPr>
        <w:t>饮水安全保障成果</w:t>
      </w:r>
      <w:bookmarkEnd w:id="38"/>
      <w:bookmarkEnd w:id="39"/>
    </w:p>
    <w:p w14:paraId="22CA82AC">
      <w:pPr>
        <w:ind w:firstLine="640"/>
        <w:rPr>
          <w:color w:val="000000"/>
          <w:highlight w:val="none"/>
        </w:rPr>
      </w:pPr>
      <w:r>
        <w:rPr>
          <w:rFonts w:hint="eastAsia"/>
          <w:color w:val="000000"/>
          <w:highlight w:val="none"/>
        </w:rPr>
        <w:t>全面推进落实乡村振兴水利保障地方主体责任，实施农村供水保障工程，以农村饮水安全“一改三提”为抓手，因地制宜推动农村供水规模化发展和小型工程标准化改造，到2025年，农村自来水普及率达到89％。建立健全脱贫人口饮水安全监测机制，确保农村供水问题动态清零。加强已建农村供水工程运行管理，推行农村有偿供水，创建“四管”（有人管、有钱管、有制度管、专业化管）示范工程，不断提高农村供水保障水平。</w:t>
      </w:r>
    </w:p>
    <w:tbl>
      <w:tblPr>
        <w:tblStyle w:val="2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45210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vAlign w:val="top"/>
          </w:tcPr>
          <w:p w14:paraId="5CDEC683">
            <w:pPr>
              <w:spacing w:line="440" w:lineRule="exact"/>
              <w:ind w:firstLine="0" w:firstLineChars="0"/>
              <w:jc w:val="center"/>
              <w:rPr>
                <w:color w:val="000000"/>
                <w:kern w:val="0"/>
                <w:sz w:val="28"/>
                <w:szCs w:val="28"/>
                <w:highlight w:val="none"/>
              </w:rPr>
            </w:pPr>
            <w:r>
              <w:rPr>
                <w:color w:val="000000"/>
                <w:kern w:val="0"/>
                <w:sz w:val="28"/>
                <w:szCs w:val="28"/>
                <w:highlight w:val="none"/>
              </w:rPr>
              <w:t>专栏2  “两不愁三保障”及饮水成果巩固拓展重点行动</w:t>
            </w:r>
          </w:p>
        </w:tc>
      </w:tr>
      <w:tr w14:paraId="02AE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vAlign w:val="top"/>
          </w:tcPr>
          <w:p w14:paraId="43713A83">
            <w:pPr>
              <w:spacing w:line="440" w:lineRule="exact"/>
              <w:ind w:firstLine="562"/>
              <w:rPr>
                <w:color w:val="000000"/>
                <w:kern w:val="0"/>
                <w:sz w:val="28"/>
                <w:szCs w:val="28"/>
                <w:highlight w:val="none"/>
              </w:rPr>
            </w:pPr>
            <w:r>
              <w:rPr>
                <w:b/>
                <w:bCs w:val="0"/>
                <w:color w:val="000000"/>
                <w:kern w:val="0"/>
                <w:sz w:val="28"/>
                <w:szCs w:val="28"/>
                <w:highlight w:val="none"/>
              </w:rPr>
              <w:t>“两不愁”保障巩固拓展行动</w:t>
            </w:r>
            <w:r>
              <w:rPr>
                <w:color w:val="000000"/>
                <w:kern w:val="0"/>
                <w:sz w:val="28"/>
                <w:szCs w:val="28"/>
                <w:highlight w:val="none"/>
              </w:rPr>
              <w:t>：实施兜住兜牢基本生活底线、保住保牢基本收入底线、创新</w:t>
            </w:r>
            <w:r>
              <w:rPr>
                <w:rFonts w:hint="eastAsia"/>
                <w:color w:val="000000"/>
                <w:kern w:val="0"/>
                <w:sz w:val="28"/>
                <w:szCs w:val="28"/>
                <w:highlight w:val="none"/>
              </w:rPr>
              <w:t>“防贫保”等“三项子行动”</w:t>
            </w:r>
            <w:r>
              <w:rPr>
                <w:color w:val="000000"/>
                <w:kern w:val="0"/>
                <w:sz w:val="28"/>
                <w:szCs w:val="28"/>
                <w:highlight w:val="none"/>
              </w:rPr>
              <w:t>，重点推进医疗、教育、住房、就业等专项救助、持续实施基本生活困难急难型和支出型临时救助、着力加强基本生活和收入监测力度、持续做好农村“三留守”人员关爱服务等。</w:t>
            </w:r>
          </w:p>
          <w:p w14:paraId="791E6A16">
            <w:pPr>
              <w:spacing w:line="440" w:lineRule="exact"/>
              <w:ind w:firstLine="562"/>
              <w:rPr>
                <w:color w:val="000000"/>
                <w:kern w:val="0"/>
                <w:sz w:val="28"/>
                <w:szCs w:val="28"/>
                <w:highlight w:val="none"/>
              </w:rPr>
            </w:pPr>
            <w:r>
              <w:rPr>
                <w:b/>
                <w:bCs w:val="0"/>
                <w:color w:val="000000"/>
                <w:kern w:val="0"/>
                <w:sz w:val="28"/>
                <w:szCs w:val="28"/>
                <w:highlight w:val="none"/>
              </w:rPr>
              <w:t>义务教育保障巩固拓展行动</w:t>
            </w:r>
            <w:r>
              <w:rPr>
                <w:color w:val="000000"/>
                <w:kern w:val="0"/>
                <w:sz w:val="28"/>
                <w:szCs w:val="28"/>
                <w:highlight w:val="none"/>
              </w:rPr>
              <w:t>：实施义务教育保障巩固提升机制健全行动，即健全完善控辍保学长效机制、健全完善农村家庭经济困难学生教育帮扶机制等。</w:t>
            </w:r>
          </w:p>
          <w:p w14:paraId="5FF028A8">
            <w:pPr>
              <w:spacing w:line="440" w:lineRule="exact"/>
              <w:ind w:firstLine="562"/>
              <w:rPr>
                <w:color w:val="000000"/>
                <w:kern w:val="0"/>
                <w:sz w:val="28"/>
                <w:szCs w:val="28"/>
                <w:highlight w:val="none"/>
              </w:rPr>
            </w:pPr>
            <w:r>
              <w:rPr>
                <w:b/>
                <w:bCs w:val="0"/>
                <w:color w:val="000000"/>
                <w:kern w:val="0"/>
                <w:sz w:val="28"/>
                <w:szCs w:val="28"/>
                <w:highlight w:val="none"/>
              </w:rPr>
              <w:t>基本医疗保障巩固拓展行动</w:t>
            </w:r>
            <w:r>
              <w:rPr>
                <w:color w:val="000000"/>
                <w:kern w:val="0"/>
                <w:sz w:val="28"/>
                <w:szCs w:val="28"/>
                <w:highlight w:val="none"/>
              </w:rPr>
              <w:t>：重点实施建立健全防范化解因病返贫致贫长效机制、持续完善脱贫人口待遇保障政策、整体提升农村医疗保障和健康管理水平等三项工作。</w:t>
            </w:r>
          </w:p>
          <w:p w14:paraId="4CF0CEC6">
            <w:pPr>
              <w:spacing w:line="440" w:lineRule="exact"/>
              <w:ind w:firstLine="562"/>
              <w:rPr>
                <w:color w:val="000000"/>
                <w:kern w:val="0"/>
                <w:sz w:val="28"/>
                <w:szCs w:val="28"/>
                <w:highlight w:val="none"/>
              </w:rPr>
            </w:pPr>
            <w:r>
              <w:rPr>
                <w:b/>
                <w:bCs w:val="0"/>
                <w:color w:val="000000"/>
                <w:kern w:val="0"/>
                <w:sz w:val="28"/>
                <w:szCs w:val="28"/>
                <w:highlight w:val="none"/>
              </w:rPr>
              <w:t>基本住房安全保障巩固拓展行动</w:t>
            </w:r>
            <w:r>
              <w:rPr>
                <w:color w:val="000000"/>
                <w:kern w:val="0"/>
                <w:sz w:val="28"/>
                <w:szCs w:val="28"/>
                <w:highlight w:val="none"/>
              </w:rPr>
              <w:t>：重点做好健全完善农村低收入群体等重点对象住房安全动态监测机制、加强质量安全管理、提升农房建设品质等三大任务，力争用2年左右时间基本完成安全隐患整治。</w:t>
            </w:r>
          </w:p>
          <w:p w14:paraId="23E631CE">
            <w:pPr>
              <w:spacing w:line="440" w:lineRule="exact"/>
              <w:ind w:firstLine="562"/>
              <w:rPr>
                <w:color w:val="000000"/>
                <w:kern w:val="0"/>
                <w:sz w:val="28"/>
                <w:szCs w:val="28"/>
                <w:highlight w:val="none"/>
              </w:rPr>
            </w:pPr>
            <w:r>
              <w:rPr>
                <w:b/>
                <w:bCs w:val="0"/>
                <w:color w:val="000000"/>
                <w:kern w:val="0"/>
                <w:sz w:val="28"/>
                <w:szCs w:val="28"/>
                <w:highlight w:val="none"/>
              </w:rPr>
              <w:t>基本饮水安全保障巩固拓展行动</w:t>
            </w:r>
            <w:r>
              <w:rPr>
                <w:color w:val="000000"/>
                <w:kern w:val="0"/>
                <w:sz w:val="28"/>
                <w:szCs w:val="28"/>
                <w:highlight w:val="none"/>
              </w:rPr>
              <w:t>：以农村饮水安全</w:t>
            </w:r>
            <w:r>
              <w:rPr>
                <w:rFonts w:hint="eastAsia"/>
                <w:color w:val="000000"/>
                <w:kern w:val="0"/>
                <w:sz w:val="28"/>
                <w:szCs w:val="28"/>
                <w:highlight w:val="none"/>
              </w:rPr>
              <w:t>“一改三提”为抓手，实施农村供水保障工程，创建“四管”</w:t>
            </w:r>
            <w:r>
              <w:rPr>
                <w:color w:val="000000"/>
                <w:kern w:val="0"/>
                <w:sz w:val="28"/>
                <w:szCs w:val="28"/>
                <w:highlight w:val="none"/>
              </w:rPr>
              <w:t>（有人管、有钱管、有制度管、专业化管）示范工程，加强已建农村供水工程运行管理。</w:t>
            </w:r>
          </w:p>
        </w:tc>
      </w:tr>
    </w:tbl>
    <w:p w14:paraId="64653ADE">
      <w:pPr>
        <w:pStyle w:val="2"/>
        <w:spacing w:before="312" w:after="312"/>
        <w:rPr>
          <w:color w:val="000000"/>
          <w:highlight w:val="none"/>
        </w:rPr>
      </w:pPr>
      <w:bookmarkStart w:id="40" w:name="_Toc98403166"/>
      <w:bookmarkStart w:id="41" w:name="_Toc76313154"/>
      <w:r>
        <w:rPr>
          <w:rFonts w:hint="eastAsia"/>
          <w:color w:val="000000"/>
          <w:highlight w:val="none"/>
        </w:rPr>
        <w:t>第五章</w:t>
      </w:r>
      <w:r>
        <w:rPr>
          <w:color w:val="000000"/>
          <w:highlight w:val="none"/>
        </w:rPr>
        <w:t xml:space="preserve">  </w:t>
      </w:r>
      <w:r>
        <w:rPr>
          <w:rFonts w:hint="eastAsia"/>
          <w:color w:val="000000"/>
          <w:highlight w:val="none"/>
        </w:rPr>
        <w:t>健全重点对象监测和帮扶机制</w:t>
      </w:r>
      <w:bookmarkEnd w:id="40"/>
      <w:bookmarkEnd w:id="41"/>
    </w:p>
    <w:p w14:paraId="5C2228AA">
      <w:pPr>
        <w:ind w:firstLine="640"/>
        <w:rPr>
          <w:color w:val="000000"/>
          <w:highlight w:val="none"/>
        </w:rPr>
      </w:pPr>
      <w:r>
        <w:rPr>
          <w:rFonts w:hint="eastAsia"/>
          <w:color w:val="000000"/>
          <w:highlight w:val="none"/>
        </w:rPr>
        <w:t>按照区负总责、部门主管、镇村抓落实的原则，统筹政府、市场和社会资源，运用农户自主申报、基层走访排查、防止返贫大数据监测平台预警、行业部门数据比对等手段，及时发现、快速响应、及时帮扶，坚决守住防止规模性返贫的底线。</w:t>
      </w:r>
    </w:p>
    <w:p w14:paraId="19417567">
      <w:pPr>
        <w:pStyle w:val="3"/>
        <w:spacing w:before="156" w:after="156"/>
        <w:rPr>
          <w:color w:val="000000"/>
          <w:highlight w:val="none"/>
        </w:rPr>
      </w:pPr>
      <w:bookmarkStart w:id="42" w:name="_Toc76313155"/>
      <w:bookmarkStart w:id="43" w:name="_Toc98403167"/>
      <w:r>
        <w:rPr>
          <w:rFonts w:hint="eastAsia"/>
          <w:color w:val="000000"/>
          <w:highlight w:val="none"/>
        </w:rPr>
        <w:t xml:space="preserve">第一节 </w:t>
      </w:r>
      <w:r>
        <w:rPr>
          <w:color w:val="000000"/>
          <w:highlight w:val="none"/>
        </w:rPr>
        <w:t xml:space="preserve"> </w:t>
      </w:r>
      <w:r>
        <w:rPr>
          <w:rFonts w:hint="eastAsia"/>
          <w:color w:val="000000"/>
          <w:highlight w:val="none"/>
        </w:rPr>
        <w:t>明确工作原则和目标任务</w:t>
      </w:r>
      <w:bookmarkEnd w:id="42"/>
      <w:bookmarkEnd w:id="43"/>
    </w:p>
    <w:p w14:paraId="60E4BEFD">
      <w:pPr>
        <w:ind w:firstLine="640"/>
        <w:rPr>
          <w:color w:val="000000"/>
          <w:highlight w:val="none"/>
        </w:rPr>
      </w:pPr>
      <w:r>
        <w:rPr>
          <w:rFonts w:hint="eastAsia"/>
          <w:color w:val="000000"/>
          <w:highlight w:val="none"/>
        </w:rPr>
        <w:t>按照“应纳尽纳、应扶尽扶、应消尽消”原则，持续压实责任，持续精准施策，动态监测和帮扶易返贫致贫户，做到早发现、早干预、早帮扶，坚决守住防止规模性返贫的底线，为实现巩固拓展脱贫攻坚成果同乡村振兴有效衔接奠定坚实基础。</w:t>
      </w:r>
    </w:p>
    <w:p w14:paraId="29AB2DEB">
      <w:pPr>
        <w:pStyle w:val="3"/>
        <w:spacing w:before="156" w:after="156"/>
        <w:rPr>
          <w:color w:val="000000"/>
          <w:highlight w:val="none"/>
        </w:rPr>
      </w:pPr>
      <w:bookmarkStart w:id="44" w:name="_Toc76313156"/>
      <w:bookmarkStart w:id="45" w:name="_Toc98403168"/>
      <w:r>
        <w:rPr>
          <w:rFonts w:hint="eastAsia"/>
          <w:color w:val="000000"/>
          <w:highlight w:val="none"/>
        </w:rPr>
        <w:t>第二节  明确监测对象和范围</w:t>
      </w:r>
      <w:bookmarkEnd w:id="44"/>
      <w:bookmarkEnd w:id="45"/>
    </w:p>
    <w:p w14:paraId="05DEE1F3">
      <w:pPr>
        <w:ind w:firstLine="640"/>
        <w:rPr>
          <w:color w:val="000000"/>
          <w:highlight w:val="none"/>
        </w:rPr>
      </w:pPr>
      <w:r>
        <w:rPr>
          <w:rFonts w:hint="eastAsia"/>
          <w:color w:val="000000"/>
          <w:highlight w:val="none"/>
        </w:rPr>
        <w:t>对易返贫致贫户实施常态化监测、动态化管理，重点监测其收入支出状况、“两不愁三保障”及饮水安全状况等。以脱贫攻坚期国家扶贫标准的1.5倍为底线，合理确定全区监测范围。同时，以现有社会保障体系为基础，对农村低保对象、农村特困人员等农村低收入人口开展动态监测。实时监测重大突发公共事件带来的影响，全力防范失业等潜在风险隐患，及时排查预警区域性、规模性返贫风险。</w:t>
      </w:r>
    </w:p>
    <w:p w14:paraId="420C3134">
      <w:pPr>
        <w:pStyle w:val="3"/>
        <w:spacing w:before="156" w:after="156"/>
        <w:rPr>
          <w:color w:val="000000"/>
          <w:highlight w:val="none"/>
        </w:rPr>
      </w:pPr>
      <w:bookmarkStart w:id="46" w:name="_Toc76313157"/>
      <w:bookmarkStart w:id="47" w:name="_Toc98403169"/>
      <w:r>
        <w:rPr>
          <w:rFonts w:hint="eastAsia"/>
          <w:color w:val="000000"/>
          <w:highlight w:val="none"/>
        </w:rPr>
        <w:t xml:space="preserve">第三节 </w:t>
      </w:r>
      <w:r>
        <w:rPr>
          <w:color w:val="000000"/>
          <w:highlight w:val="none"/>
        </w:rPr>
        <w:t xml:space="preserve"> </w:t>
      </w:r>
      <w:r>
        <w:rPr>
          <w:rFonts w:hint="eastAsia"/>
          <w:color w:val="000000"/>
          <w:highlight w:val="none"/>
        </w:rPr>
        <w:t>优化监测方式和程序</w:t>
      </w:r>
      <w:bookmarkEnd w:id="46"/>
      <w:bookmarkEnd w:id="47"/>
    </w:p>
    <w:p w14:paraId="567B8211">
      <w:pPr>
        <w:ind w:firstLine="640"/>
        <w:rPr>
          <w:color w:val="000000"/>
          <w:highlight w:val="none"/>
        </w:rPr>
      </w:pPr>
      <w:r>
        <w:rPr>
          <w:rFonts w:hint="eastAsia"/>
          <w:color w:val="000000"/>
          <w:highlight w:val="none"/>
        </w:rPr>
        <w:t>建立健全农户自主申报、基层干部排查、部门筛查预警等易返贫致贫人口快速发现和响应机制，完善监测对象识别程序。实施巩固拓展脱贫攻坚成果数据信息共享工程，进一步强化区级相关部门等行业数据信息共享共用，共同开展部门筛查预警和监测帮扶，分批分级有序推进相关行业部门信息系统实时联网，实现信息共享、贯通、融合和区、镇、村三级联动。充分使用全市防止返贫大数据监测平台，完善定期核查和动态调整机制，制定严格、规范、透明的进入和退出标准、程序、核查办法。健全风险消除功能、防贫预警线索分派核验功能、部门共享风险信息功能、统计分析功能、防贫预警线索发现功能等，对监测户个人及家庭情况进行跟踪监测、实时更新、科学分析，动态跟进和核实核准各类易返贫致贫人口，动态调整和更新监测对象实时数据库。</w:t>
      </w:r>
    </w:p>
    <w:p w14:paraId="43B2DB2A">
      <w:pPr>
        <w:pStyle w:val="3"/>
        <w:spacing w:before="156" w:after="156"/>
        <w:rPr>
          <w:color w:val="000000"/>
          <w:highlight w:val="none"/>
        </w:rPr>
      </w:pPr>
      <w:bookmarkStart w:id="48" w:name="_Toc76313158"/>
      <w:bookmarkStart w:id="49" w:name="_Toc98403170"/>
      <w:r>
        <w:rPr>
          <w:rFonts w:hint="eastAsia"/>
          <w:color w:val="000000"/>
          <w:highlight w:val="none"/>
        </w:rPr>
        <w:t>第四节  强化帮扶政策和措施</w:t>
      </w:r>
      <w:bookmarkEnd w:id="48"/>
      <w:bookmarkEnd w:id="49"/>
    </w:p>
    <w:p w14:paraId="5F1F77F1">
      <w:pPr>
        <w:ind w:firstLine="640"/>
        <w:rPr>
          <w:color w:val="000000"/>
          <w:highlight w:val="none"/>
        </w:rPr>
      </w:pPr>
      <w:r>
        <w:rPr>
          <w:rFonts w:hint="eastAsia"/>
          <w:color w:val="000000"/>
          <w:highlight w:val="none"/>
        </w:rPr>
        <w:t>坚持预防性措施和事后帮扶相结合，可使用行业政策、各级财政衔接推进乡村振兴补助资金等，对所有监测对象开展精准帮扶。按照行业主导、缺什么补什么的原则，各级各部门根据监测对象的风险类别、发展需求等开展针对性帮扶。对风险单一的，实施单项措施，对风险复杂多样的，因户施策落实综合性帮扶。对有劳动能力的监测对象，采取开发式帮扶，主要通过发展产业、引导就业等实施帮扶。对因病、因残、因灾等意外变故导致存在返贫致贫风险的监测对象，及时落实临时救助政策。对脱贫人口中失能或半失能、且无法通过产业就业获得稳定收入的人口，依规纳入农村低保或特困人员救助供养范围，对符合条件的及时给予临时救助。对内生动力不足的，通过持续扶志扶智激发内生发展动力。各部门充分发挥社会帮扶资金优势，主动覆盖财政资金的盲区。落实“万企兴万村”行动，组织引导社会力量精准有效对接监测对象现实需求，落实消费、产业、就业等帮扶措施。</w:t>
      </w:r>
    </w:p>
    <w:tbl>
      <w:tblPr>
        <w:tblStyle w:val="2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0EBE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vAlign w:val="top"/>
          </w:tcPr>
          <w:p w14:paraId="701034AC">
            <w:pPr>
              <w:spacing w:line="440" w:lineRule="exact"/>
              <w:ind w:firstLine="0" w:firstLineChars="0"/>
              <w:jc w:val="center"/>
              <w:rPr>
                <w:color w:val="000000"/>
                <w:kern w:val="0"/>
                <w:sz w:val="28"/>
                <w:szCs w:val="28"/>
                <w:highlight w:val="none"/>
              </w:rPr>
            </w:pPr>
            <w:r>
              <w:rPr>
                <w:color w:val="000000"/>
                <w:kern w:val="0"/>
                <w:sz w:val="28"/>
                <w:szCs w:val="28"/>
                <w:highlight w:val="none"/>
              </w:rPr>
              <w:t xml:space="preserve">专栏3  </w:t>
            </w:r>
            <w:r>
              <w:rPr>
                <w:rFonts w:hint="eastAsia"/>
                <w:color w:val="000000"/>
                <w:kern w:val="0"/>
                <w:sz w:val="28"/>
                <w:szCs w:val="28"/>
                <w:highlight w:val="none"/>
              </w:rPr>
              <w:t>重点对象监测和帮扶重点事项</w:t>
            </w:r>
          </w:p>
        </w:tc>
      </w:tr>
      <w:tr w14:paraId="09D1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vAlign w:val="top"/>
          </w:tcPr>
          <w:p w14:paraId="5B2D0E9F">
            <w:pPr>
              <w:spacing w:line="440" w:lineRule="exact"/>
              <w:ind w:firstLine="562"/>
              <w:rPr>
                <w:color w:val="000000"/>
                <w:kern w:val="0"/>
                <w:sz w:val="28"/>
                <w:szCs w:val="28"/>
                <w:highlight w:val="none"/>
              </w:rPr>
            </w:pPr>
            <w:r>
              <w:rPr>
                <w:rFonts w:hint="eastAsia"/>
                <w:b/>
                <w:bCs w:val="0"/>
                <w:color w:val="000000"/>
                <w:kern w:val="0"/>
                <w:sz w:val="28"/>
                <w:szCs w:val="28"/>
                <w:highlight w:val="none"/>
              </w:rPr>
              <w:t>实现巩固拓展脱贫攻坚成果数据信息共享</w:t>
            </w:r>
            <w:r>
              <w:rPr>
                <w:rFonts w:hint="eastAsia"/>
                <w:color w:val="000000"/>
                <w:kern w:val="0"/>
                <w:sz w:val="28"/>
                <w:szCs w:val="28"/>
                <w:highlight w:val="none"/>
              </w:rPr>
              <w:t>：有效对接农业农村、医疗卫生、医保、民政、教育、住房和城乡建设等多部门数据，推进部门协作和数据共享，实现数据、信息联动，实时更新。</w:t>
            </w:r>
          </w:p>
          <w:p w14:paraId="49D148BC">
            <w:pPr>
              <w:spacing w:line="440" w:lineRule="exact"/>
              <w:ind w:firstLine="562"/>
              <w:rPr>
                <w:color w:val="000000"/>
                <w:kern w:val="0"/>
                <w:sz w:val="28"/>
                <w:szCs w:val="28"/>
                <w:highlight w:val="none"/>
              </w:rPr>
            </w:pPr>
            <w:r>
              <w:rPr>
                <w:rFonts w:hint="eastAsia"/>
                <w:b/>
                <w:bCs w:val="0"/>
                <w:color w:val="000000"/>
                <w:kern w:val="0"/>
                <w:sz w:val="28"/>
                <w:szCs w:val="28"/>
                <w:highlight w:val="none"/>
              </w:rPr>
              <w:t>建立健全“区—镇—村”三级联动防止返贫监测和帮扶工作机制</w:t>
            </w:r>
            <w:r>
              <w:rPr>
                <w:rFonts w:hint="eastAsia"/>
                <w:color w:val="000000"/>
                <w:kern w:val="0"/>
                <w:sz w:val="28"/>
                <w:szCs w:val="28"/>
                <w:highlight w:val="none"/>
              </w:rPr>
              <w:t>：成立区防止返贫动态监测和帮扶专项工作组，建立相关行业部门参与的防止返贫动态监测和帮扶工作机制，落实镇村防止返贫动态监测和帮扶责任，充实保障基层工作力量，配备专兼职信息员队伍，完善上下联动工作机制。</w:t>
            </w:r>
          </w:p>
        </w:tc>
      </w:tr>
    </w:tbl>
    <w:p w14:paraId="39B3BE70">
      <w:pPr>
        <w:pStyle w:val="2"/>
        <w:spacing w:before="312" w:after="312"/>
        <w:rPr>
          <w:color w:val="000000"/>
          <w:highlight w:val="none"/>
        </w:rPr>
      </w:pPr>
      <w:bookmarkStart w:id="50" w:name="_Toc98403171"/>
      <w:bookmarkStart w:id="51" w:name="_Toc76313159"/>
      <w:r>
        <w:rPr>
          <w:color w:val="000000"/>
          <w:highlight w:val="none"/>
        </w:rPr>
        <w:t xml:space="preserve">第六章  </w:t>
      </w:r>
      <w:r>
        <w:rPr>
          <w:rFonts w:hint="eastAsia"/>
          <w:color w:val="000000"/>
          <w:highlight w:val="none"/>
        </w:rPr>
        <w:t>提质升级</w:t>
      </w:r>
      <w:r>
        <w:rPr>
          <w:color w:val="000000"/>
          <w:highlight w:val="none"/>
        </w:rPr>
        <w:t>乡村特色产业</w:t>
      </w:r>
      <w:bookmarkEnd w:id="50"/>
      <w:bookmarkEnd w:id="51"/>
    </w:p>
    <w:p w14:paraId="1D7B8BC0">
      <w:pPr>
        <w:ind w:firstLine="640"/>
        <w:rPr>
          <w:color w:val="000000"/>
          <w:highlight w:val="none"/>
        </w:rPr>
      </w:pPr>
      <w:r>
        <w:rPr>
          <w:rFonts w:hint="eastAsia"/>
          <w:color w:val="000000"/>
          <w:highlight w:val="none"/>
        </w:rPr>
        <w:t>将乡村产业发展作为</w:t>
      </w:r>
      <w:r>
        <w:rPr>
          <w:rFonts w:hint="eastAsia"/>
          <w:color w:val="000000"/>
          <w:highlight w:val="none"/>
          <w:lang w:eastAsia="zh-CN"/>
        </w:rPr>
        <w:t>巩固拓展脱贫攻坚成果</w:t>
      </w:r>
      <w:r>
        <w:rPr>
          <w:rFonts w:hint="eastAsia"/>
          <w:color w:val="000000"/>
          <w:highlight w:val="none"/>
        </w:rPr>
        <w:t>、推动乡村振兴的根本之策，通过重点做强特色优势产业、完善产业利益联结机制、深化多元消费帮扶，持续增强脱贫村和脱贫农户内生造血能力。</w:t>
      </w:r>
    </w:p>
    <w:p w14:paraId="244F857E">
      <w:pPr>
        <w:pStyle w:val="3"/>
        <w:spacing w:before="156" w:after="156"/>
        <w:rPr>
          <w:color w:val="000000"/>
          <w:highlight w:val="none"/>
        </w:rPr>
      </w:pPr>
      <w:bookmarkStart w:id="52" w:name="_Toc76313160"/>
      <w:bookmarkStart w:id="53" w:name="_Toc98403172"/>
      <w:r>
        <w:rPr>
          <w:color w:val="000000"/>
          <w:highlight w:val="none"/>
        </w:rPr>
        <w:t>第一节</w:t>
      </w:r>
      <w:r>
        <w:rPr>
          <w:rFonts w:hint="eastAsia"/>
          <w:color w:val="000000"/>
          <w:highlight w:val="none"/>
        </w:rPr>
        <w:t xml:space="preserve"> </w:t>
      </w:r>
      <w:r>
        <w:rPr>
          <w:color w:val="000000"/>
          <w:highlight w:val="none"/>
        </w:rPr>
        <w:t xml:space="preserve"> 做强特色优势产业</w:t>
      </w:r>
      <w:bookmarkEnd w:id="52"/>
      <w:bookmarkEnd w:id="53"/>
    </w:p>
    <w:p w14:paraId="581B0692">
      <w:pPr>
        <w:ind w:firstLine="643"/>
        <w:rPr>
          <w:b/>
          <w:bCs w:val="0"/>
          <w:color w:val="000000"/>
          <w:highlight w:val="none"/>
        </w:rPr>
      </w:pPr>
      <w:r>
        <w:rPr>
          <w:rFonts w:hint="eastAsia"/>
          <w:b/>
          <w:bCs w:val="0"/>
          <w:color w:val="000000"/>
          <w:highlight w:val="none"/>
        </w:rPr>
        <w:t>推动特色产业提质升级</w:t>
      </w:r>
      <w:r>
        <w:rPr>
          <w:rFonts w:hint="eastAsia"/>
          <w:color w:val="000000"/>
          <w:highlight w:val="none"/>
        </w:rPr>
        <w:t>。做好丛林镇食用菌、黑山镇猕猴桃等特色产业规划，统筹规划发展乡村特色产业，指导乡村振兴重点帮扶镇、脱贫村、乡村振兴示范村和乡村振兴重点帮扶村特色产业差异化、特色化发展，实施特色种养业提升行动，着力推动食用菌、猕猴桃、茶叶、笋竹、特色水果、生态渔业等特色产业发展。优先支持乡村振兴重点帮扶镇创建现代农业产业园。培育农村新产业新业态新模式，深入实施休闲农业、乡村旅游等精品工程。加强农业生产基础设施建设，推进农业机械化全程全面发展，开展社会化服务，改善小农户生产设施条件。</w:t>
      </w:r>
    </w:p>
    <w:p w14:paraId="216787F1">
      <w:pPr>
        <w:ind w:firstLine="643"/>
        <w:rPr>
          <w:color w:val="000000"/>
          <w:highlight w:val="none"/>
        </w:rPr>
      </w:pPr>
      <w:r>
        <w:rPr>
          <w:rFonts w:hint="eastAsia"/>
          <w:b/>
          <w:bCs w:val="0"/>
          <w:color w:val="000000"/>
          <w:highlight w:val="none"/>
        </w:rPr>
        <w:t>提升农产品品质品牌</w:t>
      </w:r>
      <w:r>
        <w:rPr>
          <w:rFonts w:hint="eastAsia"/>
          <w:color w:val="000000"/>
          <w:highlight w:val="none"/>
        </w:rPr>
        <w:t>。加强农业科技和绿色发展水平，全面提升农产品品质，鼓励开展农产品品质品牌认定，壮大绿色、有机、地理标志和良好农业规范农产品规模。着力提升产业品牌影响力，重点推进“黑山谷”区域公用品牌建设，鼓励符合条件的农业企业使用“巴味渝珍”区域公用品牌，融入全市“1+1+50+N”农产品品牌体系，打造一批在国内乃至国际市场上立得住、叫得响、卖得好的品牌农产品。积极开展消费帮扶重点产品认定和平台建设，广泛发掘带动效果好、质量安全的优质产品，把好产品、好品牌推向市场。开展优质农产品气候品质评价认定与全生育期追溯服务，培育申报一批国家级、市级优质农产品气候品牌，打造一批“中国气候好产品”，增添“优质生态气候农产品”金字招牌。</w:t>
      </w:r>
    </w:p>
    <w:p w14:paraId="051D34A2">
      <w:pPr>
        <w:pStyle w:val="3"/>
        <w:spacing w:before="156" w:after="156"/>
        <w:rPr>
          <w:color w:val="000000"/>
          <w:highlight w:val="none"/>
        </w:rPr>
      </w:pPr>
      <w:bookmarkStart w:id="54" w:name="_Toc76313161"/>
      <w:bookmarkStart w:id="55" w:name="_Toc98403173"/>
      <w:r>
        <w:rPr>
          <w:color w:val="000000"/>
          <w:highlight w:val="none"/>
        </w:rPr>
        <w:t>第二节</w:t>
      </w:r>
      <w:r>
        <w:rPr>
          <w:rFonts w:hint="eastAsia"/>
          <w:color w:val="000000"/>
          <w:highlight w:val="none"/>
        </w:rPr>
        <w:t xml:space="preserve"> </w:t>
      </w:r>
      <w:r>
        <w:rPr>
          <w:color w:val="000000"/>
          <w:highlight w:val="none"/>
        </w:rPr>
        <w:t xml:space="preserve"> </w:t>
      </w:r>
      <w:r>
        <w:rPr>
          <w:rFonts w:hint="eastAsia"/>
          <w:color w:val="000000"/>
          <w:highlight w:val="none"/>
        </w:rPr>
        <w:t>健全</w:t>
      </w:r>
      <w:r>
        <w:rPr>
          <w:color w:val="000000"/>
          <w:highlight w:val="none"/>
        </w:rPr>
        <w:t>产业利益联结机制</w:t>
      </w:r>
      <w:bookmarkEnd w:id="54"/>
      <w:bookmarkEnd w:id="55"/>
    </w:p>
    <w:p w14:paraId="4192ABF0">
      <w:pPr>
        <w:ind w:firstLine="643"/>
        <w:rPr>
          <w:color w:val="000000"/>
          <w:highlight w:val="none"/>
        </w:rPr>
      </w:pPr>
      <w:bookmarkStart w:id="56" w:name="_Toc76313162"/>
      <w:r>
        <w:rPr>
          <w:rFonts w:hint="eastAsia"/>
          <w:b/>
          <w:bCs w:val="0"/>
          <w:color w:val="000000"/>
          <w:highlight w:val="none"/>
        </w:rPr>
        <w:t>规范村集体经济组织和收益分配机制</w:t>
      </w:r>
      <w:r>
        <w:rPr>
          <w:rFonts w:hint="eastAsia"/>
          <w:color w:val="000000"/>
          <w:highlight w:val="none"/>
        </w:rPr>
        <w:t>。探索建立集体经济组织经营管理人员薪酬待遇激励机制。落实扶持农村集体经济发展政策，探索建立机关企事业单位与集体经济薄弱村结对帮扶机制。建立健全民主决策、经营管理、收益分配、风险防范、资产监管、财务监管等制度，规范集体经济运营管理。拓宽村级集体经济增收渠道，探索完善固定分红、保底分红、效益分红、实物分红等分配方式，保障集体经济组织成员获得合理收益。</w:t>
      </w:r>
    </w:p>
    <w:p w14:paraId="17CD1A5C">
      <w:pPr>
        <w:ind w:firstLine="643"/>
        <w:rPr>
          <w:color w:val="000000"/>
          <w:highlight w:val="none"/>
        </w:rPr>
      </w:pPr>
      <w:r>
        <w:rPr>
          <w:rFonts w:hint="eastAsia"/>
          <w:b/>
          <w:bCs w:val="0"/>
          <w:color w:val="000000"/>
          <w:highlight w:val="none"/>
        </w:rPr>
        <w:t>完善小农户与农业经营主体利益联结机制</w:t>
      </w:r>
      <w:r>
        <w:rPr>
          <w:rFonts w:hint="eastAsia"/>
          <w:color w:val="000000"/>
          <w:highlight w:val="none"/>
        </w:rPr>
        <w:t>。支持农民专业合作社、家庭农场和涉农企业、电子商务企业等，通过保底分红、股份合作、利润返还等多种形式，让脱贫群众进一步合理分享全产业链增值收益。支持脱贫人口以产权、资金、劳力、技术等为纽带，进一步与新型经营主体开展多种形式的合作。继续对带动脱贫人口稳定增收的龙头企业给予认定扶持和相关倾斜支持。</w:t>
      </w:r>
    </w:p>
    <w:p w14:paraId="743A89E7">
      <w:pPr>
        <w:ind w:firstLine="643"/>
        <w:rPr>
          <w:color w:val="000000"/>
          <w:highlight w:val="none"/>
        </w:rPr>
      </w:pPr>
      <w:r>
        <w:rPr>
          <w:rFonts w:hint="eastAsia"/>
          <w:b/>
          <w:bCs w:val="0"/>
          <w:color w:val="000000"/>
          <w:highlight w:val="none"/>
        </w:rPr>
        <w:t>深化联农带农重点改革探索</w:t>
      </w:r>
      <w:r>
        <w:rPr>
          <w:rFonts w:hint="eastAsia"/>
          <w:color w:val="000000"/>
          <w:highlight w:val="none"/>
        </w:rPr>
        <w:t>。健全联农带农机制，把就业岗位和产业增值收益更多留在镇村、留给农民，带动巩固脱贫攻坚成果、带动农民持续增收致富。深化农村“三变”改革和“三社”融合发展，促进龙头企业、农民合作社和家庭农场互助服务，探索成员相互入股、组建新主体等联结方式，实现抱团发展、深度融合发展。</w:t>
      </w:r>
    </w:p>
    <w:p w14:paraId="5BD83ED8">
      <w:pPr>
        <w:pStyle w:val="3"/>
        <w:spacing w:before="156" w:after="156"/>
        <w:rPr>
          <w:color w:val="000000"/>
          <w:highlight w:val="none"/>
        </w:rPr>
      </w:pPr>
      <w:bookmarkStart w:id="57" w:name="_Toc98403174"/>
      <w:r>
        <w:rPr>
          <w:color w:val="000000"/>
          <w:highlight w:val="none"/>
        </w:rPr>
        <w:t xml:space="preserve">第三节  </w:t>
      </w:r>
      <w:r>
        <w:rPr>
          <w:rFonts w:hint="eastAsia"/>
          <w:color w:val="000000"/>
          <w:highlight w:val="none"/>
        </w:rPr>
        <w:t>持续开展</w:t>
      </w:r>
      <w:r>
        <w:rPr>
          <w:color w:val="000000"/>
          <w:highlight w:val="none"/>
        </w:rPr>
        <w:t>多元消费帮扶</w:t>
      </w:r>
      <w:bookmarkEnd w:id="56"/>
      <w:bookmarkEnd w:id="57"/>
    </w:p>
    <w:p w14:paraId="6C66C50C">
      <w:pPr>
        <w:ind w:firstLine="643"/>
        <w:rPr>
          <w:bCs w:val="0"/>
          <w:color w:val="000000"/>
          <w:highlight w:val="none"/>
        </w:rPr>
      </w:pPr>
      <w:r>
        <w:rPr>
          <w:rFonts w:hint="eastAsia"/>
          <w:b/>
          <w:color w:val="000000"/>
          <w:highlight w:val="none"/>
        </w:rPr>
        <w:t>扩大消费帮扶规模</w:t>
      </w:r>
      <w:r>
        <w:rPr>
          <w:rFonts w:hint="eastAsia"/>
          <w:bCs w:val="0"/>
          <w:color w:val="000000"/>
          <w:highlight w:val="none"/>
        </w:rPr>
        <w:t>。落实消费帮扶政策，鼓励帮扶集团、帮扶企业，持续加大对帮扶产品采购力度。落实工会经费购买帮扶产品政策，鼓励干部职工自发购买帮扶产品和到脱贫</w:t>
      </w:r>
      <w:r>
        <w:rPr>
          <w:rFonts w:hint="eastAsia"/>
          <w:color w:val="000000"/>
          <w:highlight w:val="none"/>
        </w:rPr>
        <w:t>地区</w:t>
      </w:r>
      <w:r>
        <w:rPr>
          <w:rFonts w:hint="eastAsia"/>
          <w:bCs w:val="0"/>
          <w:color w:val="000000"/>
          <w:highlight w:val="none"/>
        </w:rPr>
        <w:t>旅游。鼓励组织特色农副产品进机关、进学校、进医院、进金融机构等活动。进一步发挥行业协会、商会、慈善机构等社会组织作用，组织动员爱心企业、爱心人士等积极参与消费帮扶。</w:t>
      </w:r>
      <w:r>
        <w:rPr>
          <w:rFonts w:hint="eastAsia"/>
          <w:color w:val="000000"/>
          <w:highlight w:val="none"/>
        </w:rPr>
        <w:t>强化预警妥善应对农副产品滞销，建立完善农副产品滞销监测预警机制，探索建立多方联动应急处置机制和方式，持续开展消费帮扶行动。</w:t>
      </w:r>
    </w:p>
    <w:p w14:paraId="087EF8FD">
      <w:pPr>
        <w:ind w:firstLine="643"/>
        <w:rPr>
          <w:bCs w:val="0"/>
          <w:color w:val="000000"/>
          <w:highlight w:val="none"/>
        </w:rPr>
      </w:pPr>
      <w:r>
        <w:rPr>
          <w:rFonts w:hint="eastAsia"/>
          <w:b/>
          <w:color w:val="000000"/>
          <w:highlight w:val="none"/>
        </w:rPr>
        <w:t>拓宽消费帮扶渠道</w:t>
      </w:r>
      <w:r>
        <w:rPr>
          <w:rFonts w:hint="eastAsia"/>
          <w:bCs w:val="0"/>
          <w:color w:val="000000"/>
          <w:highlight w:val="none"/>
        </w:rPr>
        <w:t>。利用市场力量，做好消费帮扶专柜、专区和专馆等帮扶平台的相关建设工作。强化农商对接互联，鼓励搭建线上线下融合的产销对接平台，支持农产品流通企业与新型农业经营主体构建紧密稳定的产销衔接机制。深入实施“数商兴农”行动，实施“互联网+”农产品出村进城工程，助力乡村振兴和消费升级，培育具有万盛特色的农村电商主导产业和电商品牌。积极发展农产品社交电商、直播电商，加强线上培训和线下指导，利用淘宝、抖音、快手、微万盛等平台，全力培养帮助脱贫户提高产品销量的“带货达人”队伍，打造网货生产基地和产地直播基地。持续高水平高质量举办万盛经开区消费（电商）帮扶公益展会、农民丰收节等各类帮扶活动。推动各农业生产主体积极参加农博会、农贸会、展销会等全国性商贸展销交流合作活动。</w:t>
      </w:r>
    </w:p>
    <w:p w14:paraId="07CBEEAA">
      <w:pPr>
        <w:ind w:firstLine="643"/>
        <w:rPr>
          <w:bCs w:val="0"/>
          <w:color w:val="000000"/>
          <w:highlight w:val="none"/>
        </w:rPr>
      </w:pPr>
      <w:r>
        <w:rPr>
          <w:rFonts w:hint="eastAsia"/>
          <w:b/>
          <w:color w:val="000000"/>
          <w:highlight w:val="none"/>
        </w:rPr>
        <w:t>做响消费帮扶市场品牌</w:t>
      </w:r>
      <w:r>
        <w:rPr>
          <w:rFonts w:hint="eastAsia"/>
          <w:bCs w:val="0"/>
          <w:color w:val="000000"/>
          <w:highlight w:val="none"/>
        </w:rPr>
        <w:t>。加大产品开发力度，做响消费帮扶产品品牌。严控产品质量关，建立完善帮扶产品质量溯源体系，确保帮扶产品质量“过硬”。严守品牌开发关，保护利用“黑山谷”系列地理标志品牌并全力推向全市，鼓励、引导帮扶产品生产经营主体开展农产品品质品牌认定和绿色、有机、地理标志认定。加强帮扶产品监管，树立品牌良好社会形象。</w:t>
      </w:r>
    </w:p>
    <w:tbl>
      <w:tblPr>
        <w:tblStyle w:val="2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60BF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vAlign w:val="top"/>
          </w:tcPr>
          <w:p w14:paraId="766B28D4">
            <w:pPr>
              <w:spacing w:line="440" w:lineRule="exact"/>
              <w:ind w:firstLine="0" w:firstLineChars="0"/>
              <w:jc w:val="center"/>
              <w:rPr>
                <w:bCs w:val="0"/>
                <w:color w:val="000000"/>
                <w:kern w:val="0"/>
                <w:sz w:val="28"/>
                <w:szCs w:val="28"/>
                <w:highlight w:val="none"/>
              </w:rPr>
            </w:pPr>
            <w:r>
              <w:rPr>
                <w:rFonts w:hint="eastAsia"/>
                <w:bCs w:val="0"/>
                <w:color w:val="000000"/>
                <w:kern w:val="0"/>
                <w:sz w:val="28"/>
                <w:szCs w:val="28"/>
                <w:highlight w:val="none"/>
              </w:rPr>
              <w:t>专栏</w:t>
            </w:r>
            <w:r>
              <w:rPr>
                <w:bCs w:val="0"/>
                <w:color w:val="000000"/>
                <w:kern w:val="0"/>
                <w:sz w:val="28"/>
                <w:szCs w:val="28"/>
                <w:highlight w:val="none"/>
              </w:rPr>
              <w:t xml:space="preserve">4  </w:t>
            </w:r>
            <w:r>
              <w:rPr>
                <w:rFonts w:hint="eastAsia"/>
                <w:bCs w:val="0"/>
                <w:color w:val="000000"/>
                <w:kern w:val="0"/>
                <w:sz w:val="28"/>
                <w:szCs w:val="28"/>
                <w:highlight w:val="none"/>
              </w:rPr>
              <w:t>特色产业发展重点项目</w:t>
            </w:r>
          </w:p>
        </w:tc>
      </w:tr>
      <w:tr w14:paraId="7DBA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vAlign w:val="top"/>
          </w:tcPr>
          <w:p w14:paraId="14F26965">
            <w:pPr>
              <w:spacing w:line="440" w:lineRule="exact"/>
              <w:ind w:firstLine="562"/>
              <w:rPr>
                <w:bCs w:val="0"/>
                <w:color w:val="000000"/>
                <w:kern w:val="0"/>
                <w:sz w:val="28"/>
                <w:szCs w:val="28"/>
                <w:highlight w:val="none"/>
              </w:rPr>
            </w:pPr>
            <w:r>
              <w:rPr>
                <w:rFonts w:hint="eastAsia"/>
                <w:b/>
                <w:color w:val="000000"/>
                <w:kern w:val="0"/>
                <w:sz w:val="28"/>
                <w:szCs w:val="28"/>
                <w:highlight w:val="none"/>
              </w:rPr>
              <w:t>产业融合发展工程</w:t>
            </w:r>
            <w:r>
              <w:rPr>
                <w:rFonts w:hint="eastAsia"/>
                <w:bCs w:val="0"/>
                <w:color w:val="000000"/>
                <w:kern w:val="0"/>
                <w:sz w:val="28"/>
                <w:szCs w:val="28"/>
                <w:highlight w:val="none"/>
              </w:rPr>
              <w:t>：推动丛林镇、黑山镇、青年镇农旅融合聚集发展示范区建设，积极创建丛林食用菌市级现代农业产业园，推动农业科技园区、星创天地、产业融合发展示范园等产业发展平台建设。</w:t>
            </w:r>
          </w:p>
          <w:p w14:paraId="05809D09">
            <w:pPr>
              <w:spacing w:line="440" w:lineRule="exact"/>
              <w:ind w:firstLine="562"/>
              <w:rPr>
                <w:bCs w:val="0"/>
                <w:color w:val="000000"/>
                <w:kern w:val="0"/>
                <w:sz w:val="28"/>
                <w:szCs w:val="28"/>
                <w:highlight w:val="none"/>
              </w:rPr>
            </w:pPr>
            <w:r>
              <w:rPr>
                <w:rFonts w:hint="eastAsia"/>
                <w:b/>
                <w:color w:val="000000"/>
                <w:kern w:val="0"/>
                <w:sz w:val="28"/>
                <w:szCs w:val="28"/>
                <w:highlight w:val="none"/>
              </w:rPr>
              <w:t>农产品加工工程</w:t>
            </w:r>
            <w:r>
              <w:rPr>
                <w:rFonts w:hint="eastAsia"/>
                <w:bCs w:val="0"/>
                <w:color w:val="000000"/>
                <w:kern w:val="0"/>
                <w:sz w:val="28"/>
                <w:szCs w:val="28"/>
                <w:highlight w:val="none"/>
              </w:rPr>
              <w:t>：支持家庭农场、专业合作社等经营主体发展农产品初加工，鼓励华绿公司、多普泰制药、六丰农业等企业通过数字技术提档升级农产品精深加工，建立农产品加工园区，促进农产品加工企业基地式、集群式发展。</w:t>
            </w:r>
          </w:p>
          <w:p w14:paraId="5764246B">
            <w:pPr>
              <w:spacing w:line="440" w:lineRule="exact"/>
              <w:ind w:firstLine="562"/>
              <w:rPr>
                <w:bCs w:val="0"/>
                <w:color w:val="000000"/>
                <w:kern w:val="0"/>
                <w:sz w:val="28"/>
                <w:szCs w:val="28"/>
                <w:highlight w:val="none"/>
              </w:rPr>
            </w:pPr>
            <w:r>
              <w:rPr>
                <w:rFonts w:hint="eastAsia"/>
                <w:b/>
                <w:color w:val="000000"/>
                <w:kern w:val="0"/>
                <w:sz w:val="28"/>
                <w:szCs w:val="28"/>
                <w:highlight w:val="none"/>
              </w:rPr>
              <w:t>产业物流网络体系建设工程</w:t>
            </w:r>
            <w:r>
              <w:rPr>
                <w:rFonts w:hint="eastAsia"/>
                <w:bCs w:val="0"/>
                <w:color w:val="000000"/>
                <w:kern w:val="0"/>
                <w:sz w:val="28"/>
                <w:szCs w:val="28"/>
                <w:highlight w:val="none"/>
              </w:rPr>
              <w:t>：加快完善农村物流网络体系，积极谋划在大规模特殊农产品生产基地建设具有农产品收集、预冷、加工、冷藏、配送和逆向物流等功能的农产品集配中心，完善镇级仓储物流基地、冷库、村级仓储保鲜设施等。</w:t>
            </w:r>
          </w:p>
          <w:p w14:paraId="29FF0378">
            <w:pPr>
              <w:spacing w:line="440" w:lineRule="exact"/>
              <w:ind w:firstLine="562"/>
              <w:rPr>
                <w:bCs w:val="0"/>
                <w:color w:val="000000"/>
                <w:kern w:val="0"/>
                <w:sz w:val="28"/>
                <w:szCs w:val="28"/>
                <w:highlight w:val="none"/>
              </w:rPr>
            </w:pPr>
            <w:r>
              <w:rPr>
                <w:rFonts w:hint="eastAsia"/>
                <w:b/>
                <w:color w:val="000000"/>
                <w:kern w:val="0"/>
                <w:sz w:val="28"/>
                <w:szCs w:val="28"/>
                <w:highlight w:val="none"/>
              </w:rPr>
              <w:t>农村电商建设工程</w:t>
            </w:r>
            <w:r>
              <w:rPr>
                <w:rFonts w:hint="eastAsia"/>
                <w:bCs w:val="0"/>
                <w:color w:val="000000"/>
                <w:kern w:val="0"/>
                <w:sz w:val="28"/>
                <w:szCs w:val="28"/>
                <w:highlight w:val="none"/>
              </w:rPr>
              <w:t>：积极开展“互联网+”农产品出村进城工程试点，构建食用菌、猕猴桃、茶叶、竹笋等优质特色农产品电商供应链，积极扶持农业龙头企业和专业运营公司开展网销农产品开发。</w:t>
            </w:r>
          </w:p>
        </w:tc>
      </w:tr>
    </w:tbl>
    <w:p w14:paraId="640E144E">
      <w:pPr>
        <w:pStyle w:val="2"/>
        <w:spacing w:before="312" w:after="312"/>
        <w:rPr>
          <w:color w:val="000000"/>
          <w:highlight w:val="none"/>
        </w:rPr>
      </w:pPr>
      <w:bookmarkStart w:id="58" w:name="_Toc76313163"/>
      <w:bookmarkStart w:id="59" w:name="_Toc98403175"/>
      <w:r>
        <w:rPr>
          <w:color w:val="000000"/>
          <w:highlight w:val="none"/>
        </w:rPr>
        <w:t>第七章</w:t>
      </w:r>
      <w:r>
        <w:rPr>
          <w:rFonts w:hint="eastAsia"/>
          <w:color w:val="000000"/>
          <w:highlight w:val="none"/>
        </w:rPr>
        <w:t xml:space="preserve"> </w:t>
      </w:r>
      <w:r>
        <w:rPr>
          <w:color w:val="000000"/>
          <w:highlight w:val="none"/>
        </w:rPr>
        <w:t xml:space="preserve"> 促进脱贫人口稳定就业</w:t>
      </w:r>
      <w:bookmarkEnd w:id="58"/>
      <w:bookmarkEnd w:id="59"/>
    </w:p>
    <w:p w14:paraId="1D809F0F">
      <w:pPr>
        <w:ind w:firstLine="640"/>
        <w:rPr>
          <w:color w:val="000000"/>
          <w:highlight w:val="none"/>
        </w:rPr>
      </w:pPr>
      <w:bookmarkStart w:id="60" w:name="_Toc76313164"/>
      <w:r>
        <w:rPr>
          <w:rFonts w:hint="eastAsia"/>
          <w:color w:val="000000"/>
          <w:highlight w:val="none"/>
        </w:rPr>
        <w:t>坚持多措并举、应就尽就原则，不断优化就业服务、拓宽就业渠道、增强就业技能，千方百计帮助脱贫人口实现就业，帮助已就业人员稳定就业，切实增强脱贫稳定性。</w:t>
      </w:r>
    </w:p>
    <w:p w14:paraId="658546F0">
      <w:pPr>
        <w:pStyle w:val="3"/>
        <w:spacing w:before="156" w:after="156"/>
        <w:rPr>
          <w:color w:val="000000"/>
          <w:highlight w:val="none"/>
        </w:rPr>
      </w:pPr>
      <w:bookmarkStart w:id="61" w:name="_Toc98403176"/>
      <w:r>
        <w:rPr>
          <w:color w:val="000000"/>
          <w:highlight w:val="none"/>
        </w:rPr>
        <w:t>第一节  完善就业监测和服务体系</w:t>
      </w:r>
      <w:bookmarkEnd w:id="60"/>
      <w:bookmarkEnd w:id="61"/>
    </w:p>
    <w:p w14:paraId="0387CB34">
      <w:pPr>
        <w:ind w:firstLine="643"/>
        <w:rPr>
          <w:bCs w:val="0"/>
          <w:color w:val="000000"/>
          <w:highlight w:val="none"/>
        </w:rPr>
      </w:pPr>
      <w:r>
        <w:rPr>
          <w:rFonts w:hint="eastAsia"/>
          <w:b/>
          <w:color w:val="000000"/>
          <w:highlight w:val="none"/>
        </w:rPr>
        <w:t>完善就业动态监测</w:t>
      </w:r>
      <w:r>
        <w:rPr>
          <w:rFonts w:hint="eastAsia"/>
          <w:bCs w:val="0"/>
          <w:color w:val="000000"/>
          <w:highlight w:val="none"/>
        </w:rPr>
        <w:t>。依托全国防返贫监测信息系统，对脱贫人口、易返贫致贫人口等重点人群就业状态实施分类动态监测。推进“实名制”动态就业信息系统建设，建立已就业脱贫人口跟踪随访机制，加强大数据分析和共享，完善基层主动发现预警机制，对就业转失业的人群及时提供职业指导、职业介绍等服务，将符合条件的脱贫人口纳入就业援助对象范围。</w:t>
      </w:r>
    </w:p>
    <w:p w14:paraId="249F8107">
      <w:pPr>
        <w:ind w:firstLine="643"/>
        <w:rPr>
          <w:bCs w:val="0"/>
          <w:color w:val="000000"/>
          <w:highlight w:val="none"/>
        </w:rPr>
      </w:pPr>
      <w:r>
        <w:rPr>
          <w:rFonts w:hint="eastAsia"/>
          <w:b/>
          <w:color w:val="000000"/>
          <w:highlight w:val="none"/>
        </w:rPr>
        <w:t>优化提升就业服务</w:t>
      </w:r>
      <w:r>
        <w:rPr>
          <w:rFonts w:hint="eastAsia"/>
          <w:bCs w:val="0"/>
          <w:color w:val="000000"/>
          <w:highlight w:val="none"/>
        </w:rPr>
        <w:t>。推进公共就业服务向乡村延伸，将公共就业服务纳入政府购买服务指导性目录，支持经营性人力资源服务机构、社会组织提供专业化服务，引导形成定期入村宣传招工政策、送上优质岗位、了解就业意愿的服务机制。扩大失业保险保障范围，指导企业与脱贫人口依法签订并履行劳动合同、参加社会保险、按时足额发放劳动报酬，积极改善劳动条件。按规定落实该类企业社会保险补贴、培训补贴、创业担保贷款及贴息等政策。</w:t>
      </w:r>
    </w:p>
    <w:p w14:paraId="79F85AE2">
      <w:pPr>
        <w:pStyle w:val="3"/>
        <w:spacing w:before="156" w:after="156"/>
        <w:rPr>
          <w:color w:val="000000"/>
          <w:highlight w:val="none"/>
        </w:rPr>
      </w:pPr>
      <w:bookmarkStart w:id="62" w:name="_Toc76313165"/>
      <w:bookmarkStart w:id="63" w:name="_Toc98403177"/>
      <w:r>
        <w:rPr>
          <w:color w:val="000000"/>
          <w:highlight w:val="none"/>
        </w:rPr>
        <w:t>第二节</w:t>
      </w:r>
      <w:r>
        <w:rPr>
          <w:rFonts w:hint="eastAsia"/>
          <w:color w:val="000000"/>
          <w:highlight w:val="none"/>
        </w:rPr>
        <w:t xml:space="preserve"> </w:t>
      </w:r>
      <w:r>
        <w:rPr>
          <w:color w:val="000000"/>
          <w:highlight w:val="none"/>
        </w:rPr>
        <w:t xml:space="preserve"> 提升职业技能水平</w:t>
      </w:r>
      <w:bookmarkEnd w:id="62"/>
      <w:bookmarkEnd w:id="63"/>
    </w:p>
    <w:p w14:paraId="5925DF2B">
      <w:pPr>
        <w:ind w:firstLine="643"/>
        <w:rPr>
          <w:color w:val="000000"/>
          <w:highlight w:val="none"/>
        </w:rPr>
      </w:pPr>
      <w:bookmarkStart w:id="64" w:name="_Toc76313166"/>
      <w:r>
        <w:rPr>
          <w:rFonts w:hint="eastAsia"/>
          <w:b/>
          <w:bCs w:val="0"/>
          <w:color w:val="000000"/>
          <w:highlight w:val="none"/>
        </w:rPr>
        <w:t>加强职业技能培训</w:t>
      </w:r>
      <w:r>
        <w:rPr>
          <w:rFonts w:hint="eastAsia"/>
          <w:color w:val="000000"/>
          <w:highlight w:val="none"/>
        </w:rPr>
        <w:t>。加快构建“政府主导+专门机构+多方资源+市场主体”的脱贫人口培训体系，结合农村劳动力就业意愿，对乡村工匠、返乡创业等重点群体开展系列专项技能培训。创新订单式组织、菜单式教学、工单式就业等培训模式。继续实施“雨露计划”，扩大脱贫家庭“两后生”技工院校招生和职业培训规模，提升全区农村转移就业劳动者就业创业技能。积极开展线上线下实训模式建设。持续举办乡村振兴技能大赛，积极参加市级乡村振兴技能大赛、巩固拓展脱贫攻坚成果就业技能培训成果大赛，打造一批靠技能就业、靠就业致富的先进典型，激发劳动致富内生动力。</w:t>
      </w:r>
    </w:p>
    <w:p w14:paraId="4907E3AC">
      <w:pPr>
        <w:ind w:firstLine="643"/>
        <w:rPr>
          <w:color w:val="000000"/>
          <w:highlight w:val="none"/>
        </w:rPr>
      </w:pPr>
      <w:r>
        <w:rPr>
          <w:rFonts w:hint="eastAsia"/>
          <w:b/>
          <w:bCs w:val="0"/>
          <w:color w:val="000000"/>
          <w:highlight w:val="none"/>
        </w:rPr>
        <w:t>加强高素质农民培养</w:t>
      </w:r>
      <w:r>
        <w:rPr>
          <w:rFonts w:hint="eastAsia"/>
          <w:color w:val="000000"/>
          <w:highlight w:val="none"/>
        </w:rPr>
        <w:t>。深入实施现代农民培育计划，重点培育适度规模经营农民，分层分类开展全产业链培训，培养有文化、懂技术、善经营、会管理的高素质农民队伍。加强训后技术指导和跟踪服务，支持高素质农民创办领办新型农业经营主体。深入实施家庭农场经营者、农民合作社提升行动，培育一批具有农副产品流通、农业技术推广等综合技能的农村经纪人。充分利用现有网络教育资源，加强农民在线教育培训。</w:t>
      </w:r>
    </w:p>
    <w:p w14:paraId="3597329A">
      <w:pPr>
        <w:pStyle w:val="3"/>
        <w:spacing w:before="156" w:after="156"/>
        <w:rPr>
          <w:color w:val="000000"/>
          <w:highlight w:val="none"/>
        </w:rPr>
      </w:pPr>
      <w:bookmarkStart w:id="65" w:name="_Toc98403178"/>
      <w:r>
        <w:rPr>
          <w:color w:val="000000"/>
          <w:highlight w:val="none"/>
        </w:rPr>
        <w:t>第三节  拓宽就业渠道</w:t>
      </w:r>
      <w:bookmarkEnd w:id="64"/>
      <w:bookmarkEnd w:id="65"/>
    </w:p>
    <w:p w14:paraId="4FF9F7E4">
      <w:pPr>
        <w:ind w:firstLine="640"/>
        <w:rPr>
          <w:color w:val="000000"/>
          <w:highlight w:val="none"/>
        </w:rPr>
      </w:pPr>
      <w:bookmarkStart w:id="66" w:name="_Toc76313167"/>
      <w:r>
        <w:rPr>
          <w:rFonts w:hint="eastAsia"/>
          <w:color w:val="000000"/>
          <w:highlight w:val="none"/>
        </w:rPr>
        <w:t>支持就地就近就业，发展壮大乡村特色产业，增加家庭农场、农民专业合作社等就业岗位。支持新建、改扩建、优化整改一批就业帮扶车间，延续各类费用减免及优惠政策，鼓励打造集工作车间、公共就业服务中心、公共活动场所等功能为一体的综合性服务平台。鼓励脱贫人口返乡入乡创业，加强星创天地、充分就业村（社区）等平台载体建设。扶持多渠道灵活就业，鼓励发展“小店经济”，支持脱贫人口通过非全日制、新就业形态等多种形式灵活就业。积极利用老黑山传统棕编编织技艺、书画装裱传统技艺、溱溪河竹艺家具传统制作技艺等乡村传统工艺，建设一批特色鲜明、带动就业作用明显的非遗就业工坊，引导脱贫人口居家从事传统手工艺制作。加大乡村公益性岗位统筹使用力度，保持乡村公益性岗位规模总体稳定，优先安置符合条件的脱贫人口特别是弱劳力、半劳力就业。落实好吸纳脱贫人口就业企业的稳岗、培训等补贴政策。</w:t>
      </w:r>
    </w:p>
    <w:p w14:paraId="2E0BDA47">
      <w:pPr>
        <w:pStyle w:val="3"/>
        <w:spacing w:before="156" w:after="156"/>
        <w:rPr>
          <w:color w:val="000000"/>
          <w:highlight w:val="none"/>
        </w:rPr>
      </w:pPr>
      <w:bookmarkStart w:id="67" w:name="_Toc98403179"/>
      <w:r>
        <w:rPr>
          <w:color w:val="000000"/>
          <w:highlight w:val="none"/>
        </w:rPr>
        <w:t xml:space="preserve">第四节  </w:t>
      </w:r>
      <w:r>
        <w:rPr>
          <w:rFonts w:hint="eastAsia"/>
          <w:color w:val="000000"/>
          <w:highlight w:val="none"/>
        </w:rPr>
        <w:t>深入</w:t>
      </w:r>
      <w:r>
        <w:rPr>
          <w:color w:val="000000"/>
          <w:highlight w:val="none"/>
        </w:rPr>
        <w:t>推广以工代赈方式</w:t>
      </w:r>
      <w:bookmarkEnd w:id="66"/>
      <w:bookmarkEnd w:id="67"/>
    </w:p>
    <w:p w14:paraId="0640AF06">
      <w:pPr>
        <w:ind w:firstLine="640"/>
        <w:rPr>
          <w:color w:val="000000"/>
          <w:highlight w:val="none"/>
        </w:rPr>
      </w:pPr>
      <w:bookmarkStart w:id="68" w:name="_Toc76313168"/>
      <w:r>
        <w:rPr>
          <w:rFonts w:hint="eastAsia"/>
          <w:color w:val="000000"/>
          <w:highlight w:val="none"/>
        </w:rPr>
        <w:t>围绕农业生产生活、交通、水利、文化旅游和林业等基础设施建设领域，以投资规模小、技术门槛低、前期工作简单、务工技能要求不高的农业基础设施项目为重点，积极推广以工代赈方式，优先安排脱贫人口从事相关工作。在项目谋划、规划编制、资金安排、工程实施中，以工代赈作为一种重要方式统筹考虑，认真做好务工组织、报酬发放和技能培训等工作。鼓励引导项目实施单位按照就地就近的原则，优先吸纳易返贫致贫户、其他农村低收入群体参与工程建设，在确保工程质量和项目进度的前提下，尽量动员当地农村劳动力参与，最大可能提供更多就业岗位。</w:t>
      </w:r>
    </w:p>
    <w:tbl>
      <w:tblPr>
        <w:tblStyle w:val="2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680C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vAlign w:val="top"/>
          </w:tcPr>
          <w:p w14:paraId="625D54D0">
            <w:pPr>
              <w:spacing w:line="440" w:lineRule="exact"/>
              <w:ind w:firstLine="0" w:firstLineChars="0"/>
              <w:jc w:val="center"/>
              <w:rPr>
                <w:color w:val="000000"/>
                <w:kern w:val="0"/>
                <w:sz w:val="28"/>
                <w:szCs w:val="28"/>
                <w:highlight w:val="none"/>
              </w:rPr>
            </w:pPr>
            <w:r>
              <w:rPr>
                <w:color w:val="000000"/>
                <w:kern w:val="0"/>
                <w:sz w:val="28"/>
                <w:szCs w:val="28"/>
                <w:highlight w:val="none"/>
              </w:rPr>
              <w:t xml:space="preserve">专栏5  </w:t>
            </w:r>
            <w:r>
              <w:rPr>
                <w:rFonts w:hint="eastAsia"/>
                <w:color w:val="000000"/>
                <w:kern w:val="0"/>
                <w:sz w:val="28"/>
                <w:szCs w:val="28"/>
                <w:highlight w:val="none"/>
              </w:rPr>
              <w:t>脱贫人口稳定就业重点项目</w:t>
            </w:r>
          </w:p>
        </w:tc>
      </w:tr>
      <w:tr w14:paraId="5B63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vAlign w:val="top"/>
          </w:tcPr>
          <w:p w14:paraId="59DCF9D5">
            <w:pPr>
              <w:spacing w:line="440" w:lineRule="exact"/>
              <w:ind w:firstLine="562"/>
              <w:rPr>
                <w:color w:val="FF0000"/>
                <w:kern w:val="0"/>
                <w:sz w:val="28"/>
                <w:szCs w:val="28"/>
                <w:highlight w:val="none"/>
                <w:u w:val="single"/>
              </w:rPr>
            </w:pPr>
            <w:r>
              <w:rPr>
                <w:rFonts w:hint="eastAsia"/>
                <w:b/>
                <w:bCs w:val="0"/>
                <w:color w:val="000000"/>
                <w:kern w:val="0"/>
                <w:sz w:val="28"/>
                <w:szCs w:val="28"/>
                <w:highlight w:val="none"/>
              </w:rPr>
              <w:t>重点群体专项技能培训工程</w:t>
            </w:r>
            <w:r>
              <w:rPr>
                <w:rFonts w:hint="eastAsia"/>
                <w:color w:val="000000"/>
                <w:kern w:val="0"/>
                <w:sz w:val="28"/>
                <w:szCs w:val="28"/>
                <w:highlight w:val="none"/>
              </w:rPr>
              <w:t>：针对乡村工匠、返乡创业等重点群体的需求，组织开展专项技能培训等。</w:t>
            </w:r>
          </w:p>
          <w:p w14:paraId="7B7372E2">
            <w:pPr>
              <w:spacing w:line="440" w:lineRule="exact"/>
              <w:ind w:firstLine="562"/>
              <w:rPr>
                <w:color w:val="000000"/>
                <w:kern w:val="0"/>
                <w:sz w:val="28"/>
                <w:szCs w:val="28"/>
                <w:highlight w:val="none"/>
              </w:rPr>
            </w:pPr>
            <w:r>
              <w:rPr>
                <w:rFonts w:hint="eastAsia"/>
                <w:b/>
                <w:bCs w:val="0"/>
                <w:color w:val="000000"/>
                <w:kern w:val="0"/>
                <w:sz w:val="28"/>
                <w:szCs w:val="28"/>
                <w:highlight w:val="none"/>
              </w:rPr>
              <w:t>高素质农民培育工程</w:t>
            </w:r>
            <w:r>
              <w:rPr>
                <w:rFonts w:hint="eastAsia"/>
                <w:color w:val="000000"/>
                <w:kern w:val="0"/>
                <w:sz w:val="28"/>
                <w:szCs w:val="28"/>
                <w:highlight w:val="none"/>
              </w:rPr>
              <w:t>：实施新型农业经营主体带头人轮训计划、现代青年农（林）场主培养计划、农村实用人才带头人培训计划和农村致富带头人培养行动，加快建立一支高素质农民队伍。</w:t>
            </w:r>
          </w:p>
          <w:p w14:paraId="7DF17354">
            <w:pPr>
              <w:spacing w:line="440" w:lineRule="exact"/>
              <w:ind w:firstLine="562"/>
              <w:rPr>
                <w:color w:val="000000"/>
                <w:kern w:val="0"/>
                <w:sz w:val="28"/>
                <w:szCs w:val="28"/>
                <w:highlight w:val="none"/>
              </w:rPr>
            </w:pPr>
            <w:r>
              <w:rPr>
                <w:rFonts w:hint="eastAsia"/>
                <w:b/>
                <w:bCs w:val="0"/>
                <w:color w:val="000000"/>
                <w:kern w:val="0"/>
                <w:sz w:val="28"/>
                <w:szCs w:val="28"/>
                <w:highlight w:val="none"/>
              </w:rPr>
              <w:t>就业帮扶车间建设工程</w:t>
            </w:r>
            <w:r>
              <w:rPr>
                <w:rFonts w:hint="eastAsia"/>
                <w:color w:val="000000"/>
                <w:kern w:val="0"/>
                <w:sz w:val="28"/>
                <w:szCs w:val="28"/>
                <w:highlight w:val="none"/>
              </w:rPr>
              <w:t>：推进就业帮扶车间建设，鼓励当地生产企业申办就业帮扶车间，加强就业帮扶车间规范化管理和信息化建设。对经营不佳、管理不善、吸纳就业不达标的原扶贫车间及时整改清理，推动转化为符合标准的就业帮扶车间。</w:t>
            </w:r>
          </w:p>
          <w:p w14:paraId="0E78CD1A">
            <w:pPr>
              <w:spacing w:line="440" w:lineRule="exact"/>
              <w:ind w:firstLine="562"/>
              <w:rPr>
                <w:color w:val="000000"/>
                <w:kern w:val="0"/>
                <w:sz w:val="28"/>
                <w:szCs w:val="28"/>
                <w:highlight w:val="none"/>
              </w:rPr>
            </w:pPr>
            <w:r>
              <w:rPr>
                <w:rFonts w:hint="eastAsia"/>
                <w:b/>
                <w:bCs w:val="0"/>
                <w:color w:val="000000"/>
                <w:kern w:val="0"/>
                <w:sz w:val="28"/>
                <w:szCs w:val="28"/>
                <w:highlight w:val="none"/>
              </w:rPr>
              <w:t>公益性岗位建设工程</w:t>
            </w:r>
            <w:r>
              <w:rPr>
                <w:rFonts w:hint="eastAsia"/>
                <w:color w:val="000000"/>
                <w:kern w:val="0"/>
                <w:sz w:val="28"/>
                <w:szCs w:val="28"/>
                <w:highlight w:val="none"/>
              </w:rPr>
              <w:t>：加大公益性岗位资金保障，积极开发和拓宽保洁员、生态护林员、湿地管护员、巡河员、巡湖员等多类公益性岗位。规范乡村公益性岗位开发管理，健全“按需设岗、以岗聘任、在岗领补、有序退岗”管理机制。对乡村公益性岗位安置人员按规定给予岗位补贴，对具备条件的购买意外伤害商业保险，依法签订劳动合同或劳务协议。</w:t>
            </w:r>
          </w:p>
          <w:p w14:paraId="5E2E6932">
            <w:pPr>
              <w:spacing w:line="440" w:lineRule="exact"/>
              <w:ind w:firstLine="562"/>
              <w:rPr>
                <w:color w:val="000000"/>
                <w:kern w:val="0"/>
                <w:sz w:val="28"/>
                <w:szCs w:val="28"/>
                <w:highlight w:val="none"/>
              </w:rPr>
            </w:pPr>
            <w:r>
              <w:rPr>
                <w:rFonts w:hint="eastAsia"/>
                <w:b/>
                <w:bCs w:val="0"/>
                <w:color w:val="000000"/>
                <w:kern w:val="0"/>
                <w:sz w:val="28"/>
                <w:szCs w:val="28"/>
                <w:highlight w:val="none"/>
              </w:rPr>
              <w:t>以工代赈建设工程</w:t>
            </w:r>
            <w:r>
              <w:rPr>
                <w:rFonts w:hint="eastAsia"/>
                <w:color w:val="000000"/>
                <w:kern w:val="0"/>
                <w:sz w:val="28"/>
                <w:szCs w:val="28"/>
                <w:highlight w:val="none"/>
              </w:rPr>
              <w:t>：积极推进以工代赈工程建设，吸引农村劳动力参与农业生产发展和农村基础设施建设。</w:t>
            </w:r>
          </w:p>
        </w:tc>
      </w:tr>
      <w:bookmarkEnd w:id="68"/>
    </w:tbl>
    <w:p w14:paraId="4347C02A">
      <w:pPr>
        <w:pStyle w:val="2"/>
        <w:spacing w:before="312" w:after="312"/>
        <w:rPr>
          <w:color w:val="000000"/>
          <w:highlight w:val="none"/>
        </w:rPr>
      </w:pPr>
      <w:bookmarkStart w:id="69" w:name="_Toc98403180"/>
      <w:bookmarkStart w:id="70" w:name="_Toc76313173"/>
      <w:r>
        <w:rPr>
          <w:color w:val="000000"/>
          <w:highlight w:val="none"/>
        </w:rPr>
        <w:t>第</w:t>
      </w:r>
      <w:r>
        <w:rPr>
          <w:rFonts w:hint="eastAsia"/>
          <w:color w:val="000000"/>
          <w:highlight w:val="none"/>
        </w:rPr>
        <w:t>八</w:t>
      </w:r>
      <w:r>
        <w:rPr>
          <w:color w:val="000000"/>
          <w:highlight w:val="none"/>
        </w:rPr>
        <w:t>章</w:t>
      </w:r>
      <w:r>
        <w:rPr>
          <w:rFonts w:hint="eastAsia"/>
          <w:color w:val="000000"/>
          <w:highlight w:val="none"/>
        </w:rPr>
        <w:t xml:space="preserve"> </w:t>
      </w:r>
      <w:r>
        <w:rPr>
          <w:color w:val="000000"/>
          <w:highlight w:val="none"/>
        </w:rPr>
        <w:t xml:space="preserve"> </w:t>
      </w:r>
      <w:r>
        <w:rPr>
          <w:rFonts w:hint="eastAsia"/>
          <w:color w:val="000000"/>
          <w:highlight w:val="none"/>
        </w:rPr>
        <w:t>实施乡村建设行动</w:t>
      </w:r>
      <w:bookmarkEnd w:id="69"/>
      <w:bookmarkEnd w:id="70"/>
    </w:p>
    <w:p w14:paraId="17E28831">
      <w:pPr>
        <w:ind w:firstLine="640"/>
        <w:rPr>
          <w:color w:val="000000"/>
          <w:highlight w:val="none"/>
        </w:rPr>
      </w:pPr>
      <w:r>
        <w:rPr>
          <w:rFonts w:hint="eastAsia"/>
          <w:color w:val="000000"/>
          <w:highlight w:val="none"/>
        </w:rPr>
        <w:t>按照因地制宜、统筹推进原则，继续加大农村基础设施建设支持力度，着力提升城乡公共服务水平均等化，持续改善农村人居环境。</w:t>
      </w:r>
    </w:p>
    <w:p w14:paraId="0260C8E5">
      <w:pPr>
        <w:pStyle w:val="3"/>
        <w:spacing w:before="156" w:after="156"/>
        <w:rPr>
          <w:color w:val="000000"/>
          <w:highlight w:val="none"/>
        </w:rPr>
      </w:pPr>
      <w:bookmarkStart w:id="71" w:name="_Toc98403181"/>
      <w:r>
        <w:rPr>
          <w:rFonts w:hint="eastAsia"/>
          <w:color w:val="000000"/>
          <w:highlight w:val="none"/>
        </w:rPr>
        <w:t xml:space="preserve">第一节 </w:t>
      </w:r>
      <w:r>
        <w:rPr>
          <w:color w:val="000000"/>
          <w:highlight w:val="none"/>
        </w:rPr>
        <w:t xml:space="preserve"> </w:t>
      </w:r>
      <w:r>
        <w:rPr>
          <w:rFonts w:hint="eastAsia"/>
          <w:color w:val="000000"/>
          <w:highlight w:val="none"/>
        </w:rPr>
        <w:t>统筹推进乡村规划建设</w:t>
      </w:r>
      <w:bookmarkEnd w:id="71"/>
    </w:p>
    <w:p w14:paraId="6E3FB34E">
      <w:pPr>
        <w:ind w:firstLine="640"/>
        <w:rPr>
          <w:color w:val="000000"/>
          <w:highlight w:val="none"/>
        </w:rPr>
      </w:pPr>
      <w:r>
        <w:rPr>
          <w:rFonts w:hint="eastAsia"/>
          <w:color w:val="000000"/>
          <w:highlight w:val="none"/>
        </w:rPr>
        <w:t>统筹城镇和村庄规划建设，促进区内产业发展、产业发展、基础设施、公共服务、生态保护等统筹规划、整体提升，强化区域综合服务能力建设、镇域带动能力建设。科学布局乡村生产生活生态空间，改善乡村风貌，推进民间文化与时尚元素、时代朝气等现代元素有机融合。注重推进基础设施、公共服务等领域城乡融合发展。</w:t>
      </w:r>
    </w:p>
    <w:p w14:paraId="758B9081">
      <w:pPr>
        <w:pStyle w:val="3"/>
        <w:spacing w:before="156" w:after="156"/>
        <w:rPr>
          <w:color w:val="000000"/>
          <w:highlight w:val="none"/>
        </w:rPr>
      </w:pPr>
      <w:bookmarkStart w:id="72" w:name="_Toc76313174"/>
      <w:bookmarkStart w:id="73" w:name="_Toc98403182"/>
      <w:r>
        <w:rPr>
          <w:color w:val="000000"/>
          <w:highlight w:val="none"/>
        </w:rPr>
        <w:t>第</w:t>
      </w:r>
      <w:r>
        <w:rPr>
          <w:rFonts w:hint="eastAsia"/>
          <w:color w:val="000000"/>
          <w:highlight w:val="none"/>
        </w:rPr>
        <w:t>二</w:t>
      </w:r>
      <w:r>
        <w:rPr>
          <w:color w:val="000000"/>
          <w:highlight w:val="none"/>
        </w:rPr>
        <w:t xml:space="preserve">节  </w:t>
      </w:r>
      <w:r>
        <w:rPr>
          <w:rFonts w:hint="eastAsia"/>
          <w:color w:val="000000"/>
          <w:highlight w:val="none"/>
        </w:rPr>
        <w:t>持续改善农村</w:t>
      </w:r>
      <w:r>
        <w:rPr>
          <w:color w:val="000000"/>
          <w:highlight w:val="none"/>
        </w:rPr>
        <w:t>基础设施</w:t>
      </w:r>
      <w:r>
        <w:rPr>
          <w:rFonts w:hint="eastAsia"/>
          <w:color w:val="000000"/>
          <w:highlight w:val="none"/>
        </w:rPr>
        <w:t>条件</w:t>
      </w:r>
      <w:bookmarkEnd w:id="72"/>
      <w:bookmarkEnd w:id="73"/>
    </w:p>
    <w:p w14:paraId="66FDC7E3">
      <w:pPr>
        <w:ind w:firstLine="643"/>
        <w:rPr>
          <w:color w:val="000000"/>
          <w:highlight w:val="none"/>
        </w:rPr>
      </w:pPr>
      <w:bookmarkStart w:id="74" w:name="_Toc76313175"/>
      <w:r>
        <w:rPr>
          <w:rFonts w:hint="eastAsia"/>
          <w:b/>
          <w:bCs w:val="0"/>
          <w:color w:val="000000"/>
          <w:highlight w:val="none"/>
        </w:rPr>
        <w:t>推进农村交通高质量发展</w:t>
      </w:r>
      <w:r>
        <w:rPr>
          <w:rFonts w:hint="eastAsia"/>
          <w:color w:val="000000"/>
          <w:highlight w:val="none"/>
        </w:rPr>
        <w:t>。提高农村地区外通内联水平，强化农村公路与干线公路、城市道路等的衔接，持续推进农村公路项目建设，着力打通断头路、连接道。加快推进“四好农村路”建设，巩固全国“四好农村路”示范区县创建成果，努力争创市级“四好农村路”示范镇。加快建设一批资源路、旅游路、产业路，提升农村公路引领地方经济发展的能力。扎实推进农村公路“路长制”，强化农村公路的管理养护，确保农村公路建好、管好、护好、运营好。进一步优化农村公交线网，促进农村公交可持续发展。</w:t>
      </w:r>
    </w:p>
    <w:p w14:paraId="457B2687">
      <w:pPr>
        <w:ind w:firstLine="643"/>
        <w:rPr>
          <w:color w:val="000000"/>
          <w:highlight w:val="none"/>
        </w:rPr>
      </w:pPr>
      <w:r>
        <w:rPr>
          <w:rFonts w:hint="eastAsia"/>
          <w:b/>
          <w:bCs w:val="0"/>
          <w:color w:val="000000"/>
          <w:highlight w:val="none"/>
        </w:rPr>
        <w:t>强化农村能源和水利基础设施建设</w:t>
      </w:r>
      <w:r>
        <w:rPr>
          <w:rFonts w:hint="eastAsia"/>
          <w:color w:val="000000"/>
          <w:highlight w:val="none"/>
        </w:rPr>
        <w:t>。做好农村分布式新能源接网服务，引导居民屋顶光伏等分布式电源建设。积极推广农村电气化应用，提升能源利用效率，实施农村电网升级改造，提高农网供电能力和质量，满足农村新型产业发展的用电需求。持续推进天然气进村工程。优化农村能源供给结构，因地制宜开发利用生物质能、太阳能，加大风能开发利用。推广农村绿色节能建筑和农用节能技术、产品。支持中型灌区续建配套与节水改造项目，加强中小型水库、农村防洪等水利工程项目建设。</w:t>
      </w:r>
    </w:p>
    <w:p w14:paraId="41346C26">
      <w:pPr>
        <w:ind w:firstLine="643"/>
        <w:rPr>
          <w:color w:val="000000"/>
          <w:highlight w:val="none"/>
        </w:rPr>
      </w:pPr>
      <w:r>
        <w:rPr>
          <w:rFonts w:hint="eastAsia"/>
          <w:b/>
          <w:bCs w:val="0"/>
          <w:color w:val="000000"/>
          <w:highlight w:val="none"/>
        </w:rPr>
        <w:t>深化农村信息化建设</w:t>
      </w:r>
      <w:r>
        <w:rPr>
          <w:rFonts w:hint="eastAsia"/>
          <w:color w:val="000000"/>
          <w:highlight w:val="none"/>
        </w:rPr>
        <w:t>。加大信息惠民力度，深入实施互联网“进村入户”计划，积极推进光纤宽带网络向自然村延伸，用好网络提速降费政策，基本实现全区镇村互联网全覆盖，巩固拓展提升电子商务进农村全覆盖成果。推进涉农服务信息共享，充分利用水利、气象、农业、林业、畜牧、规划自然资源、商务、民政等诸多部门涉农服务信息，建立政府各职能部门信息资源目录体系。</w:t>
      </w:r>
    </w:p>
    <w:p w14:paraId="3799EE37">
      <w:pPr>
        <w:ind w:firstLine="643"/>
        <w:rPr>
          <w:color w:val="000000"/>
          <w:highlight w:val="none"/>
        </w:rPr>
      </w:pPr>
      <w:r>
        <w:rPr>
          <w:rFonts w:hint="eastAsia"/>
          <w:b/>
          <w:bCs w:val="0"/>
          <w:color w:val="000000"/>
          <w:highlight w:val="none"/>
        </w:rPr>
        <w:t>推动农房和村庄现代化建设</w:t>
      </w:r>
      <w:r>
        <w:rPr>
          <w:rFonts w:hint="eastAsia"/>
          <w:color w:val="000000"/>
          <w:highlight w:val="none"/>
        </w:rPr>
        <w:t>。统筹提升农房居住功能和建筑风貌，改善农村住房条件和居住环境，制定推进农房和村庄建设现代化的具体实施方案，选择有代表性的村庄开展试点，接续推进乡村全面振兴。</w:t>
      </w:r>
    </w:p>
    <w:p w14:paraId="06CDAA0D">
      <w:pPr>
        <w:pStyle w:val="3"/>
        <w:spacing w:before="156" w:after="156"/>
        <w:rPr>
          <w:color w:val="000000"/>
          <w:highlight w:val="none"/>
        </w:rPr>
      </w:pPr>
      <w:bookmarkStart w:id="75" w:name="_Toc98403183"/>
      <w:r>
        <w:rPr>
          <w:color w:val="000000"/>
          <w:highlight w:val="none"/>
        </w:rPr>
        <w:t>第</w:t>
      </w:r>
      <w:r>
        <w:rPr>
          <w:rFonts w:hint="eastAsia"/>
          <w:color w:val="000000"/>
          <w:highlight w:val="none"/>
        </w:rPr>
        <w:t>三</w:t>
      </w:r>
      <w:r>
        <w:rPr>
          <w:color w:val="000000"/>
          <w:highlight w:val="none"/>
        </w:rPr>
        <w:t xml:space="preserve">节  </w:t>
      </w:r>
      <w:r>
        <w:rPr>
          <w:rFonts w:hint="eastAsia"/>
          <w:color w:val="000000"/>
          <w:highlight w:val="none"/>
        </w:rPr>
        <w:t>着力</w:t>
      </w:r>
      <w:r>
        <w:rPr>
          <w:color w:val="000000"/>
          <w:highlight w:val="none"/>
        </w:rPr>
        <w:t>提升</w:t>
      </w:r>
      <w:r>
        <w:rPr>
          <w:rFonts w:hint="eastAsia"/>
          <w:color w:val="000000"/>
          <w:highlight w:val="none"/>
        </w:rPr>
        <w:t>农村</w:t>
      </w:r>
      <w:r>
        <w:rPr>
          <w:color w:val="000000"/>
          <w:highlight w:val="none"/>
        </w:rPr>
        <w:t>公共服务水平</w:t>
      </w:r>
      <w:bookmarkEnd w:id="74"/>
      <w:bookmarkEnd w:id="75"/>
    </w:p>
    <w:p w14:paraId="03FC34D7">
      <w:pPr>
        <w:ind w:firstLine="643"/>
        <w:rPr>
          <w:bCs w:val="0"/>
          <w:color w:val="000000"/>
          <w:highlight w:val="none"/>
        </w:rPr>
      </w:pPr>
      <w:r>
        <w:rPr>
          <w:rFonts w:hint="eastAsia"/>
          <w:b/>
          <w:color w:val="000000"/>
          <w:highlight w:val="none"/>
        </w:rPr>
        <w:t>提升教育服务水平</w:t>
      </w:r>
      <w:r>
        <w:rPr>
          <w:rFonts w:hint="eastAsia"/>
          <w:bCs w:val="0"/>
          <w:color w:val="000000"/>
          <w:highlight w:val="none"/>
        </w:rPr>
        <w:t>。推动城乡义务教育优质均衡发展，科学规划、合理布局农村义务教育学校。持续改善农村义务教育办学条件，加强中小学标准化建设，优化完善乡村寄宿制学校和乡村小规模学校建设，增加寄宿学位，支持农村教师周转宿舍建设，实施集团化办学，逐步缩小城乡教育资源差距。着力加强乡村教师队伍建设，统筹配置城乡师资，推行义务教育教师队伍“区管校聘”改革，多渠道加强音体美和外语教师配备，强化定向培养和精准培训，加强城乡教师合理流动和对口支援。推进农村学校教育信息化建设，让乡村孩子享受城市优质教育资源。</w:t>
      </w:r>
    </w:p>
    <w:p w14:paraId="2CE69133">
      <w:pPr>
        <w:ind w:firstLine="643"/>
        <w:rPr>
          <w:bCs w:val="0"/>
          <w:color w:val="000000"/>
          <w:highlight w:val="none"/>
        </w:rPr>
      </w:pPr>
      <w:r>
        <w:rPr>
          <w:rFonts w:hint="eastAsia"/>
          <w:b/>
          <w:color w:val="000000"/>
          <w:highlight w:val="none"/>
        </w:rPr>
        <w:t>提升医疗服务水平</w:t>
      </w:r>
      <w:r>
        <w:rPr>
          <w:rFonts w:hint="eastAsia"/>
          <w:bCs w:val="0"/>
          <w:color w:val="000000"/>
          <w:highlight w:val="none"/>
        </w:rPr>
        <w:t>。完善医疗卫生服务体系建设，加强医疗卫生机构基础设施建设和设备配备，调整农村医疗卫生资源布局，按照“一村一室”优化村卫生室设置，推进“医通、人通、财通”的医共体建设，与重医附一院等三甲医院建立稳定的帮扶关系，推进基本公共卫生服务均等化。实现镇卫生院中医馆全覆盖。加强基层医疗卫生人才建设，推进乡村医生“镇聘村用”。签约家庭医生的农村低收入人口高血压、糖尿病、结核病和严重精神障碍的规范管理率达到90%，大病专项救治病种达到33种以上。</w:t>
      </w:r>
    </w:p>
    <w:p w14:paraId="544333ED">
      <w:pPr>
        <w:ind w:firstLine="643"/>
        <w:rPr>
          <w:bCs w:val="0"/>
          <w:color w:val="000000"/>
          <w:highlight w:val="none"/>
        </w:rPr>
      </w:pPr>
      <w:r>
        <w:rPr>
          <w:rFonts w:hint="eastAsia"/>
          <w:b/>
          <w:color w:val="000000"/>
          <w:highlight w:val="none"/>
        </w:rPr>
        <w:t>提升综合服务水平</w:t>
      </w:r>
      <w:r>
        <w:rPr>
          <w:rFonts w:hint="eastAsia"/>
          <w:bCs w:val="0"/>
          <w:color w:val="000000"/>
          <w:highlight w:val="none"/>
        </w:rPr>
        <w:t>。指导基层综合文化服务中心建设工程，推动公共文化资源向脱贫镇村倾斜，提档升级一批村级综合服务中心，持续提高农村社区综合服务设施达标率。借助文化中心、青少年活动中心、养老中心等，广泛开展自然灾害、防震减灾等科普宣传和人文宣传。实施文化惠民工程，增加优秀乡村文化产品和服务供给。统筹利用空闲地、边角地等空间资源，以及可复合利用的文化娱乐、养老、教育等其他资源，广泛开展全民健身行动。完善区镇村三级养老服务体系和阵地建设，积极探索农村养老服务设施社会化运营、农村互助养老服务新模式等。</w:t>
      </w:r>
    </w:p>
    <w:p w14:paraId="51E8BBFD">
      <w:pPr>
        <w:pStyle w:val="3"/>
        <w:spacing w:before="156" w:after="156"/>
        <w:rPr>
          <w:color w:val="000000"/>
          <w:highlight w:val="none"/>
        </w:rPr>
      </w:pPr>
      <w:bookmarkStart w:id="76" w:name="_Toc76313176"/>
      <w:bookmarkStart w:id="77" w:name="_Toc98403184"/>
      <w:r>
        <w:rPr>
          <w:rFonts w:hint="eastAsia"/>
          <w:color w:val="000000"/>
          <w:highlight w:val="none"/>
        </w:rPr>
        <w:t xml:space="preserve">第四节 </w:t>
      </w:r>
      <w:r>
        <w:rPr>
          <w:color w:val="000000"/>
          <w:highlight w:val="none"/>
        </w:rPr>
        <w:t xml:space="preserve"> </w:t>
      </w:r>
      <w:r>
        <w:rPr>
          <w:rFonts w:hint="eastAsia"/>
          <w:color w:val="000000"/>
          <w:highlight w:val="none"/>
        </w:rPr>
        <w:t>持续改善农村人居环境条件</w:t>
      </w:r>
      <w:bookmarkEnd w:id="76"/>
      <w:bookmarkEnd w:id="77"/>
    </w:p>
    <w:p w14:paraId="1667D494">
      <w:pPr>
        <w:ind w:firstLine="640"/>
        <w:rPr>
          <w:color w:val="000000"/>
          <w:highlight w:val="none"/>
        </w:rPr>
      </w:pPr>
      <w:bookmarkStart w:id="78" w:name="_Toc76313177"/>
      <w:r>
        <w:rPr>
          <w:rFonts w:hint="eastAsia"/>
          <w:color w:val="000000"/>
          <w:highlight w:val="none"/>
        </w:rPr>
        <w:t>大力实施农村人居环境整治提升五年行动，继续分类、分区域有序推进农村“厕所革命”，引导农村新建住房配套建设卫生厕所，推进人口规模较大村庄、游客聚集公共区域、主要乡村旅游点、主要A级旅游景区配套建设公共厕所。加快城镇污水处理设施和服务向近郊的农村延伸，基本完成常住人口200户或500人以上的农村聚居点污水处理设施建设，深入实施农村黑臭水体治理试点示范。统筹推进农村生活垃圾分类和资源化利用，</w:t>
      </w:r>
      <w:r>
        <w:rPr>
          <w:rFonts w:hint="eastAsia"/>
          <w:highlight w:val="none"/>
        </w:rPr>
        <w:t>行政村生活垃圾有效治理比例提高到100%</w:t>
      </w:r>
      <w:r>
        <w:rPr>
          <w:rFonts w:hint="eastAsia"/>
          <w:color w:val="000000"/>
          <w:highlight w:val="none"/>
        </w:rPr>
        <w:t>。积极推进村庄绿化、美化和亮化，充分利用边角地等开展植树造林等活动，加快村庄公共照明设施建设。深入开展“五清理一活动”专项行动，继续推进“千村宜居”计划，建立健全农村人居环境后续建设和管护长效机制，确保农村人居环境质量持续提升。</w:t>
      </w:r>
    </w:p>
    <w:tbl>
      <w:tblPr>
        <w:tblStyle w:val="2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0E278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vAlign w:val="top"/>
          </w:tcPr>
          <w:p w14:paraId="3434E0E4">
            <w:pPr>
              <w:spacing w:line="440" w:lineRule="exact"/>
              <w:ind w:firstLine="0" w:firstLineChars="0"/>
              <w:jc w:val="center"/>
              <w:rPr>
                <w:color w:val="000000"/>
                <w:kern w:val="0"/>
                <w:sz w:val="28"/>
                <w:szCs w:val="28"/>
                <w:highlight w:val="none"/>
              </w:rPr>
            </w:pPr>
            <w:r>
              <w:rPr>
                <w:color w:val="000000"/>
                <w:kern w:val="0"/>
                <w:sz w:val="28"/>
                <w:szCs w:val="28"/>
                <w:highlight w:val="none"/>
              </w:rPr>
              <w:t xml:space="preserve">专栏6  </w:t>
            </w:r>
            <w:r>
              <w:rPr>
                <w:rFonts w:hint="eastAsia"/>
                <w:color w:val="000000"/>
                <w:kern w:val="0"/>
                <w:sz w:val="28"/>
                <w:szCs w:val="28"/>
                <w:highlight w:val="none"/>
              </w:rPr>
              <w:t>乡村建设行动重点项目</w:t>
            </w:r>
          </w:p>
        </w:tc>
      </w:tr>
      <w:tr w14:paraId="6A36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vAlign w:val="top"/>
          </w:tcPr>
          <w:p w14:paraId="3CD74ECA">
            <w:pPr>
              <w:spacing w:line="440" w:lineRule="exact"/>
              <w:ind w:firstLine="562"/>
              <w:rPr>
                <w:color w:val="000000"/>
                <w:kern w:val="0"/>
                <w:sz w:val="28"/>
                <w:szCs w:val="28"/>
                <w:highlight w:val="none"/>
              </w:rPr>
            </w:pPr>
            <w:r>
              <w:rPr>
                <w:rFonts w:hint="eastAsia"/>
                <w:b/>
                <w:bCs w:val="0"/>
                <w:color w:val="000000"/>
                <w:kern w:val="0"/>
                <w:sz w:val="28"/>
                <w:szCs w:val="28"/>
                <w:highlight w:val="none"/>
              </w:rPr>
              <w:t>交通高质量发展工程</w:t>
            </w:r>
            <w:r>
              <w:rPr>
                <w:rFonts w:hint="eastAsia"/>
                <w:color w:val="000000"/>
                <w:kern w:val="0"/>
                <w:sz w:val="28"/>
                <w:szCs w:val="28"/>
                <w:highlight w:val="none"/>
              </w:rPr>
              <w:t>：实施村民大型聚居区通畅工程1</w:t>
            </w:r>
            <w:r>
              <w:rPr>
                <w:color w:val="000000"/>
                <w:kern w:val="0"/>
                <w:sz w:val="28"/>
                <w:szCs w:val="28"/>
                <w:highlight w:val="none"/>
              </w:rPr>
              <w:t>00</w:t>
            </w:r>
            <w:r>
              <w:rPr>
                <w:rFonts w:hint="eastAsia"/>
                <w:color w:val="000000"/>
                <w:kern w:val="0"/>
                <w:sz w:val="28"/>
                <w:szCs w:val="28"/>
                <w:highlight w:val="none"/>
              </w:rPr>
              <w:t>公里，建设一批农村资源路、产业路、旅游路，实施建制村通“双车道”工程，推进窄路面拓宽工程，强化3</w:t>
            </w:r>
            <w:r>
              <w:rPr>
                <w:color w:val="000000"/>
                <w:kern w:val="0"/>
                <w:sz w:val="28"/>
                <w:szCs w:val="28"/>
                <w:highlight w:val="none"/>
              </w:rPr>
              <w:t>00</w:t>
            </w:r>
            <w:r>
              <w:rPr>
                <w:rFonts w:hint="eastAsia"/>
                <w:color w:val="000000"/>
                <w:kern w:val="0"/>
                <w:sz w:val="28"/>
                <w:szCs w:val="28"/>
                <w:highlight w:val="none"/>
              </w:rPr>
              <w:t>公里农村公路安保设施建设。</w:t>
            </w:r>
          </w:p>
          <w:p w14:paraId="7918DEA2">
            <w:pPr>
              <w:spacing w:line="440" w:lineRule="exact"/>
              <w:ind w:firstLine="562"/>
              <w:rPr>
                <w:color w:val="000000"/>
                <w:kern w:val="0"/>
                <w:sz w:val="28"/>
                <w:szCs w:val="28"/>
                <w:highlight w:val="none"/>
              </w:rPr>
            </w:pPr>
            <w:r>
              <w:rPr>
                <w:rFonts w:hint="eastAsia"/>
                <w:b/>
                <w:bCs w:val="0"/>
                <w:color w:val="000000"/>
                <w:kern w:val="0"/>
                <w:sz w:val="28"/>
                <w:szCs w:val="28"/>
                <w:highlight w:val="none"/>
              </w:rPr>
              <w:t>水利基础设施提升工程</w:t>
            </w:r>
            <w:r>
              <w:rPr>
                <w:rFonts w:hint="eastAsia"/>
                <w:color w:val="000000"/>
                <w:kern w:val="0"/>
                <w:sz w:val="28"/>
                <w:szCs w:val="28"/>
                <w:highlight w:val="none"/>
              </w:rPr>
              <w:t>：继续推进板辽水库扩建、刘家河水库建设，启动天星水库建设，推进农村供水保障建设。</w:t>
            </w:r>
          </w:p>
          <w:p w14:paraId="505F090A">
            <w:pPr>
              <w:spacing w:line="440" w:lineRule="exact"/>
              <w:ind w:firstLine="562"/>
              <w:rPr>
                <w:color w:val="000000"/>
                <w:kern w:val="0"/>
                <w:sz w:val="28"/>
                <w:szCs w:val="28"/>
                <w:highlight w:val="none"/>
              </w:rPr>
            </w:pPr>
            <w:r>
              <w:rPr>
                <w:rFonts w:hint="eastAsia"/>
                <w:b/>
                <w:bCs w:val="0"/>
                <w:color w:val="000000"/>
                <w:kern w:val="0"/>
                <w:sz w:val="28"/>
                <w:szCs w:val="28"/>
                <w:highlight w:val="none"/>
              </w:rPr>
              <w:t>能源基础设施提升工程</w:t>
            </w:r>
            <w:r>
              <w:rPr>
                <w:rFonts w:hint="eastAsia"/>
                <w:color w:val="000000"/>
                <w:kern w:val="0"/>
                <w:sz w:val="28"/>
                <w:szCs w:val="28"/>
                <w:highlight w:val="none"/>
              </w:rPr>
              <w:t>：实施农村电网巩固提升工程，继续推进燃气下乡工程，推进变电站建设，推进加油站建设。</w:t>
            </w:r>
          </w:p>
          <w:p w14:paraId="7FBDB637">
            <w:pPr>
              <w:spacing w:line="440" w:lineRule="exact"/>
              <w:ind w:firstLine="562"/>
              <w:rPr>
                <w:color w:val="000000"/>
                <w:kern w:val="0"/>
                <w:sz w:val="28"/>
                <w:szCs w:val="28"/>
                <w:highlight w:val="none"/>
              </w:rPr>
            </w:pPr>
            <w:r>
              <w:rPr>
                <w:rFonts w:hint="eastAsia"/>
                <w:b/>
                <w:bCs w:val="0"/>
                <w:color w:val="000000"/>
                <w:kern w:val="0"/>
                <w:sz w:val="28"/>
                <w:szCs w:val="28"/>
                <w:highlight w:val="none"/>
              </w:rPr>
              <w:t>信息化水平提升工程</w:t>
            </w:r>
            <w:r>
              <w:rPr>
                <w:rFonts w:hint="eastAsia"/>
                <w:color w:val="000000"/>
                <w:kern w:val="0"/>
                <w:sz w:val="28"/>
                <w:szCs w:val="28"/>
                <w:highlight w:val="none"/>
              </w:rPr>
              <w:t>：深入实施互联网“进村入户”计划，积极推进光纤宽带网络向有条件的自然村延伸，基本实现全区镇村互联网全覆盖。</w:t>
            </w:r>
          </w:p>
          <w:p w14:paraId="66CDAB7C">
            <w:pPr>
              <w:spacing w:line="440" w:lineRule="exact"/>
              <w:ind w:firstLine="562"/>
              <w:rPr>
                <w:color w:val="000000"/>
                <w:kern w:val="0"/>
                <w:sz w:val="28"/>
                <w:szCs w:val="28"/>
                <w:highlight w:val="none"/>
              </w:rPr>
            </w:pPr>
            <w:r>
              <w:rPr>
                <w:rFonts w:hint="eastAsia"/>
                <w:b/>
                <w:bCs w:val="0"/>
                <w:color w:val="000000"/>
                <w:kern w:val="0"/>
                <w:sz w:val="28"/>
                <w:szCs w:val="28"/>
                <w:highlight w:val="none"/>
              </w:rPr>
              <w:t>教育服务提升工程</w:t>
            </w:r>
            <w:r>
              <w:rPr>
                <w:rFonts w:hint="eastAsia"/>
                <w:color w:val="000000"/>
                <w:kern w:val="0"/>
                <w:sz w:val="28"/>
                <w:szCs w:val="28"/>
                <w:highlight w:val="none"/>
              </w:rPr>
              <w:t>：优化乡村寄宿制学校和规模学校建设，推进农村教师周转宿舍改扩建，持续改善乡村学校网络接入条件。</w:t>
            </w:r>
          </w:p>
          <w:p w14:paraId="4EFC4DD6">
            <w:pPr>
              <w:spacing w:line="440" w:lineRule="exact"/>
              <w:ind w:firstLine="562"/>
              <w:rPr>
                <w:color w:val="000000"/>
                <w:kern w:val="0"/>
                <w:sz w:val="28"/>
                <w:szCs w:val="28"/>
                <w:highlight w:val="none"/>
              </w:rPr>
            </w:pPr>
            <w:r>
              <w:rPr>
                <w:rFonts w:hint="eastAsia"/>
                <w:b/>
                <w:bCs w:val="0"/>
                <w:color w:val="000000"/>
                <w:kern w:val="0"/>
                <w:sz w:val="28"/>
                <w:szCs w:val="28"/>
                <w:highlight w:val="none"/>
              </w:rPr>
              <w:t>医疗卫生服务提升工程</w:t>
            </w:r>
            <w:r>
              <w:rPr>
                <w:rFonts w:hint="eastAsia"/>
                <w:color w:val="000000"/>
                <w:kern w:val="0"/>
                <w:sz w:val="28"/>
                <w:szCs w:val="28"/>
                <w:highlight w:val="none"/>
              </w:rPr>
              <w:t>：镇卫生院中医馆设置实现全覆盖，每个镇卫生院配备1名全科医生，每个村卫生室配备1名乡村医生。</w:t>
            </w:r>
          </w:p>
          <w:p w14:paraId="47DBF5CA">
            <w:pPr>
              <w:spacing w:line="440" w:lineRule="exact"/>
              <w:ind w:firstLine="562"/>
              <w:rPr>
                <w:color w:val="000000"/>
                <w:kern w:val="0"/>
                <w:sz w:val="28"/>
                <w:szCs w:val="28"/>
                <w:highlight w:val="none"/>
              </w:rPr>
            </w:pPr>
            <w:r>
              <w:rPr>
                <w:rFonts w:hint="eastAsia"/>
                <w:b/>
                <w:bCs w:val="0"/>
                <w:color w:val="000000"/>
                <w:kern w:val="0"/>
                <w:sz w:val="28"/>
                <w:szCs w:val="28"/>
                <w:highlight w:val="none"/>
              </w:rPr>
              <w:t>农房和村庄现代化建设工程</w:t>
            </w:r>
            <w:r>
              <w:rPr>
                <w:rFonts w:hint="eastAsia"/>
                <w:color w:val="000000"/>
                <w:kern w:val="0"/>
                <w:sz w:val="28"/>
                <w:szCs w:val="28"/>
                <w:highlight w:val="none"/>
              </w:rPr>
              <w:t>：到2</w:t>
            </w:r>
            <w:r>
              <w:rPr>
                <w:color w:val="000000"/>
                <w:kern w:val="0"/>
                <w:sz w:val="28"/>
                <w:szCs w:val="28"/>
                <w:highlight w:val="none"/>
              </w:rPr>
              <w:t>025</w:t>
            </w:r>
            <w:r>
              <w:rPr>
                <w:rFonts w:hint="eastAsia"/>
                <w:color w:val="000000"/>
                <w:kern w:val="0"/>
                <w:sz w:val="28"/>
                <w:szCs w:val="28"/>
                <w:highlight w:val="none"/>
              </w:rPr>
              <w:t>年，建成农房和村庄现代化示范村1个。</w:t>
            </w:r>
          </w:p>
          <w:p w14:paraId="7EAA7E10">
            <w:pPr>
              <w:spacing w:line="440" w:lineRule="exact"/>
              <w:ind w:firstLine="562"/>
              <w:rPr>
                <w:color w:val="000000"/>
                <w:kern w:val="0"/>
                <w:sz w:val="28"/>
                <w:szCs w:val="28"/>
                <w:highlight w:val="none"/>
              </w:rPr>
            </w:pPr>
            <w:r>
              <w:rPr>
                <w:rFonts w:hint="eastAsia"/>
                <w:b/>
                <w:bCs w:val="0"/>
                <w:color w:val="000000"/>
                <w:kern w:val="0"/>
                <w:sz w:val="28"/>
                <w:szCs w:val="28"/>
                <w:highlight w:val="none"/>
              </w:rPr>
              <w:t>综合服务设施提升工程</w:t>
            </w:r>
            <w:r>
              <w:rPr>
                <w:rFonts w:hint="eastAsia"/>
                <w:color w:val="000000"/>
                <w:kern w:val="0"/>
                <w:sz w:val="28"/>
                <w:szCs w:val="28"/>
                <w:highlight w:val="none"/>
              </w:rPr>
              <w:t>：到2025年，90%的行政村每百户居民拥有综合服务设施面积不低于30平方米。</w:t>
            </w:r>
          </w:p>
          <w:p w14:paraId="1CAC64F4">
            <w:pPr>
              <w:spacing w:line="440" w:lineRule="exact"/>
              <w:ind w:firstLine="562"/>
              <w:rPr>
                <w:color w:val="000000"/>
                <w:kern w:val="0"/>
                <w:sz w:val="28"/>
                <w:szCs w:val="28"/>
                <w:highlight w:val="none"/>
              </w:rPr>
            </w:pPr>
            <w:r>
              <w:rPr>
                <w:rFonts w:hint="eastAsia"/>
                <w:b/>
                <w:bCs w:val="0"/>
                <w:color w:val="000000"/>
                <w:kern w:val="0"/>
                <w:sz w:val="28"/>
                <w:szCs w:val="28"/>
                <w:highlight w:val="none"/>
              </w:rPr>
              <w:t>农村人居环境改善工程</w:t>
            </w:r>
            <w:r>
              <w:rPr>
                <w:rFonts w:hint="eastAsia"/>
                <w:color w:val="000000"/>
                <w:kern w:val="0"/>
                <w:sz w:val="28"/>
                <w:szCs w:val="28"/>
                <w:highlight w:val="none"/>
              </w:rPr>
              <w:t>：持续实施农村垃圾、生活污水、“厕所革命”、黑臭水体治理、生态清洁小流域等重点工程建设。巩固、提升、维护农村卫生厕所17365户、公共厕所35座，建成1个成片推进农村人居环境整治示范片和18个美丽宜居村庄，建成45个生活垃圾分类示范村。</w:t>
            </w:r>
          </w:p>
        </w:tc>
      </w:tr>
    </w:tbl>
    <w:p w14:paraId="73B779F0">
      <w:pPr>
        <w:pStyle w:val="2"/>
        <w:spacing w:before="312" w:after="312"/>
        <w:rPr>
          <w:color w:val="000000"/>
          <w:highlight w:val="none"/>
        </w:rPr>
      </w:pPr>
      <w:bookmarkStart w:id="79" w:name="_Toc98403185"/>
      <w:r>
        <w:rPr>
          <w:rFonts w:hint="eastAsia"/>
          <w:color w:val="000000"/>
          <w:highlight w:val="none"/>
        </w:rPr>
        <w:t xml:space="preserve">第九章 </w:t>
      </w:r>
      <w:r>
        <w:rPr>
          <w:color w:val="000000"/>
          <w:highlight w:val="none"/>
        </w:rPr>
        <w:t xml:space="preserve"> </w:t>
      </w:r>
      <w:r>
        <w:rPr>
          <w:rFonts w:hint="eastAsia"/>
          <w:color w:val="000000"/>
          <w:highlight w:val="none"/>
        </w:rPr>
        <w:t>健全乡村治理体系</w:t>
      </w:r>
      <w:bookmarkEnd w:id="78"/>
      <w:bookmarkEnd w:id="79"/>
    </w:p>
    <w:p w14:paraId="039984F2">
      <w:pPr>
        <w:ind w:firstLine="640"/>
        <w:rPr>
          <w:color w:val="000000"/>
          <w:highlight w:val="none"/>
        </w:rPr>
      </w:pPr>
      <w:r>
        <w:rPr>
          <w:rFonts w:hint="eastAsia"/>
          <w:color w:val="000000"/>
          <w:highlight w:val="none"/>
        </w:rPr>
        <w:t>把夯实基层基础作为固本之策，坚持自治、法治、德治相结合，推进乡村治理体系和治理能力现代化，为巩固拓展脱贫攻坚成果同乡村振兴有效衔接注入强大精神动力。</w:t>
      </w:r>
    </w:p>
    <w:p w14:paraId="273973F9">
      <w:pPr>
        <w:pStyle w:val="3"/>
        <w:spacing w:before="156" w:after="156"/>
        <w:rPr>
          <w:color w:val="000000"/>
          <w:highlight w:val="none"/>
        </w:rPr>
      </w:pPr>
      <w:bookmarkStart w:id="80" w:name="_Toc76313178"/>
      <w:bookmarkStart w:id="81" w:name="_Toc98403186"/>
      <w:r>
        <w:rPr>
          <w:rFonts w:hint="eastAsia"/>
          <w:color w:val="000000"/>
          <w:highlight w:val="none"/>
        </w:rPr>
        <w:t xml:space="preserve">第一节 </w:t>
      </w:r>
      <w:r>
        <w:rPr>
          <w:color w:val="000000"/>
          <w:highlight w:val="none"/>
        </w:rPr>
        <w:t xml:space="preserve"> </w:t>
      </w:r>
      <w:r>
        <w:rPr>
          <w:rFonts w:hint="eastAsia"/>
          <w:color w:val="000000"/>
          <w:highlight w:val="none"/>
        </w:rPr>
        <w:t>健全乡村基层组织建设体系</w:t>
      </w:r>
      <w:bookmarkEnd w:id="80"/>
      <w:bookmarkEnd w:id="81"/>
    </w:p>
    <w:p w14:paraId="3E82948A">
      <w:pPr>
        <w:ind w:firstLine="643"/>
        <w:rPr>
          <w:bCs w:val="0"/>
          <w:color w:val="000000"/>
          <w:highlight w:val="none"/>
        </w:rPr>
      </w:pPr>
      <w:r>
        <w:rPr>
          <w:rFonts w:hint="eastAsia"/>
          <w:b/>
          <w:color w:val="000000"/>
          <w:highlight w:val="none"/>
        </w:rPr>
        <w:t>加强农村基层党组织建设</w:t>
      </w:r>
      <w:r>
        <w:rPr>
          <w:rFonts w:hint="eastAsia"/>
          <w:bCs w:val="0"/>
          <w:color w:val="000000"/>
          <w:highlight w:val="none"/>
        </w:rPr>
        <w:t>。坚持</w:t>
      </w:r>
      <w:r>
        <w:rPr>
          <w:bCs w:val="0"/>
          <w:color w:val="000000"/>
          <w:highlight w:val="none"/>
        </w:rPr>
        <w:t>和加强党的农村基层组织对</w:t>
      </w:r>
      <w:r>
        <w:rPr>
          <w:rFonts w:hint="eastAsia"/>
          <w:bCs w:val="0"/>
          <w:color w:val="000000"/>
          <w:highlight w:val="none"/>
        </w:rPr>
        <w:t>镇</w:t>
      </w:r>
      <w:r>
        <w:rPr>
          <w:bCs w:val="0"/>
          <w:color w:val="000000"/>
          <w:highlight w:val="none"/>
        </w:rPr>
        <w:t>、村各类组织和</w:t>
      </w:r>
      <w:r>
        <w:rPr>
          <w:rFonts w:hint="eastAsia"/>
          <w:bCs w:val="0"/>
          <w:color w:val="000000"/>
          <w:highlight w:val="none"/>
        </w:rPr>
        <w:t>各项</w:t>
      </w:r>
      <w:r>
        <w:rPr>
          <w:bCs w:val="0"/>
          <w:color w:val="000000"/>
          <w:highlight w:val="none"/>
        </w:rPr>
        <w:t>工作的全面领导，</w:t>
      </w:r>
      <w:r>
        <w:rPr>
          <w:rFonts w:hint="eastAsia"/>
          <w:bCs w:val="0"/>
          <w:color w:val="000000"/>
          <w:highlight w:val="none"/>
        </w:rPr>
        <w:t>大力实施农村党建提升行动，深入落实抓党建促乡村振兴若干意见，不断</w:t>
      </w:r>
      <w:r>
        <w:rPr>
          <w:bCs w:val="0"/>
          <w:color w:val="000000"/>
          <w:highlight w:val="none"/>
        </w:rPr>
        <w:t>提高</w:t>
      </w:r>
      <w:r>
        <w:rPr>
          <w:rFonts w:hint="eastAsia"/>
          <w:bCs w:val="0"/>
          <w:color w:val="000000"/>
          <w:highlight w:val="none"/>
        </w:rPr>
        <w:t>党</w:t>
      </w:r>
      <w:r>
        <w:rPr>
          <w:bCs w:val="0"/>
          <w:color w:val="000000"/>
          <w:highlight w:val="none"/>
        </w:rPr>
        <w:t>的农村基层组织建设质量，为新时代乡村全面振兴提供坚强政治和组织</w:t>
      </w:r>
      <w:r>
        <w:rPr>
          <w:rFonts w:hint="eastAsia"/>
          <w:bCs w:val="0"/>
          <w:color w:val="000000"/>
          <w:highlight w:val="none"/>
        </w:rPr>
        <w:t>保证</w:t>
      </w:r>
      <w:r>
        <w:rPr>
          <w:bCs w:val="0"/>
          <w:color w:val="000000"/>
          <w:highlight w:val="none"/>
        </w:rPr>
        <w:t>。</w:t>
      </w:r>
      <w:r>
        <w:rPr>
          <w:rFonts w:hint="eastAsia"/>
          <w:bCs w:val="0"/>
          <w:color w:val="000000"/>
          <w:highlight w:val="none"/>
        </w:rPr>
        <w:t>坚持</w:t>
      </w:r>
      <w:r>
        <w:rPr>
          <w:bCs w:val="0"/>
          <w:color w:val="000000"/>
          <w:highlight w:val="none"/>
        </w:rPr>
        <w:t>党管</w:t>
      </w:r>
      <w:r>
        <w:rPr>
          <w:rFonts w:hint="eastAsia"/>
          <w:bCs w:val="0"/>
          <w:color w:val="000000"/>
          <w:highlight w:val="none"/>
        </w:rPr>
        <w:t>干部</w:t>
      </w:r>
      <w:r>
        <w:rPr>
          <w:bCs w:val="0"/>
          <w:color w:val="000000"/>
          <w:highlight w:val="none"/>
        </w:rPr>
        <w:t>、选贤任能，持续选优配强</w:t>
      </w:r>
      <w:r>
        <w:rPr>
          <w:rFonts w:hint="eastAsia"/>
          <w:bCs w:val="0"/>
          <w:color w:val="000000"/>
          <w:highlight w:val="none"/>
        </w:rPr>
        <w:t>镇</w:t>
      </w:r>
      <w:r>
        <w:rPr>
          <w:bCs w:val="0"/>
          <w:color w:val="000000"/>
          <w:highlight w:val="none"/>
        </w:rPr>
        <w:t>领导班子</w:t>
      </w:r>
      <w:r>
        <w:rPr>
          <w:rFonts w:hint="eastAsia"/>
          <w:bCs w:val="0"/>
          <w:color w:val="000000"/>
          <w:highlight w:val="none"/>
        </w:rPr>
        <w:t>。深入实施农村带头人队伍整体优化提升行动，建强村党组织书记后备人才库。健全常态化驻镇驻村工作机制，管好用好“第一书记”和驻镇驻村工作队。持续回引本土人才，确保每村保持1名以上本土人才、培养储备至少2名后备力量。积极推行村党组织书记通过法定程序担任村民委员会主任和村级集体经济组织、合作经济组织负责人。落实“一支一策”和“四个一”措施，精准整顿软弱涣散村党组织。不断健全“行政村党支部（总支、党委）-网格（村民小组）党小组（党支部）-党员联系户”的村党组织体系，切实加强党组织对乡村治理的领导。</w:t>
      </w:r>
    </w:p>
    <w:p w14:paraId="53B01E56">
      <w:pPr>
        <w:ind w:firstLine="643"/>
        <w:rPr>
          <w:bCs w:val="0"/>
          <w:color w:val="000000"/>
          <w:highlight w:val="none"/>
        </w:rPr>
      </w:pPr>
      <w:r>
        <w:rPr>
          <w:rFonts w:hint="eastAsia"/>
          <w:b/>
          <w:color w:val="000000"/>
          <w:highlight w:val="none"/>
        </w:rPr>
        <w:t>加强农村党员干部教育管理</w:t>
      </w:r>
      <w:r>
        <w:rPr>
          <w:rFonts w:hint="eastAsia"/>
          <w:bCs w:val="0"/>
          <w:color w:val="000000"/>
          <w:highlight w:val="none"/>
        </w:rPr>
        <w:t>。严格落实“三会一课”、组织生活会、民主评议党员、谈心谈话等组织生活制度，严肃党的组织生活，加强政治教育和党性锻炼。深入</w:t>
      </w:r>
      <w:r>
        <w:rPr>
          <w:bCs w:val="0"/>
          <w:color w:val="000000"/>
          <w:highlight w:val="none"/>
        </w:rPr>
        <w:t>落实</w:t>
      </w:r>
      <w:r>
        <w:rPr>
          <w:rFonts w:hint="eastAsia"/>
          <w:bCs w:val="0"/>
          <w:color w:val="000000"/>
          <w:highlight w:val="none"/>
        </w:rPr>
        <w:t>《新时代基层干部主题培训行动计划实施方案》，认真实施“农村基层干部乡村振兴主题培训计划”，加强农村基层干部教育培训。利用农村</w:t>
      </w:r>
      <w:r>
        <w:rPr>
          <w:bCs w:val="0"/>
          <w:color w:val="000000"/>
          <w:highlight w:val="none"/>
        </w:rPr>
        <w:t>远程教育</w:t>
      </w:r>
      <w:r>
        <w:rPr>
          <w:rFonts w:hint="eastAsia"/>
          <w:bCs w:val="0"/>
          <w:color w:val="000000"/>
          <w:highlight w:val="none"/>
        </w:rPr>
        <w:t>站点</w:t>
      </w:r>
      <w:r>
        <w:rPr>
          <w:bCs w:val="0"/>
          <w:color w:val="000000"/>
          <w:highlight w:val="none"/>
        </w:rPr>
        <w:t>等</w:t>
      </w:r>
      <w:r>
        <w:rPr>
          <w:rFonts w:hint="eastAsia"/>
          <w:bCs w:val="0"/>
          <w:color w:val="000000"/>
          <w:highlight w:val="none"/>
        </w:rPr>
        <w:t>资源，加强常态化教育培训，持续提高农村党员干部的治理能力和水平。细化、压实镇党委、村党组织责任，下大力气加强农村入党积极分子队伍建设，做细做实培养教育工作，完善农村党员档案管理，不断提高农村发展党员质量。滚动制定实施农村发展党员规划，确保每个村每2年至少发展1名党员，每个镇每年新发展农村党员35岁以下的不低于50%。积极引导农业带头人、农村致富能手等加入党组织，提升农业企业带头人的思想政治素质，充实基层党组织力量。</w:t>
      </w:r>
    </w:p>
    <w:p w14:paraId="64853DF8">
      <w:pPr>
        <w:pStyle w:val="3"/>
        <w:spacing w:before="156" w:after="156"/>
        <w:rPr>
          <w:color w:val="000000"/>
          <w:highlight w:val="none"/>
        </w:rPr>
      </w:pPr>
      <w:bookmarkStart w:id="82" w:name="_Toc76313179"/>
      <w:bookmarkStart w:id="83" w:name="_Toc98403187"/>
      <w:r>
        <w:rPr>
          <w:rFonts w:hint="eastAsia"/>
          <w:color w:val="000000"/>
          <w:highlight w:val="none"/>
        </w:rPr>
        <w:t>第二节  健全村民自治管理体系</w:t>
      </w:r>
      <w:bookmarkEnd w:id="82"/>
      <w:bookmarkEnd w:id="83"/>
    </w:p>
    <w:p w14:paraId="206A0454">
      <w:pPr>
        <w:ind w:firstLine="643"/>
        <w:rPr>
          <w:bCs w:val="0"/>
          <w:color w:val="000000"/>
          <w:highlight w:val="none"/>
        </w:rPr>
      </w:pPr>
      <w:r>
        <w:rPr>
          <w:rFonts w:hint="eastAsia"/>
          <w:b/>
          <w:color w:val="000000"/>
          <w:highlight w:val="none"/>
        </w:rPr>
        <w:t>完善村民自治组织体系</w:t>
      </w:r>
      <w:r>
        <w:rPr>
          <w:rFonts w:hint="eastAsia"/>
          <w:bCs w:val="0"/>
          <w:color w:val="000000"/>
          <w:highlight w:val="none"/>
        </w:rPr>
        <w:t>。健全完善村民议事会、道德评议会、红白理事会等村民自治组织体系，健全村级议事协商制度，</w:t>
      </w:r>
      <w:r>
        <w:rPr>
          <w:color w:val="000000"/>
          <w:highlight w:val="none"/>
        </w:rPr>
        <w:t>推动构建民事民议、民事民办、民事民管的多层次基层协商格局</w:t>
      </w:r>
      <w:r>
        <w:rPr>
          <w:rFonts w:hint="eastAsia"/>
          <w:bCs w:val="0"/>
          <w:color w:val="000000"/>
          <w:highlight w:val="none"/>
        </w:rPr>
        <w:t>。加强村务监督委员会建设，加大村务公开工作力度。规范制定村规民约，持续提高村民自我管理、自我服务意识和水平。</w:t>
      </w:r>
    </w:p>
    <w:p w14:paraId="441AED7F">
      <w:pPr>
        <w:ind w:firstLine="643"/>
        <w:rPr>
          <w:bCs w:val="0"/>
          <w:color w:val="000000"/>
          <w:highlight w:val="none"/>
        </w:rPr>
      </w:pPr>
      <w:r>
        <w:rPr>
          <w:rFonts w:hint="eastAsia"/>
          <w:b/>
          <w:color w:val="000000"/>
          <w:highlight w:val="none"/>
        </w:rPr>
        <w:t>创新村民自治服务体系</w:t>
      </w:r>
      <w:r>
        <w:rPr>
          <w:rFonts w:hint="eastAsia"/>
          <w:bCs w:val="0"/>
          <w:color w:val="000000"/>
          <w:highlight w:val="none"/>
        </w:rPr>
        <w:t>。不断拓展村级阵地服务功能，不断发挥政策宣传、村务咨询、社会保障、纠纷调解等作用，探索并不断完善在便民服务中心开展代办式、上门式、订单式等服务，延伸为民服务触角。完善基层党组织领导、基层政府主导的多方参与、共同治理体系。大力推广“积分制”“清单制”等做法，提高农民参与乡村治理积极性。</w:t>
      </w:r>
    </w:p>
    <w:p w14:paraId="74469EFD">
      <w:pPr>
        <w:ind w:firstLine="643"/>
        <w:rPr>
          <w:bCs w:val="0"/>
          <w:color w:val="000000"/>
          <w:highlight w:val="none"/>
        </w:rPr>
      </w:pPr>
      <w:r>
        <w:rPr>
          <w:rFonts w:hint="eastAsia"/>
          <w:b/>
          <w:color w:val="000000"/>
          <w:highlight w:val="none"/>
        </w:rPr>
        <w:t>强化社会组织作用发挥</w:t>
      </w:r>
      <w:r>
        <w:rPr>
          <w:rFonts w:hint="eastAsia"/>
          <w:bCs w:val="0"/>
          <w:color w:val="000000"/>
          <w:highlight w:val="none"/>
        </w:rPr>
        <w:t>。加大社会组织培育和管理体制改革力度，激活社会组织活力，发挥社会组织的群众动员优势和在乡村基础设施建设、矛盾纠纷化解、公共服务等方面的独特作用。</w:t>
      </w:r>
    </w:p>
    <w:p w14:paraId="5A6B8CF8">
      <w:pPr>
        <w:pStyle w:val="3"/>
        <w:spacing w:before="156" w:after="156"/>
        <w:rPr>
          <w:color w:val="000000"/>
          <w:highlight w:val="none"/>
        </w:rPr>
      </w:pPr>
      <w:bookmarkStart w:id="84" w:name="_Toc76313180"/>
      <w:bookmarkStart w:id="85" w:name="_Toc98403188"/>
      <w:bookmarkStart w:id="86" w:name="_Toc71906043"/>
      <w:r>
        <w:rPr>
          <w:rFonts w:hint="eastAsia"/>
          <w:color w:val="000000"/>
          <w:highlight w:val="none"/>
        </w:rPr>
        <w:t xml:space="preserve">第三节 </w:t>
      </w:r>
      <w:r>
        <w:rPr>
          <w:color w:val="000000"/>
          <w:highlight w:val="none"/>
        </w:rPr>
        <w:t xml:space="preserve"> </w:t>
      </w:r>
      <w:r>
        <w:rPr>
          <w:rFonts w:hint="eastAsia"/>
          <w:color w:val="000000"/>
          <w:highlight w:val="none"/>
        </w:rPr>
        <w:t>健全信法守法行为体系</w:t>
      </w:r>
      <w:bookmarkEnd w:id="84"/>
      <w:bookmarkEnd w:id="85"/>
    </w:p>
    <w:p w14:paraId="54ACC25B">
      <w:pPr>
        <w:ind w:firstLine="643"/>
        <w:rPr>
          <w:bCs w:val="0"/>
          <w:color w:val="000000"/>
          <w:highlight w:val="none"/>
        </w:rPr>
      </w:pPr>
      <w:r>
        <w:rPr>
          <w:rFonts w:hint="eastAsia"/>
          <w:b/>
          <w:color w:val="000000"/>
          <w:highlight w:val="none"/>
        </w:rPr>
        <w:t>加大普法宣传力度</w:t>
      </w:r>
      <w:r>
        <w:rPr>
          <w:rFonts w:hint="eastAsia"/>
          <w:bCs w:val="0"/>
          <w:color w:val="000000"/>
          <w:highlight w:val="none"/>
        </w:rPr>
        <w:t>。创新乡村法治宣传教育，实施乡村“法律明白人”培养工程，加强乡村基层组织负责人学法用法工作，开展专题法治教育培训，鼓励村民积极参与基层司法、法律监督等法治实践活动，提高乡村基层干部群众的法治意识，形成信法守法行为习惯。力争民主法治村（社区）自治、法治、德治“三治结合”建设达标率达到100%。</w:t>
      </w:r>
    </w:p>
    <w:p w14:paraId="3938814E">
      <w:pPr>
        <w:ind w:firstLine="643"/>
        <w:rPr>
          <w:bCs w:val="0"/>
          <w:color w:val="000000"/>
          <w:highlight w:val="none"/>
        </w:rPr>
      </w:pPr>
      <w:r>
        <w:rPr>
          <w:rFonts w:hint="eastAsia"/>
          <w:b/>
          <w:color w:val="000000"/>
          <w:highlight w:val="none"/>
        </w:rPr>
        <w:t>促进基层干部依法行政</w:t>
      </w:r>
      <w:r>
        <w:rPr>
          <w:rFonts w:hint="eastAsia"/>
          <w:bCs w:val="0"/>
          <w:color w:val="000000"/>
          <w:highlight w:val="none"/>
        </w:rPr>
        <w:t>。强化对乡村基层干部法律约束，形成对依法行使职权、依法依规处理事务、依法加强对村务治理的指导和对农村各类问题处理的监督约束制度体系。推进平安乡镇、平安村庄建设，开展突出治安问题专项整治，广大干部群众普遍感受到法律力量、认知法律尊严、增强法律信仰。</w:t>
      </w:r>
    </w:p>
    <w:p w14:paraId="38205E1C">
      <w:pPr>
        <w:ind w:firstLine="643"/>
        <w:rPr>
          <w:bCs w:val="0"/>
          <w:color w:val="000000"/>
          <w:highlight w:val="none"/>
        </w:rPr>
      </w:pPr>
      <w:r>
        <w:rPr>
          <w:rFonts w:hint="eastAsia"/>
          <w:b/>
          <w:color w:val="000000"/>
          <w:highlight w:val="none"/>
        </w:rPr>
        <w:t>加快完善乡村公共法律服务体系</w:t>
      </w:r>
      <w:r>
        <w:rPr>
          <w:rFonts w:hint="eastAsia"/>
          <w:bCs w:val="0"/>
          <w:color w:val="000000"/>
          <w:highlight w:val="none"/>
        </w:rPr>
        <w:t>。加强农村司法所、法律服务所、人民调解组织建设，推进法律援助进村、法律顾问进村，大幅度降低干部群众用法成本，引导群众以正当的途径、以法律的手段、以理性的态度，合理合法解决矛盾纠纷。</w:t>
      </w:r>
    </w:p>
    <w:p w14:paraId="531FCF50">
      <w:pPr>
        <w:pStyle w:val="3"/>
        <w:spacing w:before="156" w:after="156"/>
        <w:rPr>
          <w:color w:val="000000"/>
          <w:highlight w:val="none"/>
        </w:rPr>
      </w:pPr>
      <w:bookmarkStart w:id="87" w:name="_Toc76313181"/>
      <w:bookmarkStart w:id="88" w:name="_Toc98403189"/>
      <w:r>
        <w:rPr>
          <w:rFonts w:hint="eastAsia"/>
          <w:color w:val="000000"/>
          <w:highlight w:val="none"/>
        </w:rPr>
        <w:t xml:space="preserve">第四节 </w:t>
      </w:r>
      <w:r>
        <w:rPr>
          <w:color w:val="000000"/>
          <w:highlight w:val="none"/>
        </w:rPr>
        <w:t xml:space="preserve"> </w:t>
      </w:r>
      <w:r>
        <w:rPr>
          <w:rFonts w:hint="eastAsia"/>
          <w:color w:val="000000"/>
          <w:highlight w:val="none"/>
        </w:rPr>
        <w:t>健全崇德向善民风体系</w:t>
      </w:r>
      <w:bookmarkEnd w:id="87"/>
      <w:bookmarkEnd w:id="88"/>
    </w:p>
    <w:bookmarkEnd w:id="86"/>
    <w:p w14:paraId="5B755750">
      <w:pPr>
        <w:ind w:firstLine="643"/>
        <w:rPr>
          <w:color w:val="000000"/>
          <w:highlight w:val="none"/>
        </w:rPr>
      </w:pPr>
      <w:bookmarkStart w:id="89" w:name="_Toc73869584"/>
      <w:bookmarkStart w:id="90" w:name="_Toc76313182"/>
      <w:r>
        <w:rPr>
          <w:rFonts w:hint="eastAsia"/>
          <w:b/>
          <w:bCs w:val="0"/>
          <w:color w:val="000000"/>
          <w:highlight w:val="none"/>
        </w:rPr>
        <w:t>积极培育和践行社会主义核心价值观</w:t>
      </w:r>
      <w:r>
        <w:rPr>
          <w:rFonts w:hint="eastAsia"/>
          <w:color w:val="000000"/>
          <w:highlight w:val="none"/>
        </w:rPr>
        <w:t>。坚持教育引导、实践养成、制度保障、文化熏陶、舆论宣传相结合，培育弘扬社会主义核心价值观，把核心价值观写入村规民约，有效整合社会价值，努力形成新的社会道德标准，塑造乡村德治秩序。</w:t>
      </w:r>
    </w:p>
    <w:p w14:paraId="6F4AD09A">
      <w:pPr>
        <w:ind w:firstLine="643"/>
        <w:rPr>
          <w:color w:val="000000"/>
          <w:highlight w:val="none"/>
        </w:rPr>
      </w:pPr>
      <w:r>
        <w:rPr>
          <w:rFonts w:hint="eastAsia"/>
          <w:b/>
          <w:bCs w:val="0"/>
          <w:color w:val="000000"/>
          <w:highlight w:val="none"/>
        </w:rPr>
        <w:t>加强农村思想道德建设</w:t>
      </w:r>
      <w:r>
        <w:rPr>
          <w:rFonts w:hint="eastAsia"/>
          <w:color w:val="000000"/>
          <w:highlight w:val="none"/>
        </w:rPr>
        <w:t>。坚持扶志扶智相结合，大力弘扬脱贫攻坚伟大精神，在“铸魂强根”上精准发力，推动乡村文化振兴，提振农村精气神。加强爱国主义、集体主义、社会主义教育，深化民族团结进步教育，大力弘扬民族精神和时代精神，奠定乡村振兴的思想道德基础。大力宣传脱贫攻坚伟大成就，持续提升脱贫群众内生发展动能。深入挖掘优秀传统农耕文化蕴含的思想观念、人文精神、道德规范，弘扬优秀传统美德，深化以“十抵制十提倡”为主要内容的移风易俗重点治理工作，培育文明乡风、良好家风、淳朴民风。</w:t>
      </w:r>
    </w:p>
    <w:p w14:paraId="715A9C44">
      <w:pPr>
        <w:ind w:firstLine="643"/>
        <w:rPr>
          <w:color w:val="000000"/>
          <w:highlight w:val="none"/>
        </w:rPr>
      </w:pPr>
      <w:r>
        <w:rPr>
          <w:rFonts w:hint="eastAsia"/>
          <w:b/>
          <w:bCs w:val="0"/>
          <w:color w:val="000000"/>
          <w:highlight w:val="none"/>
        </w:rPr>
        <w:t>注重树立宣传先进典型</w:t>
      </w:r>
      <w:r>
        <w:rPr>
          <w:rFonts w:hint="eastAsia"/>
          <w:color w:val="000000"/>
          <w:highlight w:val="none"/>
        </w:rPr>
        <w:t>。充分发挥“全国脱贫攻坚楷模”毛相林等先进典型示范引领作用，大力培育宣传时代楷模、道德楷模、感动人物、最美人物、身边好人，分层分类推出宣传一批乡村振兴的“先进典型”。积极推广重点帮扶镇村以及示点示范地区的经验做法。推进设立村社“失德曝光台”、组建“美德劝导队”，积极举办“好人在身边”微访谈、梦想课堂、“家风润万家”“晒晒我的好家风”“孝善万盛”“农村家庭能人”培养等活动。</w:t>
      </w:r>
    </w:p>
    <w:tbl>
      <w:tblPr>
        <w:tblStyle w:val="2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0517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vAlign w:val="top"/>
          </w:tcPr>
          <w:p w14:paraId="20C5AB37">
            <w:pPr>
              <w:spacing w:line="440" w:lineRule="exact"/>
              <w:ind w:firstLine="0" w:firstLineChars="0"/>
              <w:jc w:val="center"/>
              <w:rPr>
                <w:color w:val="000000"/>
                <w:kern w:val="0"/>
                <w:sz w:val="28"/>
                <w:szCs w:val="28"/>
                <w:highlight w:val="none"/>
              </w:rPr>
            </w:pPr>
            <w:r>
              <w:rPr>
                <w:color w:val="000000"/>
                <w:kern w:val="0"/>
                <w:sz w:val="28"/>
                <w:szCs w:val="28"/>
                <w:highlight w:val="none"/>
              </w:rPr>
              <w:t xml:space="preserve">专栏7  </w:t>
            </w:r>
            <w:r>
              <w:rPr>
                <w:rFonts w:hint="eastAsia"/>
                <w:color w:val="000000"/>
                <w:kern w:val="0"/>
                <w:sz w:val="28"/>
                <w:szCs w:val="28"/>
                <w:highlight w:val="none"/>
              </w:rPr>
              <w:t>乡村治理重点工程</w:t>
            </w:r>
          </w:p>
        </w:tc>
      </w:tr>
      <w:tr w14:paraId="34720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vAlign w:val="top"/>
          </w:tcPr>
          <w:p w14:paraId="0880C63D">
            <w:pPr>
              <w:spacing w:line="440" w:lineRule="exact"/>
              <w:ind w:firstLine="562"/>
              <w:rPr>
                <w:color w:val="000000"/>
                <w:kern w:val="0"/>
                <w:sz w:val="28"/>
                <w:szCs w:val="28"/>
                <w:highlight w:val="none"/>
              </w:rPr>
            </w:pPr>
            <w:r>
              <w:rPr>
                <w:rFonts w:hint="eastAsia"/>
                <w:b/>
                <w:bCs w:val="0"/>
                <w:color w:val="000000"/>
                <w:kern w:val="0"/>
                <w:sz w:val="28"/>
                <w:szCs w:val="28"/>
                <w:highlight w:val="none"/>
              </w:rPr>
              <w:t>乡村治理创新工程</w:t>
            </w:r>
            <w:r>
              <w:rPr>
                <w:rFonts w:hint="eastAsia"/>
                <w:color w:val="000000"/>
                <w:kern w:val="0"/>
                <w:sz w:val="28"/>
                <w:szCs w:val="28"/>
                <w:highlight w:val="none"/>
              </w:rPr>
              <w:t>：每年每名村党组织书记参加培训不少于7天，以镇为单位建立村级后备力量，每村培养储备后备力量2名以上。深化法治乡村建设，深入开展“民主法治示范村（社区）”创建，严格落实村“两委”班子成员年度全员法治轮训制度、村（居）法律顾问制度。全面实施村级事务阳光工程，完善党务、村务、财务“三公开”制度，实现公开经常化、制度化和规范化。</w:t>
            </w:r>
          </w:p>
          <w:p w14:paraId="5117D0B4">
            <w:pPr>
              <w:spacing w:line="440" w:lineRule="exact"/>
              <w:ind w:firstLine="562"/>
              <w:rPr>
                <w:color w:val="000000"/>
                <w:kern w:val="0"/>
                <w:sz w:val="28"/>
                <w:szCs w:val="28"/>
                <w:highlight w:val="none"/>
              </w:rPr>
            </w:pPr>
            <w:r>
              <w:rPr>
                <w:rFonts w:hint="eastAsia"/>
                <w:b/>
                <w:bCs w:val="0"/>
                <w:color w:val="000000"/>
                <w:kern w:val="0"/>
                <w:sz w:val="28"/>
                <w:szCs w:val="28"/>
                <w:highlight w:val="none"/>
              </w:rPr>
              <w:t>文明村镇创建工程</w:t>
            </w:r>
            <w:r>
              <w:rPr>
                <w:rFonts w:hint="eastAsia"/>
                <w:color w:val="000000"/>
                <w:kern w:val="0"/>
                <w:sz w:val="28"/>
                <w:szCs w:val="28"/>
                <w:highlight w:val="none"/>
              </w:rPr>
              <w:t>：推动文明村镇创建提质扩面，到2025年区级以上文明村和文明乡镇占比分别达到60%、75%。</w:t>
            </w:r>
          </w:p>
          <w:p w14:paraId="4FC348BE">
            <w:pPr>
              <w:spacing w:line="440" w:lineRule="exact"/>
              <w:ind w:firstLine="562"/>
              <w:rPr>
                <w:color w:val="000000"/>
                <w:kern w:val="0"/>
                <w:sz w:val="28"/>
                <w:szCs w:val="28"/>
                <w:highlight w:val="none"/>
              </w:rPr>
            </w:pPr>
            <w:r>
              <w:rPr>
                <w:rFonts w:hint="eastAsia"/>
                <w:b/>
                <w:bCs w:val="0"/>
                <w:color w:val="000000"/>
                <w:kern w:val="0"/>
                <w:sz w:val="28"/>
                <w:szCs w:val="28"/>
                <w:highlight w:val="none"/>
              </w:rPr>
              <w:t>社会主义核心价值观引领工程</w:t>
            </w:r>
            <w:r>
              <w:rPr>
                <w:rFonts w:hint="eastAsia"/>
                <w:color w:val="000000"/>
                <w:kern w:val="0"/>
                <w:sz w:val="28"/>
                <w:szCs w:val="28"/>
                <w:highlight w:val="none"/>
              </w:rPr>
              <w:t>：在农村社区深化建好梦想课堂阵地，每年开展“好人在身边”微访谈活动、梦想课堂活动、“家风润万家”活动。</w:t>
            </w:r>
          </w:p>
          <w:p w14:paraId="636E2301">
            <w:pPr>
              <w:spacing w:line="440" w:lineRule="exact"/>
              <w:ind w:firstLine="562"/>
              <w:rPr>
                <w:color w:val="000000"/>
                <w:kern w:val="0"/>
                <w:sz w:val="28"/>
                <w:szCs w:val="28"/>
                <w:highlight w:val="none"/>
              </w:rPr>
            </w:pPr>
            <w:r>
              <w:rPr>
                <w:rFonts w:hint="eastAsia"/>
                <w:b/>
                <w:bCs w:val="0"/>
                <w:color w:val="000000"/>
                <w:kern w:val="0"/>
                <w:sz w:val="28"/>
                <w:szCs w:val="28"/>
                <w:highlight w:val="none"/>
              </w:rPr>
              <w:t>乡村文化“百乡千村”示范工程</w:t>
            </w:r>
            <w:r>
              <w:rPr>
                <w:rFonts w:hint="eastAsia"/>
                <w:color w:val="000000"/>
                <w:kern w:val="0"/>
                <w:sz w:val="28"/>
                <w:szCs w:val="28"/>
                <w:highlight w:val="none"/>
              </w:rPr>
              <w:t>：</w:t>
            </w:r>
            <w:r>
              <w:rPr>
                <w:rFonts w:hint="eastAsia" w:ascii="方正仿宋_GBK"/>
                <w:color w:val="000000"/>
                <w:kern w:val="0"/>
                <w:sz w:val="28"/>
                <w:szCs w:val="28"/>
                <w:highlight w:val="none"/>
              </w:rPr>
              <w:t>打造“一村一品”</w:t>
            </w:r>
            <w:r>
              <w:rPr>
                <w:rFonts w:hint="eastAsia"/>
                <w:color w:val="000000"/>
                <w:kern w:val="0"/>
                <w:sz w:val="28"/>
                <w:szCs w:val="28"/>
                <w:highlight w:val="none"/>
              </w:rPr>
              <w:t>文化活动品牌，推进乡情陈列馆建设，积极开展戏曲进乡村等活动。深化移风易俗“十抵制十提倡”，广泛开展“孝善巴渝”主题活动，开展乡贤培育示范，深入开展星级文明户等评选。</w:t>
            </w:r>
          </w:p>
        </w:tc>
      </w:tr>
    </w:tbl>
    <w:p w14:paraId="69384C08">
      <w:pPr>
        <w:pStyle w:val="2"/>
        <w:spacing w:before="312" w:after="312"/>
        <w:rPr>
          <w:color w:val="000000"/>
          <w:highlight w:val="none"/>
        </w:rPr>
      </w:pPr>
      <w:bookmarkStart w:id="91" w:name="_Toc98403190"/>
      <w:r>
        <w:rPr>
          <w:color w:val="000000"/>
          <w:highlight w:val="none"/>
        </w:rPr>
        <w:t>第十章  加强扶贫项目资产管理和监督</w:t>
      </w:r>
      <w:bookmarkEnd w:id="89"/>
      <w:bookmarkEnd w:id="90"/>
      <w:bookmarkEnd w:id="91"/>
    </w:p>
    <w:p w14:paraId="292884E7">
      <w:pPr>
        <w:ind w:firstLine="640"/>
        <w:rPr>
          <w:color w:val="000000"/>
          <w:highlight w:val="none"/>
        </w:rPr>
      </w:pPr>
      <w:r>
        <w:rPr>
          <w:rFonts w:hint="eastAsia"/>
          <w:color w:val="000000"/>
          <w:highlight w:val="none"/>
        </w:rPr>
        <w:t>按照“管得住、用得好、起作用”的要求，优化完善扶贫项目资产管理体制机制，推动扶贫项目资产保值增值，提高扶贫项目资产运营效益，确保扶贫项目资产持续发挥经济社会效益。</w:t>
      </w:r>
    </w:p>
    <w:p w14:paraId="20543CF1">
      <w:pPr>
        <w:ind w:firstLine="640"/>
        <w:rPr>
          <w:color w:val="000000"/>
          <w:highlight w:val="none"/>
        </w:rPr>
      </w:pPr>
    </w:p>
    <w:p w14:paraId="76D3F054">
      <w:pPr>
        <w:ind w:firstLine="640"/>
        <w:rPr>
          <w:color w:val="000000"/>
          <w:highlight w:val="none"/>
        </w:rPr>
      </w:pPr>
    </w:p>
    <w:p w14:paraId="1A6DB56D">
      <w:pPr>
        <w:pStyle w:val="3"/>
        <w:spacing w:before="156" w:after="156"/>
        <w:rPr>
          <w:color w:val="000000"/>
          <w:highlight w:val="none"/>
        </w:rPr>
      </w:pPr>
      <w:bookmarkStart w:id="92" w:name="_Toc98403191"/>
      <w:r>
        <w:rPr>
          <w:rFonts w:hint="eastAsia"/>
          <w:color w:val="000000"/>
          <w:highlight w:val="none"/>
        </w:rPr>
        <w:t xml:space="preserve">第一节 </w:t>
      </w:r>
      <w:r>
        <w:rPr>
          <w:color w:val="000000"/>
          <w:highlight w:val="none"/>
        </w:rPr>
        <w:t xml:space="preserve"> </w:t>
      </w:r>
      <w:r>
        <w:rPr>
          <w:rFonts w:hint="eastAsia"/>
          <w:color w:val="000000"/>
          <w:highlight w:val="none"/>
        </w:rPr>
        <w:t>摸清扶贫项目资产底数并确权登记</w:t>
      </w:r>
      <w:bookmarkEnd w:id="92"/>
    </w:p>
    <w:p w14:paraId="6A561C13">
      <w:pPr>
        <w:ind w:firstLine="640"/>
        <w:rPr>
          <w:color w:val="000000"/>
          <w:highlight w:val="none"/>
        </w:rPr>
      </w:pPr>
      <w:r>
        <w:rPr>
          <w:rFonts w:hint="eastAsia"/>
          <w:color w:val="000000"/>
          <w:highlight w:val="none"/>
        </w:rPr>
        <w:t>全面摸底党的十八大以来使用各级财政资金、地方政府债券资金、社会捐赠和对口帮扶等投入形成的扶贫项目资产，分类建立管理台账；推动扶贫项目资产按照经营性资产、公益性资产和到户类资产进行分类管理。按照“谁主管、谁负责”的原则，稳妥推进符合条件的扶贫项目资产确权登记，做好资产移交，并纳入相关管理体系；对经营性资产，根据资金来源、受益范围、管理需要等明确权属，尽可能明确到获得收益的个人、村集体经济组织等；对公益性资产，项目建成后及时办理移交手续，按照行业相关要求进行确权和管理；对到户类资产，归农户所有；对属于不动产的，依法办理确权登记。</w:t>
      </w:r>
    </w:p>
    <w:p w14:paraId="3156AC50">
      <w:pPr>
        <w:pStyle w:val="3"/>
        <w:spacing w:before="156" w:after="156"/>
        <w:rPr>
          <w:color w:val="000000"/>
          <w:highlight w:val="none"/>
        </w:rPr>
      </w:pPr>
      <w:bookmarkStart w:id="93" w:name="_Toc98403192"/>
      <w:r>
        <w:rPr>
          <w:rFonts w:hint="eastAsia"/>
          <w:color w:val="000000"/>
          <w:highlight w:val="none"/>
        </w:rPr>
        <w:t xml:space="preserve">第二节 </w:t>
      </w:r>
      <w:r>
        <w:rPr>
          <w:color w:val="000000"/>
          <w:highlight w:val="none"/>
        </w:rPr>
        <w:t xml:space="preserve"> </w:t>
      </w:r>
      <w:r>
        <w:rPr>
          <w:rFonts w:hint="eastAsia"/>
          <w:color w:val="000000"/>
          <w:highlight w:val="none"/>
        </w:rPr>
        <w:t>规范扶贫项目资产后续管护运营</w:t>
      </w:r>
      <w:bookmarkEnd w:id="93"/>
    </w:p>
    <w:p w14:paraId="3A066F7C">
      <w:pPr>
        <w:ind w:firstLine="640"/>
        <w:rPr>
          <w:color w:val="000000"/>
          <w:highlight w:val="none"/>
        </w:rPr>
      </w:pPr>
      <w:r>
        <w:rPr>
          <w:rFonts w:hint="eastAsia"/>
          <w:color w:val="000000"/>
          <w:highlight w:val="none"/>
        </w:rPr>
        <w:t>探索多形式、多层次、多样化的管护模式，对经营性资产，主要通过完善运营方案，明确运营各方权利义务，做好风险防控；对公益性资产，主要加强后续管护，完善管护标准和规范；对到户类资产，主要由农户自行确定自主经营或委托经营，村级组织和有关部门加强指导和帮扶。探索企业化、市场化管理模式，支持扶贫产业项目实施、经营运作交由专业主体管理，探索建立扶贫项目资产运营管理公司；积极对接相关经营主体，通过股份合作、业务托管、合作经营以及改制重组等方式，提升扶贫项目资产运营管理水平和盈利能力；鼓励基层结合实际创新扶贫项目资产运营方式，支持通过抵押、质押等方式融资用于扩大再生产，经营性资产可采取委托、发包、出租、联营、股份制、合作社等方式经营。</w:t>
      </w:r>
    </w:p>
    <w:p w14:paraId="79A70D64">
      <w:pPr>
        <w:pStyle w:val="3"/>
        <w:spacing w:before="156" w:after="156"/>
        <w:rPr>
          <w:color w:val="000000"/>
          <w:highlight w:val="none"/>
        </w:rPr>
      </w:pPr>
      <w:bookmarkStart w:id="94" w:name="_Toc76313184"/>
      <w:bookmarkStart w:id="95" w:name="_Toc73869586"/>
      <w:bookmarkStart w:id="96" w:name="_Toc98403193"/>
      <w:r>
        <w:rPr>
          <w:color w:val="000000"/>
          <w:highlight w:val="none"/>
        </w:rPr>
        <w:t>第</w:t>
      </w:r>
      <w:r>
        <w:rPr>
          <w:rFonts w:hint="eastAsia"/>
          <w:color w:val="000000"/>
          <w:highlight w:val="none"/>
        </w:rPr>
        <w:t>三</w:t>
      </w:r>
      <w:r>
        <w:rPr>
          <w:color w:val="000000"/>
          <w:highlight w:val="none"/>
        </w:rPr>
        <w:t>节  规范扶贫项目资产收益分配</w:t>
      </w:r>
      <w:bookmarkEnd w:id="94"/>
      <w:bookmarkEnd w:id="95"/>
      <w:r>
        <w:rPr>
          <w:rFonts w:hint="eastAsia"/>
          <w:color w:val="000000"/>
          <w:highlight w:val="none"/>
        </w:rPr>
        <w:t>使用</w:t>
      </w:r>
      <w:bookmarkEnd w:id="96"/>
    </w:p>
    <w:p w14:paraId="52A93F6E">
      <w:pPr>
        <w:ind w:firstLine="640"/>
        <w:rPr>
          <w:color w:val="000000"/>
          <w:highlight w:val="none"/>
        </w:rPr>
      </w:pPr>
      <w:r>
        <w:rPr>
          <w:rFonts w:hint="eastAsia"/>
          <w:color w:val="000000"/>
          <w:highlight w:val="none"/>
        </w:rPr>
        <w:t>推动经营性资产收益分配按照现行资产管理制度实施，扶贫项目资产收益优先用于扶持脱贫村和脱贫户，并结合实际适当用于农村基层组织建设和乡村振兴公益性项目，对制度未予明确规定的，通过民主决策程序提出具体分配方案，体现精准和差异化扶持。鼓励产权归属村集体的资产收益，采取参加村内项目建设和发展等劳动增收方式进行分配，提取的公积公益金重点用于项目运营管护、村级公益事业等方面。推动确权到农户或其他经营主体的扶贫项目资产，依法维护其财产权利由其自主管理。建立健全受益对象动态调整制度，根据脱贫人口增减变动情况，及时开展受益对象动态调整。</w:t>
      </w:r>
    </w:p>
    <w:p w14:paraId="5101CBF9">
      <w:pPr>
        <w:pStyle w:val="3"/>
        <w:spacing w:before="156" w:after="156"/>
        <w:rPr>
          <w:color w:val="000000"/>
          <w:highlight w:val="none"/>
        </w:rPr>
      </w:pPr>
      <w:bookmarkStart w:id="97" w:name="_Toc98403194"/>
      <w:bookmarkStart w:id="98" w:name="_Toc73869587"/>
      <w:bookmarkStart w:id="99" w:name="_Toc76313185"/>
      <w:r>
        <w:rPr>
          <w:color w:val="000000"/>
          <w:highlight w:val="none"/>
        </w:rPr>
        <w:t>第</w:t>
      </w:r>
      <w:r>
        <w:rPr>
          <w:rFonts w:hint="eastAsia"/>
          <w:color w:val="000000"/>
          <w:highlight w:val="none"/>
        </w:rPr>
        <w:t>四</w:t>
      </w:r>
      <w:r>
        <w:rPr>
          <w:color w:val="000000"/>
          <w:highlight w:val="none"/>
        </w:rPr>
        <w:t>节  强化扶贫项目资产监督管理</w:t>
      </w:r>
      <w:bookmarkEnd w:id="97"/>
      <w:bookmarkEnd w:id="98"/>
      <w:bookmarkEnd w:id="99"/>
    </w:p>
    <w:p w14:paraId="45A5FA2B">
      <w:pPr>
        <w:ind w:firstLine="640"/>
        <w:rPr>
          <w:color w:val="000000"/>
          <w:highlight w:val="none"/>
        </w:rPr>
      </w:pPr>
      <w:r>
        <w:rPr>
          <w:rFonts w:hint="eastAsia"/>
          <w:color w:val="000000"/>
          <w:highlight w:val="none"/>
        </w:rPr>
        <w:t>严格落实“市—区—镇—村”四级监督管理责任，落实区管委会的管理主体责任、镇政府的日常监管责任和村级组织担负对确权到村集体的扶贫项目资产监管责任，各级行业主管部门按照职责分工和行业领域资产管理制度和规定履行行业监管职责。</w:t>
      </w:r>
    </w:p>
    <w:p w14:paraId="5288CECF">
      <w:pPr>
        <w:ind w:firstLine="640"/>
        <w:rPr>
          <w:color w:val="000000"/>
          <w:highlight w:val="none"/>
        </w:rPr>
      </w:pPr>
      <w:r>
        <w:rPr>
          <w:rFonts w:hint="eastAsia"/>
          <w:color w:val="000000"/>
          <w:highlight w:val="none"/>
        </w:rPr>
        <w:t>严格扶贫项目资产处置。按规定开展资产清查，任何单位和个人不得随意处置国有和集体扶贫项目资产；对以个人、村集体经济组织名义入股或参股企业等经营主体的，明确股权的退出办法和处置方式；属于村集体资产的处置收入应重新安排用于巩固拓展脱贫攻坚成果和全面实现乡村振兴。强化扶贫项目监督管理保障。加强对扶贫项目资产后续管理情况的纪律监督、审计监督、行业监督和社会监督等，发挥驻村工作队、村务监督委员会、村集体经济组织监事会等全方位、动态化监督，严格落实公告公示制度；引入市场化管理机制，对于专业性较强的扶贫项目资产聘请相关专家或第三方审计机构进行监督检查；加强对扶贫项目资产的运行监控和绩效评估，对绩效制定好、运行好、评估好的资产加大补贴支持力度。</w:t>
      </w:r>
    </w:p>
    <w:p w14:paraId="13E1B710">
      <w:pPr>
        <w:pStyle w:val="2"/>
        <w:spacing w:before="312" w:after="312"/>
        <w:rPr>
          <w:color w:val="000000"/>
          <w:highlight w:val="none"/>
        </w:rPr>
      </w:pPr>
      <w:bookmarkStart w:id="100" w:name="_Toc98403195"/>
      <w:bookmarkStart w:id="101" w:name="_Toc76313186"/>
      <w:r>
        <w:rPr>
          <w:color w:val="000000"/>
          <w:highlight w:val="none"/>
        </w:rPr>
        <w:t>第十</w:t>
      </w:r>
      <w:r>
        <w:rPr>
          <w:rFonts w:hint="eastAsia"/>
          <w:color w:val="000000"/>
          <w:highlight w:val="none"/>
        </w:rPr>
        <w:t>一</w:t>
      </w:r>
      <w:r>
        <w:rPr>
          <w:color w:val="000000"/>
          <w:highlight w:val="none"/>
        </w:rPr>
        <w:t>章</w:t>
      </w:r>
      <w:r>
        <w:rPr>
          <w:rFonts w:hint="eastAsia"/>
          <w:color w:val="000000"/>
          <w:highlight w:val="none"/>
        </w:rPr>
        <w:t xml:space="preserve"> </w:t>
      </w:r>
      <w:r>
        <w:rPr>
          <w:color w:val="000000"/>
          <w:highlight w:val="none"/>
        </w:rPr>
        <w:t xml:space="preserve"> 建立健全</w:t>
      </w:r>
      <w:r>
        <w:rPr>
          <w:rFonts w:hint="eastAsia"/>
          <w:color w:val="000000"/>
          <w:highlight w:val="none"/>
        </w:rPr>
        <w:t>乡村振兴</w:t>
      </w:r>
      <w:r>
        <w:rPr>
          <w:color w:val="000000"/>
          <w:highlight w:val="none"/>
        </w:rPr>
        <w:t>重点帮扶机制</w:t>
      </w:r>
      <w:bookmarkEnd w:id="100"/>
      <w:bookmarkEnd w:id="101"/>
    </w:p>
    <w:p w14:paraId="6C148EB7">
      <w:pPr>
        <w:ind w:firstLine="640"/>
        <w:rPr>
          <w:color w:val="000000"/>
          <w:highlight w:val="none"/>
        </w:rPr>
      </w:pPr>
      <w:r>
        <w:rPr>
          <w:rFonts w:hint="eastAsia"/>
          <w:color w:val="000000"/>
          <w:highlight w:val="none"/>
        </w:rPr>
        <w:t>围绕乡村振兴帮扶镇、村，建立健全分层分类重点帮扶长效机制，鼓励和引导各镇村有方向、有目标、有重点地开展重点帮扶和示范创建工作，充分调动全区积极性、发扬群众首创精神，总结提炼一批可借鉴、可复制的经验，在全区推广，筑牢巩固拓展脱贫攻坚成果、加快推进乡村振兴建设重要基底。</w:t>
      </w:r>
    </w:p>
    <w:p w14:paraId="6F139CFC">
      <w:pPr>
        <w:ind w:firstLine="640"/>
        <w:rPr>
          <w:color w:val="000000"/>
          <w:highlight w:val="none"/>
        </w:rPr>
      </w:pPr>
    </w:p>
    <w:p w14:paraId="04A25DCB">
      <w:pPr>
        <w:ind w:firstLine="640"/>
        <w:rPr>
          <w:color w:val="000000"/>
          <w:highlight w:val="none"/>
        </w:rPr>
      </w:pPr>
    </w:p>
    <w:p w14:paraId="08E0680B">
      <w:pPr>
        <w:pStyle w:val="3"/>
        <w:spacing w:before="156" w:after="156"/>
        <w:rPr>
          <w:color w:val="000000"/>
          <w:highlight w:val="none"/>
        </w:rPr>
      </w:pPr>
      <w:bookmarkStart w:id="102" w:name="_Toc98403196"/>
      <w:r>
        <w:rPr>
          <w:color w:val="000000"/>
          <w:highlight w:val="none"/>
        </w:rPr>
        <w:t>第</w:t>
      </w:r>
      <w:r>
        <w:rPr>
          <w:rFonts w:hint="eastAsia"/>
          <w:color w:val="000000"/>
          <w:highlight w:val="none"/>
        </w:rPr>
        <w:t>一</w:t>
      </w:r>
      <w:r>
        <w:rPr>
          <w:color w:val="000000"/>
          <w:highlight w:val="none"/>
        </w:rPr>
        <w:t>节</w:t>
      </w:r>
      <w:r>
        <w:rPr>
          <w:rFonts w:hint="eastAsia"/>
          <w:color w:val="000000"/>
          <w:highlight w:val="none"/>
        </w:rPr>
        <w:t xml:space="preserve"> </w:t>
      </w:r>
      <w:r>
        <w:rPr>
          <w:color w:val="000000"/>
          <w:highlight w:val="none"/>
        </w:rPr>
        <w:t xml:space="preserve"> </w:t>
      </w:r>
      <w:r>
        <w:rPr>
          <w:rFonts w:hint="eastAsia"/>
          <w:color w:val="000000"/>
          <w:highlight w:val="none"/>
        </w:rPr>
        <w:t>建立乡村振兴帮扶机制</w:t>
      </w:r>
      <w:bookmarkEnd w:id="102"/>
    </w:p>
    <w:p w14:paraId="45B0A65F">
      <w:pPr>
        <w:ind w:firstLine="640"/>
        <w:rPr>
          <w:bCs w:val="0"/>
          <w:color w:val="000000"/>
          <w:highlight w:val="none"/>
        </w:rPr>
      </w:pPr>
      <w:r>
        <w:rPr>
          <w:rFonts w:hint="eastAsia"/>
          <w:color w:val="000000"/>
          <w:highlight w:val="none"/>
        </w:rPr>
        <w:t>建立区领导定点联系机制，由党工委书记、管委会主任以及其他党工委、管委会班子成员，采取“一对一”或“二对一”方式，分别联系全区8个镇和8个重点帮扶村及</w:t>
      </w:r>
      <w:r>
        <w:rPr>
          <w:color w:val="000000"/>
          <w:highlight w:val="none"/>
        </w:rPr>
        <w:t>5</w:t>
      </w:r>
      <w:r>
        <w:rPr>
          <w:rFonts w:hint="eastAsia"/>
          <w:color w:val="000000"/>
          <w:highlight w:val="none"/>
        </w:rPr>
        <w:t>个脱贫村。采取“1个牵头部门+N个成员单位”的方式，组建8个区级乡村振兴帮扶集团，定向帮扶全区8个镇和8个重点帮扶村。全面落实联系和帮扶的重点任务，加大对重点帮扶镇村基础设施建设、产业发展、公共服务保障等方面的倾斜性支持，深化消费帮扶、就业创业、产业技术指导、重点项目建设支持等方面的对口帮扶。</w:t>
      </w:r>
      <w:r>
        <w:rPr>
          <w:rFonts w:hint="eastAsia"/>
          <w:bCs w:val="0"/>
          <w:color w:val="000000"/>
          <w:highlight w:val="none"/>
        </w:rPr>
        <w:t>以资源协调、消费帮扶、智力支援、产业帮扶等为重点，强化乡村振兴区级帮扶集团对口指导帮扶功能。建立联系制度，区领导和区级帮扶集团成员单位主要负责人每年赴联系镇村开展调研、指导发展、推动工作至少1次。建立区级帮扶集团联席会议制度。联系区领导为召集人，每半年至少召开1次联席会议，专题研究、安排部署帮扶工作。建立驻村帮扶制度，各区级帮扶集团向重点帮扶村选派乡村振兴工作队，并选派驻村第一书记。</w:t>
      </w:r>
    </w:p>
    <w:p w14:paraId="6EB5E8AF">
      <w:pPr>
        <w:pStyle w:val="3"/>
        <w:spacing w:before="156" w:after="156"/>
        <w:rPr>
          <w:color w:val="000000"/>
          <w:highlight w:val="none"/>
        </w:rPr>
      </w:pPr>
      <w:bookmarkStart w:id="103" w:name="_Toc76313189"/>
      <w:bookmarkStart w:id="104" w:name="_Toc98403197"/>
      <w:r>
        <w:rPr>
          <w:color w:val="000000"/>
          <w:highlight w:val="none"/>
        </w:rPr>
        <w:t>第</w:t>
      </w:r>
      <w:r>
        <w:rPr>
          <w:rFonts w:hint="eastAsia"/>
          <w:color w:val="000000"/>
          <w:highlight w:val="none"/>
        </w:rPr>
        <w:t>二</w:t>
      </w:r>
      <w:r>
        <w:rPr>
          <w:color w:val="000000"/>
          <w:highlight w:val="none"/>
        </w:rPr>
        <w:t xml:space="preserve">节  </w:t>
      </w:r>
      <w:r>
        <w:rPr>
          <w:rFonts w:hint="eastAsia"/>
          <w:color w:val="000000"/>
          <w:highlight w:val="none"/>
        </w:rPr>
        <w:t>分层分类全面推进乡村振兴</w:t>
      </w:r>
      <w:bookmarkEnd w:id="103"/>
      <w:bookmarkEnd w:id="104"/>
    </w:p>
    <w:p w14:paraId="596B4EA2">
      <w:pPr>
        <w:ind w:firstLine="640"/>
        <w:rPr>
          <w:color w:val="000000"/>
          <w:highlight w:val="none"/>
        </w:rPr>
      </w:pPr>
      <w:bookmarkStart w:id="105" w:name="_Hlk86408168"/>
      <w:r>
        <w:rPr>
          <w:rFonts w:hint="eastAsia"/>
          <w:color w:val="000000"/>
          <w:highlight w:val="none"/>
        </w:rPr>
        <w:t>按照“先行示范类”“重点帮扶类”“积极推进类”对全区8个镇分为“两层”“三类”，全面推进乡村振兴</w:t>
      </w:r>
      <w:bookmarkEnd w:id="105"/>
      <w:r>
        <w:rPr>
          <w:rFonts w:hint="eastAsia"/>
          <w:color w:val="000000"/>
          <w:highlight w:val="none"/>
        </w:rPr>
        <w:t>。</w:t>
      </w:r>
      <w:r>
        <w:rPr>
          <w:rFonts w:hint="eastAsia"/>
          <w:b/>
          <w:color w:val="000000"/>
          <w:highlight w:val="none"/>
        </w:rPr>
        <w:t>镇级分类</w:t>
      </w:r>
      <w:r>
        <w:rPr>
          <w:rFonts w:hint="eastAsia"/>
          <w:color w:val="000000"/>
          <w:highlight w:val="none"/>
        </w:rPr>
        <w:t>，其中黑山镇为“先行示范类”，加快提升农业现代化水平，鼓励在深化农业农村改革上先行先试，打造全区乡村振兴镇级示范典型；青年镇、丛林镇为“重点帮扶类”，用足用好帮扶政策，以乡村振兴巩固拓展脱贫攻坚成果；万东镇、南桐镇、关坝镇、金桥镇、石林镇为“积极推进类”，在巩固拓展脱贫攻坚成果基础上，全面推进“</w:t>
      </w:r>
      <w:r>
        <w:rPr>
          <w:rFonts w:hint="eastAsia" w:ascii="方正仿宋_GBK"/>
          <w:color w:val="000000"/>
          <w:highlight w:val="none"/>
        </w:rPr>
        <w:t>五个振兴</w:t>
      </w:r>
      <w:r>
        <w:rPr>
          <w:rFonts w:hint="eastAsia"/>
          <w:color w:val="000000"/>
          <w:highlight w:val="none"/>
        </w:rPr>
        <w:t>”。</w:t>
      </w:r>
      <w:r>
        <w:rPr>
          <w:rFonts w:hint="eastAsia"/>
          <w:b/>
          <w:color w:val="000000"/>
          <w:highlight w:val="none"/>
        </w:rPr>
        <w:t>村级分类</w:t>
      </w:r>
      <w:r>
        <w:rPr>
          <w:rFonts w:hint="eastAsia"/>
          <w:color w:val="000000"/>
          <w:highlight w:val="none"/>
        </w:rPr>
        <w:t>，其中丛林镇绿水村为市区级“乡村振兴先行示范村”，进一步提升发展水平，发挥其在乡村振兴中的示范带动作用，在全区内形成示范效应；万东镇五和村、南桐镇王家坝村、关坝镇凉风村、青年镇板辽村、金桥镇青山村、石林镇星台村、黑山镇鱼子村为“重点帮扶村”，加大帮扶力度，重点支持巩固拓展脱贫攻坚成果同乡村振兴有效衔接。</w:t>
      </w:r>
    </w:p>
    <w:p w14:paraId="27B6BF7C">
      <w:pPr>
        <w:pStyle w:val="2"/>
        <w:spacing w:before="312" w:after="312"/>
        <w:rPr>
          <w:color w:val="000000"/>
          <w:highlight w:val="none"/>
        </w:rPr>
      </w:pPr>
      <w:bookmarkStart w:id="106" w:name="_Toc76313190"/>
      <w:bookmarkStart w:id="107" w:name="_Toc98403198"/>
      <w:r>
        <w:rPr>
          <w:color w:val="000000"/>
          <w:highlight w:val="none"/>
        </w:rPr>
        <w:t>第十</w:t>
      </w:r>
      <w:r>
        <w:rPr>
          <w:rFonts w:hint="eastAsia"/>
          <w:color w:val="000000"/>
          <w:highlight w:val="none"/>
        </w:rPr>
        <w:t>二</w:t>
      </w:r>
      <w:r>
        <w:rPr>
          <w:color w:val="000000"/>
          <w:highlight w:val="none"/>
        </w:rPr>
        <w:t>章  完善多层次帮扶合作机制</w:t>
      </w:r>
      <w:bookmarkEnd w:id="106"/>
      <w:bookmarkEnd w:id="107"/>
    </w:p>
    <w:p w14:paraId="2D974590">
      <w:pPr>
        <w:ind w:firstLine="640"/>
        <w:rPr>
          <w:color w:val="000000"/>
          <w:highlight w:val="none"/>
        </w:rPr>
      </w:pPr>
      <w:r>
        <w:rPr>
          <w:rFonts w:hint="eastAsia"/>
          <w:color w:val="000000"/>
          <w:highlight w:val="none"/>
        </w:rPr>
        <w:t>以跨省市协作、区县结对帮扶和集团帮扶、社会协同帮扶机制为重点，实施“一区两群”结对帮扶强化工程、乡村振兴集团帮扶工程等，形成内外结合的多层次帮扶合作机制。</w:t>
      </w:r>
    </w:p>
    <w:p w14:paraId="6865729F">
      <w:pPr>
        <w:pStyle w:val="3"/>
        <w:spacing w:before="156" w:after="156"/>
        <w:rPr>
          <w:color w:val="000000"/>
          <w:highlight w:val="none"/>
        </w:rPr>
      </w:pPr>
      <w:bookmarkStart w:id="108" w:name="_Toc76313192"/>
      <w:bookmarkStart w:id="109" w:name="_Toc98403199"/>
      <w:bookmarkStart w:id="110" w:name="_Toc76313191"/>
      <w:r>
        <w:rPr>
          <w:color w:val="000000"/>
          <w:highlight w:val="none"/>
        </w:rPr>
        <w:t>第</w:t>
      </w:r>
      <w:r>
        <w:rPr>
          <w:rFonts w:hint="eastAsia"/>
          <w:color w:val="000000"/>
          <w:highlight w:val="none"/>
        </w:rPr>
        <w:t>一</w:t>
      </w:r>
      <w:r>
        <w:rPr>
          <w:color w:val="000000"/>
          <w:highlight w:val="none"/>
        </w:rPr>
        <w:t>节</w:t>
      </w:r>
      <w:r>
        <w:rPr>
          <w:rFonts w:hint="eastAsia"/>
          <w:color w:val="000000"/>
          <w:highlight w:val="none"/>
        </w:rPr>
        <w:t xml:space="preserve"> </w:t>
      </w:r>
      <w:r>
        <w:rPr>
          <w:color w:val="000000"/>
          <w:highlight w:val="none"/>
        </w:rPr>
        <w:t xml:space="preserve"> </w:t>
      </w:r>
      <w:bookmarkEnd w:id="108"/>
      <w:r>
        <w:rPr>
          <w:rFonts w:hint="eastAsia"/>
          <w:color w:val="000000"/>
          <w:highlight w:val="none"/>
        </w:rPr>
        <w:t>完善川渝、渝黔协作机制</w:t>
      </w:r>
      <w:bookmarkEnd w:id="109"/>
    </w:p>
    <w:p w14:paraId="22C37452">
      <w:pPr>
        <w:ind w:firstLine="643"/>
        <w:rPr>
          <w:color w:val="000000"/>
          <w:highlight w:val="none"/>
        </w:rPr>
      </w:pPr>
      <w:r>
        <w:rPr>
          <w:rFonts w:hint="eastAsia"/>
          <w:b/>
          <w:bCs w:val="0"/>
          <w:color w:val="000000"/>
          <w:highlight w:val="none"/>
        </w:rPr>
        <w:t>积极推进川渝地区人才协作</w:t>
      </w:r>
      <w:r>
        <w:rPr>
          <w:rFonts w:hint="eastAsia"/>
          <w:color w:val="000000"/>
          <w:highlight w:val="none"/>
        </w:rPr>
        <w:t>。全面落实《成渝地区双城经济圈建设规划纲要》、《推动成渝地区双城经济圈建设深化人力资源社会保障战略合作协议》，以及区人力社保局与四川省泸州市泸县人力社保局签订的《共同推动成渝地区双城经济圈建设泸县万盛人力资源和社会保障合作协议》，加快推动万盛经开区和泸县人力社保协同高质量发展，在公共就业创业服务协同、人力资源服务业协同发展、专业技术人才工作协作、社会保险协同互认、社会保险风险防控协作、劳动关系协作服务等重点领域的工作交流、信息互联和帮扶合作，系统搭建川渝长效合作机制。共同举办招聘活动、开展职业技能大赛。</w:t>
      </w:r>
    </w:p>
    <w:p w14:paraId="42F4BA63">
      <w:pPr>
        <w:ind w:firstLine="643"/>
        <w:rPr>
          <w:color w:val="000000"/>
          <w:highlight w:val="none"/>
        </w:rPr>
      </w:pPr>
      <w:r>
        <w:rPr>
          <w:rFonts w:hint="eastAsia"/>
          <w:b/>
          <w:bCs w:val="0"/>
          <w:color w:val="000000"/>
          <w:highlight w:val="none"/>
        </w:rPr>
        <w:t>积极推进渝黔地区产业协作</w:t>
      </w:r>
      <w:r>
        <w:rPr>
          <w:rFonts w:hint="eastAsia"/>
          <w:color w:val="000000"/>
          <w:highlight w:val="none"/>
        </w:rPr>
        <w:t>。按照渝黔合作“极点、沿线、沿边”的思路，加快推进渝黔合作先行示范区建设，在交通建设、康养旅游、特色农业培育、农产品消费市场建设等领域加强帮扶合作。加快渝黔交通基础设施互联互通，打造綦江、万盛和遵义间通道经济。围绕打造渝黔东西向文旅融合示范带，与江津、綦江、南川和贵州道真、务川、正安、桐梓等地共同打造国际知名康养度假旅游环线和全国知名旅游目的地。协同共建现代高效农业示范园区，积极推进区域性农产品产销平台建设，共同推动“黔货入渝”“渝货入黔”。</w:t>
      </w:r>
    </w:p>
    <w:p w14:paraId="47A5BB76">
      <w:pPr>
        <w:pStyle w:val="3"/>
        <w:spacing w:before="156" w:after="156"/>
        <w:rPr>
          <w:color w:val="000000"/>
          <w:highlight w:val="none"/>
        </w:rPr>
      </w:pPr>
      <w:bookmarkStart w:id="111" w:name="_Toc98403200"/>
      <w:r>
        <w:rPr>
          <w:color w:val="000000"/>
          <w:highlight w:val="none"/>
        </w:rPr>
        <w:t>第</w:t>
      </w:r>
      <w:r>
        <w:rPr>
          <w:rFonts w:hint="eastAsia"/>
          <w:color w:val="000000"/>
          <w:highlight w:val="none"/>
        </w:rPr>
        <w:t>二</w:t>
      </w:r>
      <w:r>
        <w:rPr>
          <w:color w:val="000000"/>
          <w:highlight w:val="none"/>
        </w:rPr>
        <w:t xml:space="preserve">节  </w:t>
      </w:r>
      <w:r>
        <w:rPr>
          <w:rFonts w:hint="eastAsia"/>
          <w:color w:val="000000"/>
          <w:highlight w:val="none"/>
        </w:rPr>
        <w:t>落实区县结对帮扶协同发展</w:t>
      </w:r>
      <w:bookmarkEnd w:id="111"/>
    </w:p>
    <w:p w14:paraId="6EAED0A8">
      <w:pPr>
        <w:ind w:firstLine="643"/>
        <w:rPr>
          <w:bCs w:val="0"/>
          <w:color w:val="000000"/>
          <w:highlight w:val="none"/>
        </w:rPr>
      </w:pPr>
      <w:r>
        <w:rPr>
          <w:rFonts w:hint="eastAsia"/>
          <w:b/>
          <w:color w:val="000000"/>
          <w:highlight w:val="none"/>
        </w:rPr>
        <w:t>落实对口区县协同发展机制</w:t>
      </w:r>
      <w:r>
        <w:rPr>
          <w:rFonts w:hint="eastAsia"/>
          <w:bCs w:val="0"/>
          <w:color w:val="000000"/>
          <w:highlight w:val="none"/>
        </w:rPr>
        <w:t>。认真贯彻落实全市“一区两群”协调发展战略，用好“一区两群”区县对口协同发展机制，抓好“万盛·开州对口协同发展”实施方案，坚持万盛、开州优势互补、资源共享，制定分年度明确对口协同发展任务。注重帮扶与协同并举、“输血”与“造血”并重，围绕乡村振兴、就业帮扶、产业合作、创新创业等实施重点，落实工作任务，锻造特色产业长板、补齐基础设施短板、筑牢社会民生底板。</w:t>
      </w:r>
    </w:p>
    <w:p w14:paraId="461B65C3">
      <w:pPr>
        <w:ind w:firstLine="643"/>
        <w:rPr>
          <w:color w:val="000000"/>
          <w:highlight w:val="none"/>
        </w:rPr>
      </w:pPr>
      <w:r>
        <w:rPr>
          <w:rFonts w:hint="eastAsia"/>
          <w:b/>
          <w:bCs w:val="0"/>
          <w:color w:val="000000"/>
          <w:highlight w:val="none"/>
        </w:rPr>
        <w:t>加快綦江—万盛一体化同城化融合化发展</w:t>
      </w:r>
      <w:r>
        <w:rPr>
          <w:rFonts w:hint="eastAsia"/>
          <w:color w:val="000000"/>
          <w:highlight w:val="none"/>
        </w:rPr>
        <w:t>。加快两地农业产业体系建设，推动现代山地特色高效农业在乡村振兴重点帮扶镇、脱贫村、乡村振兴示范村、乡村振兴重点帮扶村集群化、规模化发展，带动易返贫致贫户规模种植加工以及周边乡村旅游业和配套服务业发展，创建国家级现代农业产业园。推进公共服务均衡普惠、整体提升，合力完善社会救助政策，规范社会救助管理，深入推进实施“民政惠民济困保”综合保险项目。</w:t>
      </w:r>
    </w:p>
    <w:p w14:paraId="0CD2084F">
      <w:pPr>
        <w:pStyle w:val="3"/>
        <w:spacing w:before="156" w:after="156"/>
        <w:rPr>
          <w:color w:val="000000"/>
          <w:highlight w:val="none"/>
        </w:rPr>
      </w:pPr>
      <w:bookmarkStart w:id="112" w:name="_Toc98403201"/>
      <w:r>
        <w:rPr>
          <w:color w:val="000000"/>
          <w:highlight w:val="none"/>
        </w:rPr>
        <w:t>第</w:t>
      </w:r>
      <w:r>
        <w:rPr>
          <w:rFonts w:hint="eastAsia"/>
          <w:color w:val="000000"/>
          <w:highlight w:val="none"/>
        </w:rPr>
        <w:t>三</w:t>
      </w:r>
      <w:r>
        <w:rPr>
          <w:color w:val="000000"/>
          <w:highlight w:val="none"/>
        </w:rPr>
        <w:t>节</w:t>
      </w:r>
      <w:r>
        <w:rPr>
          <w:rFonts w:hint="eastAsia"/>
          <w:color w:val="000000"/>
          <w:highlight w:val="none"/>
        </w:rPr>
        <w:t xml:space="preserve"> </w:t>
      </w:r>
      <w:r>
        <w:rPr>
          <w:color w:val="000000"/>
          <w:highlight w:val="none"/>
        </w:rPr>
        <w:t xml:space="preserve"> </w:t>
      </w:r>
      <w:bookmarkEnd w:id="110"/>
      <w:r>
        <w:rPr>
          <w:rFonts w:hint="eastAsia"/>
          <w:color w:val="000000"/>
          <w:highlight w:val="none"/>
        </w:rPr>
        <w:t>建立社会帮扶工作机制</w:t>
      </w:r>
      <w:bookmarkEnd w:id="112"/>
    </w:p>
    <w:p w14:paraId="711CCA05">
      <w:pPr>
        <w:ind w:firstLine="640"/>
        <w:rPr>
          <w:color w:val="000000"/>
          <w:highlight w:val="none"/>
        </w:rPr>
      </w:pPr>
      <w:r>
        <w:rPr>
          <w:rFonts w:hint="eastAsia"/>
          <w:color w:val="000000"/>
          <w:highlight w:val="none"/>
        </w:rPr>
        <w:t>深化推进社会协同帮扶，引导民营企业和各类社会组织参与帮扶，实施“万企兴万村”行动，鼓励民营企业通过发展产业、吸纳就业、消费帮扶、智力帮扶、爱心捐赠等方式开展结对帮扶，落实市级支持企业、社会组织参与帮扶的激励政策，加强帮扶公益宣传，动员组织各类志愿服务团队、社会各界爱心人士开展帮扶志愿服务。</w:t>
      </w:r>
    </w:p>
    <w:p w14:paraId="39D581F9">
      <w:pPr>
        <w:pStyle w:val="2"/>
        <w:spacing w:before="312" w:after="312"/>
        <w:rPr>
          <w:color w:val="000000"/>
          <w:highlight w:val="none"/>
        </w:rPr>
      </w:pPr>
      <w:bookmarkStart w:id="113" w:name="_Toc76313195"/>
      <w:bookmarkStart w:id="114" w:name="_Toc98403202"/>
      <w:r>
        <w:rPr>
          <w:color w:val="000000"/>
          <w:highlight w:val="none"/>
        </w:rPr>
        <w:t>第十</w:t>
      </w:r>
      <w:r>
        <w:rPr>
          <w:rFonts w:hint="eastAsia"/>
          <w:color w:val="000000"/>
          <w:highlight w:val="none"/>
        </w:rPr>
        <w:t>三</w:t>
      </w:r>
      <w:r>
        <w:rPr>
          <w:color w:val="000000"/>
          <w:highlight w:val="none"/>
        </w:rPr>
        <w:t>章</w:t>
      </w:r>
      <w:r>
        <w:rPr>
          <w:rFonts w:hint="eastAsia"/>
          <w:color w:val="000000"/>
          <w:highlight w:val="none"/>
        </w:rPr>
        <w:t xml:space="preserve"> </w:t>
      </w:r>
      <w:r>
        <w:rPr>
          <w:color w:val="000000"/>
          <w:highlight w:val="none"/>
        </w:rPr>
        <w:t xml:space="preserve"> 保障措施</w:t>
      </w:r>
      <w:bookmarkEnd w:id="113"/>
      <w:bookmarkEnd w:id="114"/>
    </w:p>
    <w:bookmarkEnd w:id="1"/>
    <w:bookmarkEnd w:id="2"/>
    <w:p w14:paraId="35ED30F9">
      <w:pPr>
        <w:pStyle w:val="3"/>
        <w:spacing w:before="156" w:after="156"/>
        <w:rPr>
          <w:color w:val="000000"/>
          <w:highlight w:val="none"/>
        </w:rPr>
      </w:pPr>
      <w:bookmarkStart w:id="115" w:name="_Toc73869594"/>
      <w:bookmarkStart w:id="116" w:name="_Toc76313196"/>
      <w:bookmarkStart w:id="117" w:name="_Toc98403203"/>
      <w:r>
        <w:rPr>
          <w:color w:val="000000"/>
          <w:highlight w:val="none"/>
        </w:rPr>
        <w:t>第一节  加强组织领导</w:t>
      </w:r>
      <w:bookmarkEnd w:id="115"/>
      <w:bookmarkEnd w:id="116"/>
      <w:bookmarkEnd w:id="117"/>
    </w:p>
    <w:p w14:paraId="105B5E06">
      <w:pPr>
        <w:ind w:firstLine="640"/>
        <w:rPr>
          <w:color w:val="000000"/>
          <w:highlight w:val="none"/>
        </w:rPr>
      </w:pPr>
      <w:r>
        <w:rPr>
          <w:rFonts w:hint="eastAsia"/>
          <w:color w:val="000000"/>
          <w:highlight w:val="none"/>
        </w:rPr>
        <w:t>按照区负总责、行业部门主管、镇村抓落实的工作机制，充分发挥党工委农村工作暨实施乡村振兴战略工作领导小组作用，加强工作统筹协调。</w:t>
      </w:r>
    </w:p>
    <w:p w14:paraId="4E11EB8F">
      <w:pPr>
        <w:ind w:firstLine="640"/>
        <w:rPr>
          <w:color w:val="000000"/>
          <w:highlight w:val="none"/>
        </w:rPr>
      </w:pPr>
      <w:r>
        <w:rPr>
          <w:rFonts w:hint="eastAsia"/>
          <w:color w:val="000000"/>
          <w:highlight w:val="none"/>
        </w:rPr>
        <w:t>建立区领导联系乡村振兴工作机制，协调推动联系镇村经济社会发展和城乡融合发展，帮助解决联系镇村改革发展中有关重要问题。落实主体责任，坚持“五级书记”一起抓，区党工委书记切实履行衔接工作一线总指挥职责，确保中央决策、市委部署具体工作落地见效。镇党委书记、村党支部书记履行第一责任。</w:t>
      </w:r>
    </w:p>
    <w:p w14:paraId="161681C0">
      <w:pPr>
        <w:ind w:firstLine="640"/>
        <w:rPr>
          <w:color w:val="000000"/>
          <w:highlight w:val="none"/>
        </w:rPr>
      </w:pPr>
      <w:r>
        <w:rPr>
          <w:rFonts w:hint="eastAsia"/>
          <w:color w:val="000000"/>
          <w:highlight w:val="none"/>
        </w:rPr>
        <w:t>坚持党政一把手同责，各级党委政府定期研究巩固拓展脱贫攻坚成果同乡村振兴有效衔接工作形势。各级党委政府职能部门结合行业发展任务，负责分管领域推进巩固拓展脱贫攻坚成果同乡村振兴有效衔接重点工作，牵头制定年度工作计划，研究解决本行业本领域重大问题，清单化、项目化推进重点工作落实</w:t>
      </w:r>
      <w:r>
        <w:rPr>
          <w:color w:val="000000"/>
          <w:highlight w:val="none"/>
        </w:rPr>
        <w:t>。</w:t>
      </w:r>
    </w:p>
    <w:p w14:paraId="3C447CF0">
      <w:pPr>
        <w:pStyle w:val="3"/>
        <w:spacing w:before="156" w:after="156"/>
        <w:rPr>
          <w:color w:val="000000"/>
          <w:highlight w:val="none"/>
        </w:rPr>
      </w:pPr>
      <w:bookmarkStart w:id="118" w:name="_Toc73869595"/>
      <w:bookmarkStart w:id="119" w:name="_Toc76313197"/>
      <w:bookmarkStart w:id="120" w:name="_Toc98403204"/>
      <w:r>
        <w:rPr>
          <w:color w:val="000000"/>
          <w:highlight w:val="none"/>
        </w:rPr>
        <w:t>第二节</w:t>
      </w:r>
      <w:r>
        <w:rPr>
          <w:rFonts w:hint="eastAsia"/>
          <w:color w:val="000000"/>
          <w:highlight w:val="none"/>
        </w:rPr>
        <w:t xml:space="preserve"> </w:t>
      </w:r>
      <w:r>
        <w:rPr>
          <w:color w:val="000000"/>
          <w:highlight w:val="none"/>
        </w:rPr>
        <w:t xml:space="preserve"> 做好</w:t>
      </w:r>
      <w:bookmarkEnd w:id="118"/>
      <w:bookmarkEnd w:id="119"/>
      <w:r>
        <w:rPr>
          <w:rFonts w:hint="eastAsia"/>
          <w:color w:val="000000"/>
          <w:highlight w:val="none"/>
        </w:rPr>
        <w:t>政策支持</w:t>
      </w:r>
      <w:bookmarkEnd w:id="120"/>
    </w:p>
    <w:p w14:paraId="37808DDE">
      <w:pPr>
        <w:ind w:firstLine="640"/>
        <w:rPr>
          <w:color w:val="000000"/>
          <w:highlight w:val="none"/>
        </w:rPr>
      </w:pPr>
      <w:r>
        <w:rPr>
          <w:rFonts w:hint="eastAsia"/>
          <w:color w:val="000000"/>
          <w:highlight w:val="none"/>
        </w:rPr>
        <w:t>强化财政投入政策支持。巩固期内，原财政专项扶贫资金相应调整为衔接推进乡村振兴补助资金。根据巩固拓展脱贫攻坚成果同乡村振兴有效衔接的任务需要及财力情况，年度预算中安排一定规模的本级衔接资金，保持投入力度总体稳定。积极对接市级财政转移支付，力争继续向</w:t>
      </w:r>
      <w:bookmarkStart w:id="121" w:name="_Hlk86318804"/>
      <w:r>
        <w:rPr>
          <w:rFonts w:hint="eastAsia"/>
          <w:color w:val="000000"/>
          <w:highlight w:val="none"/>
        </w:rPr>
        <w:t>脱贫村、乡村振兴示范村和</w:t>
      </w:r>
      <w:bookmarkStart w:id="122" w:name="_Hlk85720181"/>
      <w:r>
        <w:rPr>
          <w:rFonts w:hint="eastAsia"/>
          <w:color w:val="000000"/>
          <w:highlight w:val="none"/>
        </w:rPr>
        <w:t>乡村振兴重点帮扶村</w:t>
      </w:r>
      <w:bookmarkEnd w:id="121"/>
      <w:bookmarkEnd w:id="122"/>
      <w:r>
        <w:rPr>
          <w:rFonts w:hint="eastAsia"/>
          <w:color w:val="000000"/>
          <w:highlight w:val="none"/>
        </w:rPr>
        <w:t>倾斜，稳步提高土地出让收入用于农业农村比例，扩大地方政府债券用于农业农村发展规模，脱贫攻坚相关税收优惠政策按国家有关规定延续。</w:t>
      </w:r>
    </w:p>
    <w:p w14:paraId="34A0FB01">
      <w:pPr>
        <w:ind w:firstLine="640"/>
        <w:rPr>
          <w:color w:val="000000"/>
          <w:highlight w:val="none"/>
        </w:rPr>
      </w:pPr>
      <w:r>
        <w:rPr>
          <w:rFonts w:hint="eastAsia"/>
          <w:color w:val="000000"/>
          <w:highlight w:val="none"/>
        </w:rPr>
        <w:t>强化金融帮扶政策支持。用好政策性金融资源，继续落实再贷款政策，支持金融机构扩大涉农贷款投放，坚持并进一步优化完善脱贫人口小额信贷政策，切实满足脱贫人口小额信贷需求。鼓励和支持保险机构因地制宜开发防返贫致贫和优势特色产业保险，为乡村振兴重点帮扶镇、脱贫村、乡村振兴示范村和乡村振兴重点帮扶村做好保险服务，总结深化脱贫攻坚期间“三保联动”保险扶贫有益探索，稳步推进“综合防贫保”试点工作。</w:t>
      </w:r>
    </w:p>
    <w:p w14:paraId="533A9AB0">
      <w:pPr>
        <w:ind w:firstLine="640"/>
        <w:rPr>
          <w:color w:val="000000"/>
          <w:highlight w:val="none"/>
        </w:rPr>
      </w:pPr>
      <w:r>
        <w:rPr>
          <w:rFonts w:hint="eastAsia"/>
          <w:color w:val="000000"/>
          <w:highlight w:val="none"/>
        </w:rPr>
        <w:t>强化引资政策支持。创新社会资本投资模式、集体经济融资和担保模式、鼓励乡贤筹资等多种投融资渠道，拓宽资金来源。</w:t>
      </w:r>
    </w:p>
    <w:p w14:paraId="54EC97D5">
      <w:pPr>
        <w:ind w:firstLine="640"/>
        <w:rPr>
          <w:color w:val="000000"/>
          <w:highlight w:val="none"/>
        </w:rPr>
      </w:pPr>
      <w:r>
        <w:rPr>
          <w:rFonts w:hint="eastAsia"/>
          <w:color w:val="000000"/>
          <w:highlight w:val="none"/>
        </w:rPr>
        <w:t>强化土地政策支持。在建设用地增减挂钩节余指标跨地域调剂、新增建设用地计划指标、规划审批、土地利用、耕地保护等方面予以倾斜支持。强化在重点项目建设、生态帮扶、社会帮扶、“两不愁三保障”和饮水安全成果巩固、产业帮扶、就业帮扶、基础设施建设、公共服务保障、残疾人保障和服务、社会救助兜底保障等领域的全方位政策支持投入力度。</w:t>
      </w:r>
    </w:p>
    <w:p w14:paraId="6B117EE4">
      <w:pPr>
        <w:pStyle w:val="3"/>
        <w:spacing w:before="156" w:after="156"/>
        <w:rPr>
          <w:color w:val="000000"/>
          <w:highlight w:val="none"/>
        </w:rPr>
      </w:pPr>
      <w:bookmarkStart w:id="123" w:name="_Toc76313198"/>
      <w:bookmarkStart w:id="124" w:name="_Toc98403205"/>
      <w:r>
        <w:rPr>
          <w:color w:val="000000"/>
          <w:highlight w:val="none"/>
        </w:rPr>
        <w:t>第三节  强化人才供给</w:t>
      </w:r>
      <w:bookmarkEnd w:id="123"/>
      <w:bookmarkEnd w:id="124"/>
    </w:p>
    <w:p w14:paraId="4B65F0F0">
      <w:pPr>
        <w:ind w:firstLine="640"/>
        <w:rPr>
          <w:color w:val="000000"/>
          <w:highlight w:val="none"/>
        </w:rPr>
      </w:pPr>
      <w:r>
        <w:rPr>
          <w:rFonts w:hint="eastAsia"/>
          <w:color w:val="000000"/>
          <w:highlight w:val="none"/>
        </w:rPr>
        <w:t>延续脱贫攻坚期各项人才智力支持政策，健全引导人才向乡村基层流动激励机制，健全城乡人才合作交流机制，鼓励城市教科文卫体等工作人员积极参与农村服务。深入实施高校毕业生“三支一扶”、高校毕业生基层成长等计划，在每个镇开发“三支一扶”服务岗位，落实镇街工作补贴等待遇。加强乡村骨干教师、卫生健康人才、“三师一家”技能人才等公共服务人才引进和培育，建立完善卫生、教育领域人才“区聘镇用”“镇聘村用”“区管校聘”制度。培养一批乡村文艺工作者、文化志愿者、非遗传承人和乡村旅游示范者，培育一批修路工、水利员、改厕专家、农村住房建设辅导员等专业人员。深入实施科技特派员制度，加大科技特派员培训和选派力度，推进农业科技推广人员“区管镇用、下沉到村”机制建设。</w:t>
      </w:r>
    </w:p>
    <w:p w14:paraId="5BA38CED">
      <w:pPr>
        <w:pStyle w:val="3"/>
        <w:spacing w:before="156" w:after="156"/>
        <w:rPr>
          <w:color w:val="000000"/>
          <w:highlight w:val="none"/>
        </w:rPr>
      </w:pPr>
      <w:bookmarkStart w:id="125" w:name="_Toc76313199"/>
      <w:bookmarkStart w:id="126" w:name="_Toc98403206"/>
      <w:r>
        <w:rPr>
          <w:color w:val="000000"/>
          <w:highlight w:val="none"/>
        </w:rPr>
        <w:t>第四节</w:t>
      </w:r>
      <w:r>
        <w:rPr>
          <w:rFonts w:hint="eastAsia"/>
          <w:color w:val="000000"/>
          <w:highlight w:val="none"/>
        </w:rPr>
        <w:t xml:space="preserve"> </w:t>
      </w:r>
      <w:r>
        <w:rPr>
          <w:color w:val="000000"/>
          <w:highlight w:val="none"/>
        </w:rPr>
        <w:t xml:space="preserve"> </w:t>
      </w:r>
      <w:bookmarkEnd w:id="125"/>
      <w:bookmarkEnd w:id="126"/>
      <w:r>
        <w:rPr>
          <w:rFonts w:hint="eastAsia"/>
          <w:color w:val="000000"/>
          <w:highlight w:val="none"/>
        </w:rPr>
        <w:t>加强实施管理</w:t>
      </w:r>
    </w:p>
    <w:p w14:paraId="0C971F3A">
      <w:pPr>
        <w:ind w:firstLine="640"/>
        <w:rPr>
          <w:color w:val="000000"/>
          <w:highlight w:val="none"/>
        </w:rPr>
      </w:pPr>
      <w:r>
        <w:rPr>
          <w:rFonts w:hint="eastAsia"/>
          <w:color w:val="000000"/>
          <w:highlight w:val="none"/>
        </w:rPr>
        <w:t>加强对本专项规划明确的重大政策、重点改革举措、重大工程项目等的跟踪监督。抓好规划实施评估考核，建立规划实施督促检查机制，适时开展规划评估，对各项目标、任务、项目的实施情况和实现情况进行评估和适时调整。将巩固脱贫攻坚成果后评估结果作为区级各部门、各镇党委政府主要负责同志和领导班子实绩评价的重要参考。</w:t>
      </w:r>
    </w:p>
    <w:sectPr>
      <w:footerReference r:id="rId12"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auto"/>
    <w:pitch w:val="default"/>
    <w:sig w:usb0="A10006FF" w:usb1="4000205B" w:usb2="00000010" w:usb3="00000000" w:csb0="2000019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8ED5E">
    <w:pPr>
      <w:pStyle w:val="11"/>
      <w:tabs>
        <w:tab w:val="left" w:pos="6300"/>
      </w:tabs>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7EFEF">
    <w:pPr>
      <w:pStyle w:val="11"/>
      <w:tabs>
        <w:tab w:val="left" w:pos="6300"/>
      </w:tabs>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A4D79">
    <w:pPr>
      <w:pStyle w:val="11"/>
      <w:tabs>
        <w:tab w:val="left" w:pos="6300"/>
      </w:tabs>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97389">
    <w:pPr>
      <w:pStyle w:val="11"/>
      <w:tabs>
        <w:tab w:val="left" w:pos="6300"/>
      </w:tabs>
      <w:ind w:firstLine="360"/>
      <w:jc w:val="center"/>
    </w:pPr>
    <w:r>
      <w:fldChar w:fldCharType="begin"/>
    </w:r>
    <w:r>
      <w:instrText xml:space="preserve">PAGE   \* MERGEFORMAT</w:instrText>
    </w:r>
    <w:r>
      <w:fldChar w:fldCharType="separate"/>
    </w:r>
    <w:r>
      <w:t>1</w:t>
    </w:r>
    <w:r>
      <w:fldChar w:fldCharType="end"/>
    </w:r>
  </w:p>
  <w:p w14:paraId="7D80DBB3">
    <w:pPr>
      <w:pStyle w:val="11"/>
      <w:tabs>
        <w:tab w:val="left" w:pos="6300"/>
      </w:tabs>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0D9CE">
    <w:pPr>
      <w:pStyle w:val="11"/>
      <w:tabs>
        <w:tab w:val="left" w:pos="6300"/>
      </w:tabs>
      <w:spacing w:line="240" w:lineRule="auto"/>
      <w:ind w:firstLine="0" w:firstLineChars="0"/>
      <w:jc w:val="center"/>
    </w:pPr>
    <w:r>
      <w:fldChar w:fldCharType="begin"/>
    </w:r>
    <w:r>
      <w:instrText xml:space="preserve">PAGE   \* MERGEFORMAT</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40"/>
      </w:pPr>
      <w:r>
        <w:separator/>
      </w:r>
    </w:p>
  </w:footnote>
  <w:footnote w:type="continuationSeparator" w:id="3">
    <w:p>
      <w:pPr>
        <w:spacing w:line="240" w:lineRule="auto"/>
        <w:ind w:firstLine="640"/>
      </w:pPr>
      <w:r>
        <w:continuationSeparator/>
      </w:r>
    </w:p>
  </w:footnote>
  <w:footnote w:id="0">
    <w:p w14:paraId="35FA73BA">
      <w:pPr>
        <w:pStyle w:val="15"/>
        <w:spacing w:line="300" w:lineRule="exact"/>
        <w:ind w:firstLine="0" w:firstLineChars="0"/>
        <w:rPr>
          <w:rFonts w:ascii="方正仿宋_GBK"/>
          <w:sz w:val="21"/>
          <w:szCs w:val="21"/>
        </w:rPr>
      </w:pPr>
      <w:r>
        <w:rPr>
          <w:rStyle w:val="26"/>
          <w:rFonts w:hint="eastAsia" w:ascii="方正仿宋_GBK"/>
          <w:sz w:val="21"/>
          <w:szCs w:val="21"/>
        </w:rPr>
        <w:footnoteRef/>
      </w:r>
      <w:r>
        <w:rPr>
          <w:rFonts w:hint="eastAsia" w:ascii="方正仿宋_GBK"/>
          <w:sz w:val="21"/>
          <w:szCs w:val="21"/>
        </w:rPr>
        <w:t>即：脱贫不稳定户、边缘易致贫户、突发严重困难户。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94E3C">
    <w:pPr>
      <w:pStyle w:val="12"/>
      <w:pBdr>
        <w:bottom w:val="none" w:color="auto" w:sz="0" w:space="0"/>
      </w:pBdr>
      <w:tabs>
        <w:tab w:val="left" w:pos="6300"/>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0B12B">
    <w:pPr>
      <w:pStyle w:val="12"/>
      <w:tabs>
        <w:tab w:val="left" w:pos="6300"/>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7BBE9">
    <w:pPr>
      <w:pStyle w:val="12"/>
      <w:tabs>
        <w:tab w:val="left" w:pos="6300"/>
      </w:tabs>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MjhlYmI1MzgyYWY1MDg5NWFkZDRiMGJlYTIyMjAifQ=="/>
  </w:docVars>
  <w:rsids>
    <w:rsidRoot w:val="00657C81"/>
    <w:rsid w:val="00004F47"/>
    <w:rsid w:val="00014B9A"/>
    <w:rsid w:val="00030C2C"/>
    <w:rsid w:val="0003507A"/>
    <w:rsid w:val="000475FB"/>
    <w:rsid w:val="00050F0E"/>
    <w:rsid w:val="000558BB"/>
    <w:rsid w:val="0006062B"/>
    <w:rsid w:val="00062150"/>
    <w:rsid w:val="00062243"/>
    <w:rsid w:val="00063236"/>
    <w:rsid w:val="0008269B"/>
    <w:rsid w:val="000879F4"/>
    <w:rsid w:val="00097D69"/>
    <w:rsid w:val="000B08AC"/>
    <w:rsid w:val="000B753D"/>
    <w:rsid w:val="000C54C7"/>
    <w:rsid w:val="000D1119"/>
    <w:rsid w:val="000D414E"/>
    <w:rsid w:val="000D6F13"/>
    <w:rsid w:val="000E00D3"/>
    <w:rsid w:val="000E2412"/>
    <w:rsid w:val="000E4627"/>
    <w:rsid w:val="00100D4B"/>
    <w:rsid w:val="00112480"/>
    <w:rsid w:val="00113AAE"/>
    <w:rsid w:val="00120946"/>
    <w:rsid w:val="0012439A"/>
    <w:rsid w:val="001329B9"/>
    <w:rsid w:val="00132A17"/>
    <w:rsid w:val="00132A98"/>
    <w:rsid w:val="001336BB"/>
    <w:rsid w:val="00142DFA"/>
    <w:rsid w:val="00160737"/>
    <w:rsid w:val="00161CFC"/>
    <w:rsid w:val="00165BC5"/>
    <w:rsid w:val="00167DD3"/>
    <w:rsid w:val="00180319"/>
    <w:rsid w:val="00191BA2"/>
    <w:rsid w:val="00194ECC"/>
    <w:rsid w:val="001C304F"/>
    <w:rsid w:val="001C3904"/>
    <w:rsid w:val="001C43D8"/>
    <w:rsid w:val="001E6215"/>
    <w:rsid w:val="001F37C6"/>
    <w:rsid w:val="002175F1"/>
    <w:rsid w:val="00217730"/>
    <w:rsid w:val="00220DAF"/>
    <w:rsid w:val="0022271D"/>
    <w:rsid w:val="0022401C"/>
    <w:rsid w:val="00226DC6"/>
    <w:rsid w:val="00243F65"/>
    <w:rsid w:val="00246488"/>
    <w:rsid w:val="002466FC"/>
    <w:rsid w:val="00263076"/>
    <w:rsid w:val="0026519A"/>
    <w:rsid w:val="00266E9D"/>
    <w:rsid w:val="00270133"/>
    <w:rsid w:val="00270271"/>
    <w:rsid w:val="0027643D"/>
    <w:rsid w:val="00283AB4"/>
    <w:rsid w:val="00294178"/>
    <w:rsid w:val="00295FC5"/>
    <w:rsid w:val="002A3858"/>
    <w:rsid w:val="002A483B"/>
    <w:rsid w:val="002A5313"/>
    <w:rsid w:val="002B1F95"/>
    <w:rsid w:val="002C3F19"/>
    <w:rsid w:val="002E243F"/>
    <w:rsid w:val="002E2D56"/>
    <w:rsid w:val="002E3A15"/>
    <w:rsid w:val="002E7911"/>
    <w:rsid w:val="002F320A"/>
    <w:rsid w:val="002F738D"/>
    <w:rsid w:val="00301986"/>
    <w:rsid w:val="0032294F"/>
    <w:rsid w:val="00342E70"/>
    <w:rsid w:val="00357F1F"/>
    <w:rsid w:val="00363C17"/>
    <w:rsid w:val="0037393B"/>
    <w:rsid w:val="00376947"/>
    <w:rsid w:val="00381758"/>
    <w:rsid w:val="00383070"/>
    <w:rsid w:val="003A2187"/>
    <w:rsid w:val="003A460D"/>
    <w:rsid w:val="003B1816"/>
    <w:rsid w:val="003C1D30"/>
    <w:rsid w:val="003C58BC"/>
    <w:rsid w:val="003F0B26"/>
    <w:rsid w:val="0040097E"/>
    <w:rsid w:val="004036B2"/>
    <w:rsid w:val="00411F2E"/>
    <w:rsid w:val="00430A70"/>
    <w:rsid w:val="00433BF9"/>
    <w:rsid w:val="00441AB9"/>
    <w:rsid w:val="004463F5"/>
    <w:rsid w:val="004635F2"/>
    <w:rsid w:val="00476D24"/>
    <w:rsid w:val="004A5C2F"/>
    <w:rsid w:val="004C0447"/>
    <w:rsid w:val="004D0408"/>
    <w:rsid w:val="004E2B10"/>
    <w:rsid w:val="004F3A2E"/>
    <w:rsid w:val="004F4BCB"/>
    <w:rsid w:val="004F694E"/>
    <w:rsid w:val="0050044C"/>
    <w:rsid w:val="00502037"/>
    <w:rsid w:val="00514AF2"/>
    <w:rsid w:val="00515829"/>
    <w:rsid w:val="00516515"/>
    <w:rsid w:val="005415F6"/>
    <w:rsid w:val="00550F07"/>
    <w:rsid w:val="005607E6"/>
    <w:rsid w:val="0057372A"/>
    <w:rsid w:val="00590E3F"/>
    <w:rsid w:val="005940DE"/>
    <w:rsid w:val="00597427"/>
    <w:rsid w:val="005A12EE"/>
    <w:rsid w:val="005A40C3"/>
    <w:rsid w:val="005B0F77"/>
    <w:rsid w:val="005B11EF"/>
    <w:rsid w:val="005D05EF"/>
    <w:rsid w:val="005D2AF1"/>
    <w:rsid w:val="00600F70"/>
    <w:rsid w:val="006108E9"/>
    <w:rsid w:val="00616614"/>
    <w:rsid w:val="00620E94"/>
    <w:rsid w:val="006414B0"/>
    <w:rsid w:val="00643C80"/>
    <w:rsid w:val="00650850"/>
    <w:rsid w:val="006535CE"/>
    <w:rsid w:val="00657538"/>
    <w:rsid w:val="00657C81"/>
    <w:rsid w:val="0066192A"/>
    <w:rsid w:val="00665B16"/>
    <w:rsid w:val="0068192A"/>
    <w:rsid w:val="00686048"/>
    <w:rsid w:val="00687383"/>
    <w:rsid w:val="00687ED4"/>
    <w:rsid w:val="006904AB"/>
    <w:rsid w:val="00693D63"/>
    <w:rsid w:val="006A06A8"/>
    <w:rsid w:val="006A0B3F"/>
    <w:rsid w:val="006A700D"/>
    <w:rsid w:val="006B3792"/>
    <w:rsid w:val="006C06AD"/>
    <w:rsid w:val="006C747E"/>
    <w:rsid w:val="006D037C"/>
    <w:rsid w:val="006D27FA"/>
    <w:rsid w:val="006E082E"/>
    <w:rsid w:val="006F19DB"/>
    <w:rsid w:val="007038B8"/>
    <w:rsid w:val="00706DCE"/>
    <w:rsid w:val="00732E39"/>
    <w:rsid w:val="007434CB"/>
    <w:rsid w:val="007566EF"/>
    <w:rsid w:val="00775172"/>
    <w:rsid w:val="0078135E"/>
    <w:rsid w:val="007875B9"/>
    <w:rsid w:val="00793E99"/>
    <w:rsid w:val="00794102"/>
    <w:rsid w:val="00795751"/>
    <w:rsid w:val="00795761"/>
    <w:rsid w:val="00797C82"/>
    <w:rsid w:val="007B0668"/>
    <w:rsid w:val="007B46EE"/>
    <w:rsid w:val="007C2D3C"/>
    <w:rsid w:val="007C7484"/>
    <w:rsid w:val="007D024D"/>
    <w:rsid w:val="007D0422"/>
    <w:rsid w:val="007D2407"/>
    <w:rsid w:val="008070DA"/>
    <w:rsid w:val="00811049"/>
    <w:rsid w:val="00840E0F"/>
    <w:rsid w:val="00842A4D"/>
    <w:rsid w:val="0085094F"/>
    <w:rsid w:val="00851B47"/>
    <w:rsid w:val="008654B9"/>
    <w:rsid w:val="00895206"/>
    <w:rsid w:val="008C2DAD"/>
    <w:rsid w:val="008D4EF0"/>
    <w:rsid w:val="008E2C7E"/>
    <w:rsid w:val="008F592B"/>
    <w:rsid w:val="0090341E"/>
    <w:rsid w:val="009147FA"/>
    <w:rsid w:val="0091515D"/>
    <w:rsid w:val="00933D5F"/>
    <w:rsid w:val="00935881"/>
    <w:rsid w:val="00940D3C"/>
    <w:rsid w:val="0097399E"/>
    <w:rsid w:val="00974C6E"/>
    <w:rsid w:val="00975467"/>
    <w:rsid w:val="00980043"/>
    <w:rsid w:val="00983B90"/>
    <w:rsid w:val="00984F7C"/>
    <w:rsid w:val="009A3421"/>
    <w:rsid w:val="009C1688"/>
    <w:rsid w:val="009C3B2C"/>
    <w:rsid w:val="009D14F2"/>
    <w:rsid w:val="009D6048"/>
    <w:rsid w:val="009E514B"/>
    <w:rsid w:val="00A0119A"/>
    <w:rsid w:val="00A07FF9"/>
    <w:rsid w:val="00A22357"/>
    <w:rsid w:val="00A24E11"/>
    <w:rsid w:val="00A419CF"/>
    <w:rsid w:val="00A433FA"/>
    <w:rsid w:val="00A55F48"/>
    <w:rsid w:val="00A76AF0"/>
    <w:rsid w:val="00A96B4B"/>
    <w:rsid w:val="00AA3DBF"/>
    <w:rsid w:val="00AA4640"/>
    <w:rsid w:val="00AA7B38"/>
    <w:rsid w:val="00AC255B"/>
    <w:rsid w:val="00AE571A"/>
    <w:rsid w:val="00AE72E7"/>
    <w:rsid w:val="00B01FF1"/>
    <w:rsid w:val="00B116ED"/>
    <w:rsid w:val="00B1339E"/>
    <w:rsid w:val="00B21AE6"/>
    <w:rsid w:val="00B2338F"/>
    <w:rsid w:val="00B27E61"/>
    <w:rsid w:val="00B3125D"/>
    <w:rsid w:val="00B42144"/>
    <w:rsid w:val="00B42D3B"/>
    <w:rsid w:val="00B55F2E"/>
    <w:rsid w:val="00B66100"/>
    <w:rsid w:val="00B67D6F"/>
    <w:rsid w:val="00B76133"/>
    <w:rsid w:val="00B82467"/>
    <w:rsid w:val="00B920EE"/>
    <w:rsid w:val="00BA210D"/>
    <w:rsid w:val="00BA6F92"/>
    <w:rsid w:val="00BB1148"/>
    <w:rsid w:val="00BB6B02"/>
    <w:rsid w:val="00BC53F0"/>
    <w:rsid w:val="00BC5465"/>
    <w:rsid w:val="00BD5EE4"/>
    <w:rsid w:val="00BE2C49"/>
    <w:rsid w:val="00BF0163"/>
    <w:rsid w:val="00C079EF"/>
    <w:rsid w:val="00C10C10"/>
    <w:rsid w:val="00C13CF6"/>
    <w:rsid w:val="00C302B3"/>
    <w:rsid w:val="00C342BB"/>
    <w:rsid w:val="00C52CDC"/>
    <w:rsid w:val="00C73ED9"/>
    <w:rsid w:val="00C74382"/>
    <w:rsid w:val="00CA2E33"/>
    <w:rsid w:val="00CB2531"/>
    <w:rsid w:val="00CB5C56"/>
    <w:rsid w:val="00CB6347"/>
    <w:rsid w:val="00CB73DA"/>
    <w:rsid w:val="00CF0213"/>
    <w:rsid w:val="00D13D4E"/>
    <w:rsid w:val="00D2250E"/>
    <w:rsid w:val="00D25666"/>
    <w:rsid w:val="00D405A8"/>
    <w:rsid w:val="00D43AEF"/>
    <w:rsid w:val="00D4686E"/>
    <w:rsid w:val="00D55427"/>
    <w:rsid w:val="00D6503B"/>
    <w:rsid w:val="00D722D8"/>
    <w:rsid w:val="00DA0F8C"/>
    <w:rsid w:val="00DB638D"/>
    <w:rsid w:val="00DD0377"/>
    <w:rsid w:val="00DD7B4C"/>
    <w:rsid w:val="00DE52FF"/>
    <w:rsid w:val="00DF1F93"/>
    <w:rsid w:val="00DF29EE"/>
    <w:rsid w:val="00E05661"/>
    <w:rsid w:val="00E10D5A"/>
    <w:rsid w:val="00E2150A"/>
    <w:rsid w:val="00E462DD"/>
    <w:rsid w:val="00E46FD7"/>
    <w:rsid w:val="00E559E5"/>
    <w:rsid w:val="00E7039A"/>
    <w:rsid w:val="00E74B82"/>
    <w:rsid w:val="00E75AC5"/>
    <w:rsid w:val="00E778E1"/>
    <w:rsid w:val="00E8155C"/>
    <w:rsid w:val="00EA020E"/>
    <w:rsid w:val="00EA1234"/>
    <w:rsid w:val="00EA5C83"/>
    <w:rsid w:val="00EB2A6F"/>
    <w:rsid w:val="00EB37A6"/>
    <w:rsid w:val="00EB54EF"/>
    <w:rsid w:val="00ED67BA"/>
    <w:rsid w:val="00EE25A8"/>
    <w:rsid w:val="00EF308D"/>
    <w:rsid w:val="00F03492"/>
    <w:rsid w:val="00F1266A"/>
    <w:rsid w:val="00F12D36"/>
    <w:rsid w:val="00F24DE8"/>
    <w:rsid w:val="00F323C0"/>
    <w:rsid w:val="00F35696"/>
    <w:rsid w:val="00F47FFB"/>
    <w:rsid w:val="00F6340C"/>
    <w:rsid w:val="00F646CD"/>
    <w:rsid w:val="00F71568"/>
    <w:rsid w:val="00F86918"/>
    <w:rsid w:val="00F95758"/>
    <w:rsid w:val="00F97D44"/>
    <w:rsid w:val="00FA2120"/>
    <w:rsid w:val="00FA25A8"/>
    <w:rsid w:val="00FB7CF1"/>
    <w:rsid w:val="00FC1530"/>
    <w:rsid w:val="00FE31AC"/>
    <w:rsid w:val="00FF586B"/>
    <w:rsid w:val="0C234288"/>
    <w:rsid w:val="12503E44"/>
    <w:rsid w:val="177371B0"/>
    <w:rsid w:val="1A3D3AE6"/>
    <w:rsid w:val="1F696330"/>
    <w:rsid w:val="2EDE7A05"/>
    <w:rsid w:val="3826422B"/>
    <w:rsid w:val="3EFE42B6"/>
    <w:rsid w:val="4369770D"/>
    <w:rsid w:val="45D621C3"/>
    <w:rsid w:val="4E0C5C12"/>
    <w:rsid w:val="597D3E11"/>
    <w:rsid w:val="67BE4513"/>
    <w:rsid w:val="6AED0B5E"/>
    <w:rsid w:val="708B37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6300"/>
      </w:tabs>
      <w:spacing w:line="594" w:lineRule="exact"/>
      <w:ind w:firstLine="200" w:firstLineChars="200"/>
      <w:contextualSpacing/>
      <w:jc w:val="both"/>
    </w:pPr>
    <w:rPr>
      <w:rFonts w:ascii="Times New Roman" w:hAnsi="Times New Roman" w:eastAsia="方正仿宋_GBK" w:cs="Times New Roman"/>
      <w:bCs/>
      <w:kern w:val="2"/>
      <w:sz w:val="32"/>
      <w:szCs w:val="32"/>
      <w:lang w:val="en-US" w:eastAsia="zh-CN" w:bidi="ar-SA"/>
    </w:rPr>
  </w:style>
  <w:style w:type="paragraph" w:styleId="2">
    <w:name w:val="heading 1"/>
    <w:basedOn w:val="1"/>
    <w:next w:val="1"/>
    <w:link w:val="43"/>
    <w:qFormat/>
    <w:uiPriority w:val="9"/>
    <w:pPr>
      <w:spacing w:before="100" w:beforeLines="100" w:after="100" w:afterLines="100" w:line="240" w:lineRule="auto"/>
      <w:ind w:firstLine="0" w:firstLineChars="0"/>
      <w:jc w:val="center"/>
      <w:outlineLvl w:val="0"/>
    </w:pPr>
    <w:rPr>
      <w:rFonts w:eastAsia="方正小标宋_GBK"/>
      <w:sz w:val="36"/>
    </w:rPr>
  </w:style>
  <w:style w:type="paragraph" w:styleId="3">
    <w:name w:val="heading 2"/>
    <w:basedOn w:val="1"/>
    <w:next w:val="1"/>
    <w:link w:val="35"/>
    <w:unhideWhenUsed/>
    <w:qFormat/>
    <w:uiPriority w:val="9"/>
    <w:pPr>
      <w:spacing w:before="50" w:beforeLines="50" w:after="50" w:afterLines="50"/>
      <w:ind w:firstLine="0" w:firstLineChars="0"/>
      <w:jc w:val="center"/>
      <w:outlineLvl w:val="1"/>
    </w:pPr>
    <w:rPr>
      <w:rFonts w:eastAsia="方正楷体_GBK"/>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tabs>
        <w:tab w:val="clear" w:pos="6300"/>
      </w:tabs>
      <w:ind w:left="1920"/>
      <w:jc w:val="left"/>
    </w:pPr>
    <w:rPr>
      <w:rFonts w:ascii="等线" w:eastAsia="等线"/>
      <w:bCs w:val="0"/>
      <w:sz w:val="18"/>
      <w:szCs w:val="18"/>
    </w:rPr>
  </w:style>
  <w:style w:type="paragraph" w:styleId="5">
    <w:name w:val="Normal Indent"/>
    <w:basedOn w:val="1"/>
    <w:next w:val="1"/>
    <w:qFormat/>
    <w:uiPriority w:val="0"/>
    <w:pPr>
      <w:widowControl/>
      <w:ind w:firstLine="420"/>
      <w:textAlignment w:val="baseline"/>
    </w:pPr>
    <w:rPr>
      <w:rFonts w:ascii="Calibri" w:hAnsi="Calibri" w:eastAsia="宋体"/>
    </w:rPr>
  </w:style>
  <w:style w:type="paragraph" w:styleId="6">
    <w:name w:val="Body Text"/>
    <w:basedOn w:val="1"/>
    <w:link w:val="36"/>
    <w:qFormat/>
    <w:uiPriority w:val="99"/>
    <w:pPr>
      <w:spacing w:after="120"/>
    </w:pPr>
    <w:rPr>
      <w:rFonts w:ascii="Calibri" w:hAnsi="Calibri" w:eastAsia="宋体"/>
      <w:szCs w:val="24"/>
    </w:rPr>
  </w:style>
  <w:style w:type="paragraph" w:styleId="7">
    <w:name w:val="toc 5"/>
    <w:basedOn w:val="1"/>
    <w:next w:val="1"/>
    <w:unhideWhenUsed/>
    <w:qFormat/>
    <w:uiPriority w:val="39"/>
    <w:pPr>
      <w:tabs>
        <w:tab w:val="clear" w:pos="6300"/>
      </w:tabs>
      <w:ind w:left="1280"/>
      <w:jc w:val="left"/>
    </w:pPr>
    <w:rPr>
      <w:rFonts w:ascii="等线" w:eastAsia="等线"/>
      <w:bCs w:val="0"/>
      <w:sz w:val="18"/>
      <w:szCs w:val="18"/>
    </w:rPr>
  </w:style>
  <w:style w:type="paragraph" w:styleId="8">
    <w:name w:val="toc 3"/>
    <w:basedOn w:val="1"/>
    <w:next w:val="1"/>
    <w:unhideWhenUsed/>
    <w:qFormat/>
    <w:uiPriority w:val="39"/>
    <w:pPr>
      <w:tabs>
        <w:tab w:val="clear" w:pos="6300"/>
      </w:tabs>
      <w:ind w:left="640"/>
      <w:jc w:val="left"/>
    </w:pPr>
    <w:rPr>
      <w:rFonts w:ascii="等线" w:eastAsia="等线"/>
      <w:bCs w:val="0"/>
      <w:i/>
      <w:iCs/>
      <w:sz w:val="20"/>
      <w:szCs w:val="20"/>
    </w:rPr>
  </w:style>
  <w:style w:type="paragraph" w:styleId="9">
    <w:name w:val="toc 8"/>
    <w:basedOn w:val="1"/>
    <w:next w:val="1"/>
    <w:unhideWhenUsed/>
    <w:qFormat/>
    <w:uiPriority w:val="39"/>
    <w:pPr>
      <w:tabs>
        <w:tab w:val="clear" w:pos="6300"/>
      </w:tabs>
      <w:ind w:left="2240"/>
      <w:jc w:val="left"/>
    </w:pPr>
    <w:rPr>
      <w:rFonts w:ascii="等线" w:eastAsia="等线"/>
      <w:bCs w:val="0"/>
      <w:sz w:val="18"/>
      <w:szCs w:val="18"/>
    </w:rPr>
  </w:style>
  <w:style w:type="paragraph" w:styleId="10">
    <w:name w:val="Balloon Text"/>
    <w:basedOn w:val="1"/>
    <w:link w:val="37"/>
    <w:unhideWhenUsed/>
    <w:qFormat/>
    <w:uiPriority w:val="99"/>
    <w:rPr>
      <w:sz w:val="18"/>
      <w:szCs w:val="18"/>
    </w:rPr>
  </w:style>
  <w:style w:type="paragraph" w:styleId="11">
    <w:name w:val="footer"/>
    <w:basedOn w:val="1"/>
    <w:link w:val="38"/>
    <w:unhideWhenUsed/>
    <w:qFormat/>
    <w:uiPriority w:val="99"/>
    <w:pPr>
      <w:tabs>
        <w:tab w:val="center" w:pos="4153"/>
        <w:tab w:val="right" w:pos="8306"/>
        <w:tab w:val="clear" w:pos="6300"/>
      </w:tabs>
      <w:snapToGrid w:val="0"/>
      <w:jc w:val="left"/>
    </w:pPr>
    <w:rPr>
      <w:sz w:val="18"/>
      <w:szCs w:val="18"/>
    </w:rPr>
  </w:style>
  <w:style w:type="paragraph" w:styleId="12">
    <w:name w:val="header"/>
    <w:basedOn w:val="1"/>
    <w:link w:val="39"/>
    <w:unhideWhenUsed/>
    <w:qFormat/>
    <w:uiPriority w:val="99"/>
    <w:pPr>
      <w:pBdr>
        <w:bottom w:val="single" w:color="auto" w:sz="6" w:space="1"/>
      </w:pBdr>
      <w:tabs>
        <w:tab w:val="center" w:pos="4153"/>
        <w:tab w:val="right" w:pos="8306"/>
        <w:tab w:val="clear" w:pos="6300"/>
      </w:tabs>
      <w:snapToGrid w:val="0"/>
      <w:jc w:val="center"/>
    </w:pPr>
    <w:rPr>
      <w:sz w:val="18"/>
      <w:szCs w:val="18"/>
    </w:rPr>
  </w:style>
  <w:style w:type="paragraph" w:styleId="13">
    <w:name w:val="toc 1"/>
    <w:basedOn w:val="1"/>
    <w:next w:val="1"/>
    <w:unhideWhenUsed/>
    <w:qFormat/>
    <w:uiPriority w:val="39"/>
    <w:pPr>
      <w:tabs>
        <w:tab w:val="clear" w:pos="6300"/>
      </w:tabs>
      <w:spacing w:before="120" w:after="120"/>
      <w:jc w:val="left"/>
    </w:pPr>
    <w:rPr>
      <w:rFonts w:ascii="等线" w:eastAsia="等线"/>
      <w:b/>
      <w:caps/>
      <w:sz w:val="20"/>
      <w:szCs w:val="20"/>
    </w:rPr>
  </w:style>
  <w:style w:type="paragraph" w:styleId="14">
    <w:name w:val="toc 4"/>
    <w:basedOn w:val="1"/>
    <w:next w:val="1"/>
    <w:unhideWhenUsed/>
    <w:qFormat/>
    <w:uiPriority w:val="39"/>
    <w:pPr>
      <w:tabs>
        <w:tab w:val="clear" w:pos="6300"/>
      </w:tabs>
      <w:ind w:left="960"/>
      <w:jc w:val="left"/>
    </w:pPr>
    <w:rPr>
      <w:rFonts w:ascii="等线" w:eastAsia="等线"/>
      <w:bCs w:val="0"/>
      <w:sz w:val="18"/>
      <w:szCs w:val="18"/>
    </w:rPr>
  </w:style>
  <w:style w:type="paragraph" w:styleId="15">
    <w:name w:val="footnote text"/>
    <w:basedOn w:val="1"/>
    <w:link w:val="40"/>
    <w:unhideWhenUsed/>
    <w:qFormat/>
    <w:uiPriority w:val="99"/>
    <w:pPr>
      <w:snapToGrid w:val="0"/>
      <w:jc w:val="left"/>
    </w:pPr>
    <w:rPr>
      <w:sz w:val="18"/>
      <w:szCs w:val="18"/>
    </w:rPr>
  </w:style>
  <w:style w:type="paragraph" w:styleId="16">
    <w:name w:val="toc 6"/>
    <w:basedOn w:val="1"/>
    <w:next w:val="1"/>
    <w:unhideWhenUsed/>
    <w:qFormat/>
    <w:uiPriority w:val="39"/>
    <w:pPr>
      <w:tabs>
        <w:tab w:val="clear" w:pos="6300"/>
      </w:tabs>
      <w:ind w:left="1600"/>
      <w:jc w:val="left"/>
    </w:pPr>
    <w:rPr>
      <w:rFonts w:ascii="等线" w:eastAsia="等线"/>
      <w:bCs w:val="0"/>
      <w:sz w:val="18"/>
      <w:szCs w:val="18"/>
    </w:rPr>
  </w:style>
  <w:style w:type="paragraph" w:styleId="17">
    <w:name w:val="toc 2"/>
    <w:basedOn w:val="1"/>
    <w:next w:val="1"/>
    <w:unhideWhenUsed/>
    <w:qFormat/>
    <w:uiPriority w:val="39"/>
    <w:pPr>
      <w:tabs>
        <w:tab w:val="clear" w:pos="6300"/>
      </w:tabs>
      <w:ind w:left="320"/>
      <w:jc w:val="left"/>
    </w:pPr>
    <w:rPr>
      <w:rFonts w:ascii="等线" w:eastAsia="等线"/>
      <w:bCs w:val="0"/>
      <w:smallCaps/>
      <w:sz w:val="20"/>
      <w:szCs w:val="20"/>
    </w:rPr>
  </w:style>
  <w:style w:type="paragraph" w:styleId="18">
    <w:name w:val="toc 9"/>
    <w:basedOn w:val="1"/>
    <w:next w:val="1"/>
    <w:unhideWhenUsed/>
    <w:qFormat/>
    <w:uiPriority w:val="39"/>
    <w:pPr>
      <w:tabs>
        <w:tab w:val="clear" w:pos="6300"/>
      </w:tabs>
      <w:ind w:left="2560"/>
      <w:jc w:val="left"/>
    </w:pPr>
    <w:rPr>
      <w:rFonts w:ascii="等线" w:eastAsia="等线"/>
      <w:bCs w:val="0"/>
      <w:sz w:val="18"/>
      <w:szCs w:val="18"/>
    </w:rPr>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Title"/>
    <w:basedOn w:val="1"/>
    <w:next w:val="1"/>
    <w:link w:val="41"/>
    <w:qFormat/>
    <w:uiPriority w:val="10"/>
    <w:pPr>
      <w:spacing w:before="240" w:after="60"/>
      <w:jc w:val="center"/>
      <w:outlineLvl w:val="0"/>
    </w:pPr>
    <w:rPr>
      <w:rFonts w:ascii="等线 Light" w:hAnsi="等线 Light" w:eastAsia="宋体"/>
      <w:b/>
      <w:bCs w:val="0"/>
    </w:rPr>
  </w:style>
  <w:style w:type="table" w:styleId="22">
    <w:name w:val="Table Grid"/>
    <w:basedOn w:val="21"/>
    <w:qFormat/>
    <w:uiPriority w:val="59"/>
    <w:pPr>
      <w:tabs>
        <w:tab w:val="left" w:pos="6300"/>
      </w:tabs>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Hyperlink"/>
    <w:basedOn w:val="23"/>
    <w:unhideWhenUsed/>
    <w:qFormat/>
    <w:uiPriority w:val="99"/>
    <w:rPr>
      <w:color w:val="0563C1"/>
      <w:u w:val="single"/>
    </w:rPr>
  </w:style>
  <w:style w:type="character" w:styleId="26">
    <w:name w:val="footnote reference"/>
    <w:basedOn w:val="23"/>
    <w:unhideWhenUsed/>
    <w:qFormat/>
    <w:uiPriority w:val="99"/>
    <w:rPr>
      <w:vertAlign w:val="superscript"/>
    </w:rPr>
  </w:style>
  <w:style w:type="paragraph" w:customStyle="1" w:styleId="27">
    <w:name w:val="列出段落1"/>
    <w:basedOn w:val="1"/>
    <w:qFormat/>
    <w:uiPriority w:val="34"/>
    <w:pPr>
      <w:ind w:firstLine="420"/>
    </w:pPr>
  </w:style>
  <w:style w:type="paragraph" w:customStyle="1" w:styleId="28">
    <w:name w:val="Default"/>
    <w:next w:val="1"/>
    <w:qFormat/>
    <w:uiPriority w:val="0"/>
    <w:pPr>
      <w:widowControl w:val="0"/>
      <w:autoSpaceDE w:val="0"/>
      <w:autoSpaceDN w:val="0"/>
      <w:adjustRightInd w:val="0"/>
    </w:pPr>
    <w:rPr>
      <w:rFonts w:ascii="方正仿宋_GBK" w:hAnsi="Times New Roman" w:eastAsia="方正仿宋_GBK" w:cs="Times New Roman"/>
      <w:color w:val="000000"/>
      <w:sz w:val="24"/>
      <w:szCs w:val="24"/>
      <w:lang w:val="en-US" w:eastAsia="zh-CN" w:bidi="ar-SA"/>
    </w:rPr>
  </w:style>
  <w:style w:type="paragraph" w:customStyle="1" w:styleId="29">
    <w:name w:val="Char1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30">
    <w:name w:val="修订1"/>
    <w:hidden/>
    <w:semiHidden/>
    <w:qFormat/>
    <w:uiPriority w:val="99"/>
    <w:rPr>
      <w:rFonts w:ascii="等线" w:hAnsi="等线" w:eastAsia="等线" w:cs="Times New Roman"/>
      <w:kern w:val="2"/>
      <w:sz w:val="21"/>
      <w:szCs w:val="22"/>
      <w:lang w:val="en-US" w:eastAsia="zh-CN" w:bidi="ar-SA"/>
    </w:rPr>
  </w:style>
  <w:style w:type="paragraph" w:customStyle="1" w:styleId="31">
    <w:name w:val="修订2"/>
    <w:hidden/>
    <w:semiHidden/>
    <w:qFormat/>
    <w:uiPriority w:val="99"/>
    <w:rPr>
      <w:rFonts w:ascii="等线" w:hAnsi="等线" w:eastAsia="等线" w:cs="Times New Roman"/>
      <w:kern w:val="2"/>
      <w:sz w:val="21"/>
      <w:szCs w:val="22"/>
      <w:lang w:val="en-US" w:eastAsia="zh-CN" w:bidi="ar-SA"/>
    </w:rPr>
  </w:style>
  <w:style w:type="paragraph" w:customStyle="1" w:styleId="32">
    <w:name w:val="列表段落1"/>
    <w:basedOn w:val="1"/>
    <w:qFormat/>
    <w:uiPriority w:val="99"/>
    <w:pPr>
      <w:ind w:firstLine="420"/>
    </w:pPr>
  </w:style>
  <w:style w:type="paragraph" w:customStyle="1" w:styleId="33">
    <w:name w:val="TOC 标题1"/>
    <w:basedOn w:val="2"/>
    <w:next w:val="1"/>
    <w:unhideWhenUsed/>
    <w:qFormat/>
    <w:uiPriority w:val="39"/>
    <w:pPr>
      <w:keepNext/>
      <w:keepLines/>
      <w:widowControl/>
      <w:tabs>
        <w:tab w:val="clear" w:pos="6300"/>
      </w:tabs>
      <w:spacing w:before="240" w:line="259" w:lineRule="auto"/>
      <w:jc w:val="left"/>
      <w:outlineLvl w:val="9"/>
    </w:pPr>
    <w:rPr>
      <w:rFonts w:ascii="等线 Light" w:hAnsi="等线 Light" w:eastAsia="等线 Light"/>
      <w:bCs w:val="0"/>
      <w:color w:val="2E5394"/>
      <w:kern w:val="0"/>
    </w:rPr>
  </w:style>
  <w:style w:type="paragraph" w:customStyle="1" w:styleId="34">
    <w:name w:val="Revision"/>
    <w:hidden/>
    <w:semiHidden/>
    <w:qFormat/>
    <w:uiPriority w:val="99"/>
    <w:rPr>
      <w:rFonts w:ascii="Times New Roman" w:hAnsi="Times New Roman" w:eastAsia="方正仿宋_GBK" w:cs="Times New Roman"/>
      <w:bCs/>
      <w:kern w:val="2"/>
      <w:sz w:val="32"/>
      <w:szCs w:val="32"/>
      <w:lang w:val="en-US" w:eastAsia="zh-CN" w:bidi="ar-SA"/>
    </w:rPr>
  </w:style>
  <w:style w:type="character" w:customStyle="1" w:styleId="35">
    <w:name w:val="标题 2 字符"/>
    <w:basedOn w:val="23"/>
    <w:link w:val="3"/>
    <w:qFormat/>
    <w:uiPriority w:val="9"/>
    <w:rPr>
      <w:rFonts w:ascii="Times New Roman" w:hAnsi="Times New Roman" w:eastAsia="方正楷体_GBK" w:cs="Times New Roman"/>
      <w:bCs/>
      <w:sz w:val="32"/>
      <w:szCs w:val="32"/>
    </w:rPr>
  </w:style>
  <w:style w:type="character" w:customStyle="1" w:styleId="36">
    <w:name w:val="正文文本 字符"/>
    <w:basedOn w:val="23"/>
    <w:link w:val="6"/>
    <w:qFormat/>
    <w:uiPriority w:val="99"/>
    <w:rPr>
      <w:rFonts w:ascii="Calibri" w:hAnsi="Calibri" w:eastAsia="宋体" w:cs="Times New Roman"/>
      <w:szCs w:val="24"/>
    </w:rPr>
  </w:style>
  <w:style w:type="character" w:customStyle="1" w:styleId="37">
    <w:name w:val="批注框文本 字符"/>
    <w:basedOn w:val="23"/>
    <w:link w:val="10"/>
    <w:qFormat/>
    <w:uiPriority w:val="99"/>
    <w:rPr>
      <w:sz w:val="18"/>
      <w:szCs w:val="18"/>
    </w:rPr>
  </w:style>
  <w:style w:type="character" w:customStyle="1" w:styleId="38">
    <w:name w:val="页脚 字符"/>
    <w:basedOn w:val="23"/>
    <w:link w:val="11"/>
    <w:qFormat/>
    <w:uiPriority w:val="99"/>
    <w:rPr>
      <w:sz w:val="18"/>
      <w:szCs w:val="18"/>
    </w:rPr>
  </w:style>
  <w:style w:type="character" w:customStyle="1" w:styleId="39">
    <w:name w:val="页眉 字符"/>
    <w:basedOn w:val="23"/>
    <w:link w:val="12"/>
    <w:qFormat/>
    <w:uiPriority w:val="99"/>
    <w:rPr>
      <w:sz w:val="18"/>
      <w:szCs w:val="18"/>
    </w:rPr>
  </w:style>
  <w:style w:type="character" w:customStyle="1" w:styleId="40">
    <w:name w:val="脚注文本 字符"/>
    <w:basedOn w:val="23"/>
    <w:link w:val="15"/>
    <w:qFormat/>
    <w:uiPriority w:val="99"/>
    <w:rPr>
      <w:sz w:val="18"/>
      <w:szCs w:val="18"/>
    </w:rPr>
  </w:style>
  <w:style w:type="character" w:customStyle="1" w:styleId="41">
    <w:name w:val="标题 字符"/>
    <w:basedOn w:val="23"/>
    <w:link w:val="20"/>
    <w:qFormat/>
    <w:uiPriority w:val="10"/>
    <w:rPr>
      <w:rFonts w:ascii="等线 Light" w:hAnsi="等线 Light" w:eastAsia="宋体"/>
      <w:b/>
      <w:bCs/>
      <w:sz w:val="32"/>
      <w:szCs w:val="32"/>
    </w:rPr>
  </w:style>
  <w:style w:type="character" w:customStyle="1" w:styleId="42">
    <w:name w:val="正文文本 Char"/>
    <w:basedOn w:val="23"/>
    <w:semiHidden/>
    <w:qFormat/>
    <w:uiPriority w:val="99"/>
  </w:style>
  <w:style w:type="character" w:customStyle="1" w:styleId="43">
    <w:name w:val="标题 1 字符"/>
    <w:basedOn w:val="23"/>
    <w:link w:val="2"/>
    <w:qFormat/>
    <w:uiPriority w:val="9"/>
    <w:rPr>
      <w:rFonts w:ascii="Times New Roman" w:hAnsi="Times New Roman" w:eastAsia="方正小标宋_GBK" w:cs="Times New Roman"/>
      <w:bCs/>
      <w:sz w:val="36"/>
      <w:szCs w:val="32"/>
    </w:rPr>
  </w:style>
  <w:style w:type="table" w:customStyle="1" w:styleId="44">
    <w:name w:val="网格型1"/>
    <w:basedOn w:val="21"/>
    <w:qFormat/>
    <w:uiPriority w:val="59"/>
    <w:pPr>
      <w:tabs>
        <w:tab w:val="left" w:pos="6300"/>
      </w:tabs>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网格型2"/>
    <w:basedOn w:val="21"/>
    <w:qFormat/>
    <w:uiPriority w:val="59"/>
    <w:pPr>
      <w:tabs>
        <w:tab w:val="left" w:pos="6300"/>
      </w:tabs>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
    <w:name w:val="网格型3"/>
    <w:basedOn w:val="21"/>
    <w:qFormat/>
    <w:uiPriority w:val="59"/>
    <w:pPr>
      <w:tabs>
        <w:tab w:val="left" w:pos="6300"/>
      </w:tabs>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
    <w:name w:val="网格型4"/>
    <w:basedOn w:val="21"/>
    <w:qFormat/>
    <w:uiPriority w:val="59"/>
    <w:pPr>
      <w:tabs>
        <w:tab w:val="left" w:pos="6300"/>
      </w:tabs>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
    <w:name w:val="网格型5"/>
    <w:basedOn w:val="21"/>
    <w:qFormat/>
    <w:uiPriority w:val="59"/>
    <w:pPr>
      <w:tabs>
        <w:tab w:val="left" w:pos="6300"/>
      </w:tabs>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
    <w:name w:val="网格型21"/>
    <w:basedOn w:val="21"/>
    <w:qFormat/>
    <w:uiPriority w:val="59"/>
    <w:pPr>
      <w:tabs>
        <w:tab w:val="left" w:pos="6300"/>
      </w:tabs>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网格型11"/>
    <w:basedOn w:val="21"/>
    <w:qFormat/>
    <w:uiPriority w:val="59"/>
    <w:pPr>
      <w:tabs>
        <w:tab w:val="left" w:pos="6300"/>
      </w:tabs>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网格型6"/>
    <w:basedOn w:val="21"/>
    <w:qFormat/>
    <w:uiPriority w:val="59"/>
    <w:pPr>
      <w:tabs>
        <w:tab w:val="left" w:pos="6300"/>
      </w:tabs>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网格型7"/>
    <w:basedOn w:val="21"/>
    <w:qFormat/>
    <w:uiPriority w:val="59"/>
    <w:pPr>
      <w:tabs>
        <w:tab w:val="left" w:pos="6300"/>
      </w:tabs>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网格型8"/>
    <w:basedOn w:val="21"/>
    <w:qFormat/>
    <w:uiPriority w:val="59"/>
    <w:pPr>
      <w:tabs>
        <w:tab w:val="left" w:pos="6300"/>
      </w:tabs>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
    <w:name w:val="网格型71"/>
    <w:basedOn w:val="21"/>
    <w:qFormat/>
    <w:uiPriority w:val="59"/>
    <w:pPr>
      <w:tabs>
        <w:tab w:val="left" w:pos="6300"/>
      </w:tabs>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
    <w:name w:val="网格型9"/>
    <w:basedOn w:val="21"/>
    <w:qFormat/>
    <w:uiPriority w:val="59"/>
    <w:pPr>
      <w:tabs>
        <w:tab w:val="left" w:pos="6300"/>
      </w:tabs>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
    <w:name w:val="网格型61"/>
    <w:basedOn w:val="21"/>
    <w:qFormat/>
    <w:uiPriority w:val="59"/>
    <w:pPr>
      <w:tabs>
        <w:tab w:val="left" w:pos="6300"/>
      </w:tabs>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2599</Words>
  <Characters>2747</Characters>
  <Lines>219</Lines>
  <Paragraphs>61</Paragraphs>
  <TotalTime>9</TotalTime>
  <ScaleCrop>false</ScaleCrop>
  <LinksUpToDate>false</LinksUpToDate>
  <CharactersWithSpaces>2930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2022-01-10T01:42:00Z</dcterms:created>
  <dc:creator>liu xuesong</dc:creator>
  <cp:lastModifiedBy>8198308482</cp:lastModifiedBy>
  <cp:lastPrinted>2022-04-25T02:39:00Z</cp:lastPrinted>
  <dcterms:modified xsi:type="dcterms:W3CDTF">2024-12-05T06:04:30Z</dcterms:modified>
  <dc:title>重庆市万盛经开区巩固拓展脱贫攻坚成果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88366569A69245EF803F0F04BD4809FF</vt:lpwstr>
  </property>
</Properties>
</file>