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b w:val="0"/>
          <w:bCs w:val="0"/>
          <w:color w:val="auto"/>
          <w:sz w:val="52"/>
          <w:szCs w:val="52"/>
          <w:highlight w:val="none"/>
          <w:u w:val="none"/>
        </w:rPr>
      </w:pPr>
      <w:bookmarkStart w:id="31" w:name="_GoBack"/>
      <w:bookmarkEnd w:id="31"/>
      <w:r>
        <w:rPr>
          <w:rFonts w:hint="eastAsia" w:ascii="方正小标宋_GBK" w:hAnsi="方正小标宋_GBK" w:eastAsia="方正小标宋_GBK" w:cs="方正小标宋_GBK"/>
          <w:b w:val="0"/>
          <w:bCs w:val="0"/>
          <w:color w:val="auto"/>
          <w:sz w:val="52"/>
          <w:szCs w:val="52"/>
          <w:highlight w:val="none"/>
          <w:u w:val="none"/>
          <w:lang w:eastAsia="zh-CN"/>
        </w:rPr>
        <w:t>万盛经开区</w:t>
      </w:r>
      <w:r>
        <w:rPr>
          <w:rFonts w:hint="eastAsia" w:ascii="方正小标宋_GBK" w:hAnsi="方正小标宋_GBK" w:eastAsia="方正小标宋_GBK" w:cs="方正小标宋_GBK"/>
          <w:b w:val="0"/>
          <w:bCs w:val="0"/>
          <w:color w:val="auto"/>
          <w:sz w:val="52"/>
          <w:szCs w:val="52"/>
          <w:highlight w:val="none"/>
          <w:u w:val="none"/>
        </w:rPr>
        <w:t>人力资源和社会保障事业</w:t>
      </w:r>
    </w:p>
    <w:p>
      <w:pPr>
        <w:spacing w:line="560" w:lineRule="exact"/>
        <w:jc w:val="center"/>
        <w:rPr>
          <w:rFonts w:hint="eastAsia" w:ascii="方正小标宋_GBK" w:hAnsi="方正小标宋_GBK" w:eastAsia="方正小标宋_GBK" w:cs="方正小标宋_GBK"/>
          <w:b w:val="0"/>
          <w:bCs w:val="0"/>
          <w:color w:val="auto"/>
          <w:sz w:val="52"/>
          <w:szCs w:val="52"/>
          <w:highlight w:val="none"/>
          <w:u w:val="none"/>
        </w:rPr>
      </w:pPr>
      <w:r>
        <w:rPr>
          <w:rFonts w:hint="eastAsia" w:ascii="方正小标宋_GBK" w:hAnsi="方正小标宋_GBK" w:eastAsia="方正小标宋_GBK" w:cs="方正小标宋_GBK"/>
          <w:b w:val="0"/>
          <w:bCs w:val="0"/>
          <w:color w:val="auto"/>
          <w:sz w:val="52"/>
          <w:szCs w:val="52"/>
          <w:highlight w:val="none"/>
          <w:u w:val="none"/>
        </w:rPr>
        <w:t>发展“十四五”规划</w:t>
      </w:r>
    </w:p>
    <w:p>
      <w:pPr>
        <w:spacing w:before="156" w:beforeLines="50" w:after="156" w:afterLines="50" w:line="560" w:lineRule="exact"/>
        <w:jc w:val="center"/>
        <w:rPr>
          <w:rFonts w:ascii="Times New Roman" w:hAnsi="Times New Roman" w:eastAsia="方正楷体_GBK" w:cs="Times New Roman"/>
          <w:b w:val="0"/>
          <w:bCs w:val="0"/>
          <w:color w:val="auto"/>
          <w:sz w:val="36"/>
          <w:szCs w:val="36"/>
          <w:highlight w:val="none"/>
          <w:u w:val="none"/>
        </w:rPr>
      </w:pPr>
      <w:r>
        <w:rPr>
          <w:rFonts w:ascii="Times New Roman" w:hAnsi="Times New Roman" w:eastAsia="方正楷体_GBK" w:cs="Times New Roman"/>
          <w:b w:val="0"/>
          <w:bCs w:val="0"/>
          <w:color w:val="auto"/>
          <w:sz w:val="36"/>
          <w:szCs w:val="36"/>
          <w:highlight w:val="none"/>
          <w:u w:val="none"/>
        </w:rPr>
        <w:t>（2021</w:t>
      </w:r>
      <w:r>
        <w:rPr>
          <w:rFonts w:hint="eastAsia" w:ascii="宋体" w:hAnsi="宋体" w:eastAsia="宋体" w:cs="宋体"/>
          <w:b w:val="0"/>
          <w:bCs w:val="0"/>
          <w:color w:val="auto"/>
          <w:sz w:val="36"/>
          <w:szCs w:val="36"/>
          <w:highlight w:val="none"/>
          <w:u w:val="none"/>
        </w:rPr>
        <w:t>－</w:t>
      </w:r>
      <w:r>
        <w:rPr>
          <w:rFonts w:ascii="Times New Roman" w:hAnsi="Times New Roman" w:eastAsia="方正楷体_GBK" w:cs="Times New Roman"/>
          <w:b w:val="0"/>
          <w:bCs w:val="0"/>
          <w:color w:val="auto"/>
          <w:sz w:val="36"/>
          <w:szCs w:val="36"/>
          <w:highlight w:val="none"/>
          <w:u w:val="none"/>
        </w:rPr>
        <w:t>2025年）</w:t>
      </w:r>
    </w:p>
    <w:p>
      <w:pPr>
        <w:spacing w:before="156" w:beforeLines="50" w:after="156" w:afterLines="50" w:line="560" w:lineRule="exact"/>
        <w:jc w:val="center"/>
        <w:rPr>
          <w:rFonts w:ascii="Times New Roman" w:hAnsi="Times New Roman" w:eastAsia="方正楷体_GBK" w:cs="Times New Roman"/>
          <w:b w:val="0"/>
          <w:bCs w:val="0"/>
          <w:color w:val="auto"/>
          <w:sz w:val="36"/>
          <w:szCs w:val="36"/>
          <w:highlight w:val="none"/>
          <w:u w:val="none"/>
        </w:rPr>
      </w:pPr>
    </w:p>
    <w:p>
      <w:pPr>
        <w:spacing w:line="560" w:lineRule="exact"/>
        <w:jc w:val="center"/>
        <w:rPr>
          <w:rFonts w:ascii="Times New Roman" w:hAnsi="Times New Roman" w:eastAsia="方正黑体_GBK" w:cs="Times New Roman"/>
          <w:b w:val="0"/>
          <w:bCs w:val="0"/>
          <w:color w:val="auto"/>
          <w:sz w:val="36"/>
          <w:szCs w:val="36"/>
          <w:highlight w:val="none"/>
          <w:u w:val="none"/>
        </w:rPr>
      </w:pPr>
    </w:p>
    <w:p>
      <w:pPr>
        <w:spacing w:line="560" w:lineRule="exact"/>
        <w:jc w:val="center"/>
        <w:rPr>
          <w:rFonts w:ascii="Times New Roman" w:hAnsi="Times New Roman" w:eastAsia="方正黑体_GBK" w:cs="Times New Roman"/>
          <w:b w:val="0"/>
          <w:bCs w:val="0"/>
          <w:color w:val="auto"/>
          <w:highlight w:val="none"/>
          <w:u w:val="none"/>
        </w:rPr>
      </w:pPr>
    </w:p>
    <w:p>
      <w:pPr>
        <w:spacing w:line="560" w:lineRule="exact"/>
        <w:rPr>
          <w:rFonts w:ascii="Times New Roman" w:hAnsi="Times New Roman" w:eastAsia="方正黑体_GBK" w:cs="Times New Roman"/>
          <w:b w:val="0"/>
          <w:bCs w:val="0"/>
          <w:color w:val="auto"/>
          <w:highlight w:val="none"/>
          <w:u w:val="none"/>
        </w:rPr>
      </w:pPr>
    </w:p>
    <w:p>
      <w:pPr>
        <w:spacing w:line="560" w:lineRule="exact"/>
        <w:rPr>
          <w:rFonts w:ascii="Times New Roman" w:hAnsi="Times New Roman" w:eastAsia="方正黑体_GBK" w:cs="Times New Roman"/>
          <w:b w:val="0"/>
          <w:bCs w:val="0"/>
          <w:color w:val="auto"/>
          <w:highlight w:val="none"/>
          <w:u w:val="none"/>
        </w:rPr>
      </w:pPr>
    </w:p>
    <w:p>
      <w:pPr>
        <w:spacing w:line="560" w:lineRule="exact"/>
        <w:rPr>
          <w:rFonts w:ascii="Times New Roman" w:hAnsi="Times New Roman" w:eastAsia="方正黑体_GBK" w:cs="Times New Roman"/>
          <w:b w:val="0"/>
          <w:bCs w:val="0"/>
          <w:color w:val="auto"/>
          <w:highlight w:val="none"/>
          <w:u w:val="none"/>
        </w:rPr>
      </w:pPr>
    </w:p>
    <w:p>
      <w:pPr>
        <w:spacing w:line="560" w:lineRule="exact"/>
        <w:rPr>
          <w:rFonts w:ascii="Times New Roman" w:hAnsi="Times New Roman" w:eastAsia="方正黑体_GBK" w:cs="Times New Roman"/>
          <w:b w:val="0"/>
          <w:bCs w:val="0"/>
          <w:color w:val="auto"/>
          <w:highlight w:val="none"/>
          <w:u w:val="none"/>
        </w:rPr>
      </w:pPr>
    </w:p>
    <w:p>
      <w:pPr>
        <w:pStyle w:val="10"/>
        <w:rPr>
          <w:rFonts w:ascii="Times New Roman" w:hAnsi="Times New Roman" w:eastAsia="方正黑体_GBK" w:cs="Times New Roman"/>
          <w:b w:val="0"/>
          <w:bCs w:val="0"/>
          <w:color w:val="auto"/>
          <w:highlight w:val="none"/>
          <w:u w:val="none"/>
        </w:rPr>
      </w:pPr>
    </w:p>
    <w:p>
      <w:pPr>
        <w:pStyle w:val="5"/>
        <w:rPr>
          <w:rFonts w:ascii="Times New Roman" w:hAnsi="Times New Roman" w:eastAsia="方正黑体_GBK" w:cs="Times New Roman"/>
          <w:b w:val="0"/>
          <w:bCs w:val="0"/>
          <w:color w:val="auto"/>
          <w:highlight w:val="none"/>
          <w:u w:val="none"/>
        </w:rPr>
      </w:pPr>
    </w:p>
    <w:p>
      <w:pPr>
        <w:rPr>
          <w:rFonts w:ascii="Times New Roman" w:hAnsi="Times New Roman" w:eastAsia="方正黑体_GBK" w:cs="Times New Roman"/>
          <w:b w:val="0"/>
          <w:bCs w:val="0"/>
          <w:color w:val="auto"/>
          <w:highlight w:val="none"/>
          <w:u w:val="none"/>
        </w:rPr>
      </w:pPr>
    </w:p>
    <w:p>
      <w:pPr>
        <w:pStyle w:val="10"/>
        <w:rPr>
          <w:rFonts w:ascii="Times New Roman" w:hAnsi="Times New Roman" w:eastAsia="方正黑体_GBK" w:cs="Times New Roman"/>
          <w:b w:val="0"/>
          <w:bCs w:val="0"/>
          <w:color w:val="auto"/>
          <w:highlight w:val="none"/>
          <w:u w:val="none"/>
        </w:rPr>
      </w:pPr>
    </w:p>
    <w:p>
      <w:pPr>
        <w:pStyle w:val="5"/>
        <w:rPr>
          <w:b w:val="0"/>
          <w:bCs w:val="0"/>
          <w:color w:val="auto"/>
          <w:highlight w:val="none"/>
          <w:u w:val="none"/>
        </w:rPr>
      </w:pPr>
    </w:p>
    <w:p>
      <w:pPr>
        <w:spacing w:line="560" w:lineRule="exact"/>
        <w:jc w:val="center"/>
        <w:rPr>
          <w:rFonts w:ascii="Times New Roman" w:hAnsi="Times New Roman" w:eastAsia="方正黑体_GBK" w:cs="Times New Roman"/>
          <w:b w:val="0"/>
          <w:bCs w:val="0"/>
          <w:color w:val="auto"/>
          <w:highlight w:val="none"/>
          <w:u w:val="none"/>
        </w:rPr>
      </w:pPr>
    </w:p>
    <w:p>
      <w:pPr>
        <w:spacing w:line="560" w:lineRule="exact"/>
        <w:jc w:val="center"/>
        <w:rPr>
          <w:rFonts w:ascii="Times New Roman" w:hAnsi="Times New Roman" w:eastAsia="方正楷体_GBK" w:cs="Times New Roman"/>
          <w:b w:val="0"/>
          <w:bCs w:val="0"/>
          <w:color w:val="auto"/>
          <w:sz w:val="32"/>
          <w:szCs w:val="32"/>
          <w:highlight w:val="none"/>
          <w:u w:val="none"/>
        </w:rPr>
      </w:pPr>
      <w:r>
        <w:rPr>
          <w:rFonts w:hint="eastAsia" w:ascii="Times New Roman" w:hAnsi="Times New Roman" w:eastAsia="方正楷体_GBK" w:cs="Times New Roman"/>
          <w:b w:val="0"/>
          <w:bCs w:val="0"/>
          <w:color w:val="auto"/>
          <w:sz w:val="32"/>
          <w:szCs w:val="32"/>
          <w:highlight w:val="none"/>
          <w:u w:val="none"/>
          <w:lang w:eastAsia="zh-CN"/>
        </w:rPr>
        <w:t>万盛经开区</w:t>
      </w:r>
      <w:r>
        <w:rPr>
          <w:rFonts w:ascii="Times New Roman" w:hAnsi="Times New Roman" w:eastAsia="方正楷体_GBK" w:cs="Times New Roman"/>
          <w:b w:val="0"/>
          <w:bCs w:val="0"/>
          <w:color w:val="auto"/>
          <w:sz w:val="32"/>
          <w:szCs w:val="32"/>
          <w:highlight w:val="none"/>
          <w:u w:val="none"/>
        </w:rPr>
        <w:t>人力资源和社会保障局</w:t>
      </w:r>
    </w:p>
    <w:p>
      <w:pPr>
        <w:spacing w:line="560" w:lineRule="exact"/>
        <w:jc w:val="center"/>
        <w:rPr>
          <w:rFonts w:ascii="Times New Roman" w:hAnsi="Times New Roman" w:eastAsia="方正楷体_GBK" w:cs="Times New Roman"/>
          <w:b w:val="0"/>
          <w:bCs w:val="0"/>
          <w:color w:val="auto"/>
          <w:sz w:val="32"/>
          <w:szCs w:val="32"/>
          <w:highlight w:val="none"/>
          <w:u w:val="none"/>
        </w:rPr>
      </w:pPr>
      <w:r>
        <w:rPr>
          <w:rFonts w:ascii="Times New Roman" w:hAnsi="Times New Roman" w:eastAsia="方正楷体_GBK" w:cs="Times New Roman"/>
          <w:b w:val="0"/>
          <w:bCs w:val="0"/>
          <w:color w:val="auto"/>
          <w:sz w:val="32"/>
          <w:szCs w:val="32"/>
          <w:highlight w:val="none"/>
          <w:u w:val="none"/>
        </w:rPr>
        <w:t>2021年</w:t>
      </w:r>
      <w:r>
        <w:rPr>
          <w:rFonts w:hint="eastAsia" w:eastAsia="方正楷体_GBK" w:cs="Times New Roman"/>
          <w:b w:val="0"/>
          <w:bCs w:val="0"/>
          <w:color w:val="auto"/>
          <w:sz w:val="32"/>
          <w:szCs w:val="32"/>
          <w:highlight w:val="none"/>
          <w:u w:val="none"/>
          <w:lang w:val="en-US" w:eastAsia="zh-CN"/>
        </w:rPr>
        <w:t>12</w:t>
      </w:r>
      <w:r>
        <w:rPr>
          <w:rFonts w:ascii="Times New Roman" w:hAnsi="Times New Roman" w:eastAsia="方正楷体_GBK" w:cs="Times New Roman"/>
          <w:b w:val="0"/>
          <w:bCs w:val="0"/>
          <w:color w:val="auto"/>
          <w:sz w:val="32"/>
          <w:szCs w:val="32"/>
          <w:highlight w:val="none"/>
          <w:u w:val="none"/>
        </w:rPr>
        <w:t>月</w:t>
      </w:r>
    </w:p>
    <w:p>
      <w:pPr>
        <w:spacing w:line="560" w:lineRule="exact"/>
        <w:jc w:val="center"/>
        <w:rPr>
          <w:rFonts w:ascii="Times New Roman" w:hAnsi="Times New Roman" w:eastAsia="方正楷体_GBK" w:cs="Times New Roman"/>
          <w:b w:val="0"/>
          <w:bCs w:val="0"/>
          <w:color w:val="auto"/>
          <w:sz w:val="32"/>
          <w:szCs w:val="32"/>
          <w:highlight w:val="none"/>
          <w:u w:val="none"/>
        </w:rPr>
        <w:sectPr>
          <w:headerReference r:id="rId3" w:type="default"/>
          <w:footerReference r:id="rId4" w:type="default"/>
          <w:footerReference r:id="rId5" w:type="even"/>
          <w:pgSz w:w="11906" w:h="16838"/>
          <w:pgMar w:top="2098" w:right="1474" w:bottom="1985" w:left="1588" w:header="851" w:footer="992" w:gutter="0"/>
          <w:cols w:space="720" w:num="1"/>
          <w:docGrid w:type="lines" w:linePitch="312" w:charSpace="0"/>
        </w:sectPr>
      </w:pPr>
    </w:p>
    <w:p>
      <w:pPr>
        <w:spacing w:line="560" w:lineRule="exact"/>
        <w:jc w:val="center"/>
        <w:rPr>
          <w:rFonts w:ascii="Times New Roman" w:hAnsi="Times New Roman" w:eastAsia="方正小标宋_GBK" w:cs="Times New Roman"/>
          <w:b w:val="0"/>
          <w:bCs w:val="0"/>
          <w:color w:val="auto"/>
          <w:sz w:val="44"/>
          <w:szCs w:val="44"/>
          <w:highlight w:val="none"/>
          <w:u w:val="none"/>
          <w:lang w:val="zh-CN"/>
        </w:rPr>
      </w:pPr>
      <w:r>
        <w:rPr>
          <w:rFonts w:ascii="Times New Roman" w:hAnsi="Times New Roman" w:eastAsia="方正小标宋_GBK" w:cs="Times New Roman"/>
          <w:b w:val="0"/>
          <w:bCs w:val="0"/>
          <w:color w:val="auto"/>
          <w:sz w:val="44"/>
          <w:szCs w:val="44"/>
          <w:highlight w:val="none"/>
          <w:u w:val="none"/>
          <w:lang w:val="zh-CN"/>
        </w:rPr>
        <w:t>目     录</w:t>
      </w:r>
    </w:p>
    <w:p>
      <w:pPr>
        <w:spacing w:line="560" w:lineRule="exact"/>
        <w:rPr>
          <w:rFonts w:ascii="Times New Roman" w:hAnsi="Times New Roman" w:eastAsia="方正小标宋_GBK" w:cs="Times New Roman"/>
          <w:b w:val="0"/>
          <w:bCs w:val="0"/>
          <w:color w:val="auto"/>
          <w:sz w:val="28"/>
          <w:szCs w:val="28"/>
          <w:highlight w:val="none"/>
          <w:u w:val="none"/>
          <w:lang w:val="zh-CN"/>
        </w:rPr>
      </w:pPr>
    </w:p>
    <w:p>
      <w:pPr>
        <w:pStyle w:val="12"/>
        <w:keepNext w:val="0"/>
        <w:keepLines w:val="0"/>
        <w:pageBreakBefore w:val="0"/>
        <w:widowControl/>
        <w:tabs>
          <w:tab w:val="right" w:leader="middleDot" w:pos="8789"/>
          <w:tab w:val="clear" w:pos="8296"/>
        </w:tabs>
        <w:kinsoku/>
        <w:wordWrap/>
        <w:overflowPunct/>
        <w:topLinePunct w:val="0"/>
        <w:autoSpaceDE/>
        <w:autoSpaceDN/>
        <w:bidi w:val="0"/>
        <w:adjustRightInd/>
        <w:snapToGrid/>
        <w:spacing w:line="600" w:lineRule="exact"/>
        <w:ind w:right="0" w:rightChars="0" w:firstLine="0" w:firstLineChars="0"/>
        <w:jc w:val="left"/>
        <w:textAlignment w:val="auto"/>
        <w:outlineLvl w:val="9"/>
        <w:rPr>
          <w:rFonts w:hint="eastAsia" w:ascii="Calibri" w:hAnsi="Calibri" w:eastAsia="方正楷体_GBK" w:cs="Times New Roman"/>
          <w:b w:val="0"/>
          <w:bCs w:val="0"/>
          <w:color w:val="auto"/>
          <w:kern w:val="2"/>
          <w:sz w:val="32"/>
          <w:szCs w:val="32"/>
          <w:highlight w:val="none"/>
          <w:u w:val="none"/>
          <w:lang w:eastAsia="zh-CN"/>
        </w:rPr>
      </w:pPr>
      <w:r>
        <w:rPr>
          <w:rFonts w:ascii="Times New Roman"/>
          <w:b w:val="0"/>
          <w:bCs w:val="0"/>
          <w:color w:val="auto"/>
          <w:highlight w:val="none"/>
          <w:u w:val="none"/>
        </w:rPr>
        <w:fldChar w:fldCharType="begin"/>
      </w:r>
      <w:r>
        <w:rPr>
          <w:rFonts w:ascii="Times New Roman"/>
          <w:b w:val="0"/>
          <w:bCs w:val="0"/>
          <w:color w:val="auto"/>
          <w:highlight w:val="none"/>
          <w:u w:val="none"/>
        </w:rPr>
        <w:instrText xml:space="preserve"> TOC \o "1-3" \h \z \u </w:instrText>
      </w:r>
      <w:r>
        <w:rPr>
          <w:rFonts w:ascii="Times New Roman"/>
          <w:b w:val="0"/>
          <w:bCs w:val="0"/>
          <w:color w:val="auto"/>
          <w:highlight w:val="none"/>
          <w:u w:val="none"/>
        </w:rPr>
        <w:fldChar w:fldCharType="separate"/>
      </w:r>
      <w:r>
        <w:rPr>
          <w:b w:val="0"/>
          <w:bCs w:val="0"/>
          <w:color w:val="auto"/>
          <w:sz w:val="32"/>
          <w:szCs w:val="32"/>
          <w:highlight w:val="none"/>
          <w:u w:val="none"/>
        </w:rPr>
        <w:fldChar w:fldCharType="begin"/>
      </w:r>
      <w:r>
        <w:rPr>
          <w:b w:val="0"/>
          <w:bCs w:val="0"/>
          <w:color w:val="auto"/>
          <w:sz w:val="32"/>
          <w:szCs w:val="32"/>
          <w:highlight w:val="none"/>
          <w:u w:val="none"/>
        </w:rPr>
        <w:instrText xml:space="preserve"> HYPERLINK \l "_Toc61283951" </w:instrText>
      </w:r>
      <w:r>
        <w:rPr>
          <w:b w:val="0"/>
          <w:bCs w:val="0"/>
          <w:color w:val="auto"/>
          <w:sz w:val="32"/>
          <w:szCs w:val="32"/>
          <w:highlight w:val="none"/>
          <w:u w:val="none"/>
        </w:rPr>
        <w:fldChar w:fldCharType="separate"/>
      </w:r>
      <w:r>
        <w:rPr>
          <w:rStyle w:val="18"/>
          <w:rFonts w:ascii="Times New Roman" w:eastAsia="方正黑体_GBK"/>
          <w:b w:val="0"/>
          <w:bCs w:val="0"/>
          <w:color w:val="auto"/>
          <w:sz w:val="32"/>
          <w:szCs w:val="32"/>
          <w:highlight w:val="none"/>
          <w:u w:val="none"/>
        </w:rPr>
        <w:t>第一章  指导思想和主要目标</w:t>
      </w:r>
      <w:r>
        <w:rPr>
          <w:b w:val="0"/>
          <w:bCs w:val="0"/>
          <w:color w:val="auto"/>
          <w:sz w:val="32"/>
          <w:szCs w:val="32"/>
          <w:highlight w:val="none"/>
          <w:u w:val="none"/>
        </w:rPr>
        <w:fldChar w:fldCharType="end"/>
      </w:r>
      <w:r>
        <w:rPr>
          <w:b w:val="0"/>
          <w:bCs w:val="0"/>
          <w:color w:val="auto"/>
          <w:u w:val="none"/>
        </w:rPr>
        <w:tab/>
      </w:r>
      <w:r>
        <w:rPr>
          <w:rFonts w:hint="default" w:ascii="Times New Roman" w:hAnsi="Times New Roman" w:cs="Times New Roman"/>
          <w:b w:val="0"/>
          <w:bCs w:val="0"/>
          <w:color w:val="auto"/>
          <w:sz w:val="32"/>
          <w:szCs w:val="32"/>
          <w:highlight w:val="none"/>
          <w:u w:val="none"/>
          <w:lang w:eastAsia="zh-CN"/>
        </w:rPr>
        <w:t>（</w:t>
      </w:r>
      <w:r>
        <w:rPr>
          <w:rFonts w:hint="default" w:ascii="Times New Roman" w:hAnsi="Times New Roman" w:cs="Times New Roman"/>
          <w:b w:val="0"/>
          <w:bCs w:val="0"/>
          <w:color w:val="auto"/>
          <w:sz w:val="32"/>
          <w:szCs w:val="32"/>
          <w:highlight w:val="none"/>
          <w:u w:val="none"/>
          <w:lang w:val="en-US" w:eastAsia="zh-CN"/>
        </w:rPr>
        <w:t>1</w:t>
      </w:r>
      <w:r>
        <w:rPr>
          <w:rFonts w:hint="default" w:ascii="Times New Roman" w:hAnsi="Times New Roman"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"_Toc61283952"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第一节  发展基础</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2</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"_Toc61283953"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第二节  指导思想</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7</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"_Toc61283954"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第三节  基本原则</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8</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ascii="Calibri" w:hAnsi="Calibri" w:eastAsia="宋体" w:cs="Times New Roman"/>
          <w:b w:val="0"/>
          <w:bCs w:val="0"/>
          <w:color w:val="auto"/>
          <w:kern w:val="2"/>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"_Toc61283955"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第四节  发展目标</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9</w:t>
      </w:r>
      <w:r>
        <w:rPr>
          <w:rFonts w:hint="default" w:ascii="Times New Roman" w:hAnsi="Times New Roman" w:eastAsia="方正楷体_GBK" w:cs="Times New Roman"/>
          <w:b w:val="0"/>
          <w:bCs w:val="0"/>
          <w:color w:val="auto"/>
          <w:sz w:val="32"/>
          <w:szCs w:val="32"/>
          <w:highlight w:val="none"/>
          <w:u w:val="none"/>
          <w:lang w:eastAsia="zh-CN"/>
        </w:rPr>
        <w:t>）</w:t>
      </w:r>
    </w:p>
    <w:p>
      <w:pPr>
        <w:pStyle w:val="12"/>
        <w:keepNext w:val="0"/>
        <w:keepLines w:val="0"/>
        <w:pageBreakBefore w:val="0"/>
        <w:widowControl/>
        <w:tabs>
          <w:tab w:val="right" w:leader="middleDot" w:pos="8789"/>
          <w:tab w:val="clear" w:pos="8296"/>
        </w:tabs>
        <w:kinsoku/>
        <w:wordWrap/>
        <w:overflowPunct/>
        <w:topLinePunct w:val="0"/>
        <w:autoSpaceDE/>
        <w:autoSpaceDN/>
        <w:bidi w:val="0"/>
        <w:adjustRightInd/>
        <w:snapToGrid/>
        <w:spacing w:line="600" w:lineRule="exact"/>
        <w:ind w:right="0" w:rightChars="0" w:firstLine="0" w:firstLineChars="0"/>
        <w:jc w:val="left"/>
        <w:textAlignment w:val="auto"/>
        <w:outlineLvl w:val="9"/>
        <w:rPr>
          <w:rFonts w:ascii="Calibri" w:hAnsi="Calibri" w:eastAsia="宋体" w:cs="Times New Roman"/>
          <w:b w:val="0"/>
          <w:bCs w:val="0"/>
          <w:color w:val="auto"/>
          <w:kern w:val="2"/>
          <w:sz w:val="32"/>
          <w:szCs w:val="32"/>
          <w:highlight w:val="none"/>
          <w:u w:val="none"/>
        </w:rPr>
      </w:pPr>
      <w:r>
        <w:rPr>
          <w:rFonts w:ascii="Times New Roman" w:eastAsia="方正黑体_GBK"/>
          <w:b w:val="0"/>
          <w:bCs w:val="0"/>
          <w:color w:val="auto"/>
          <w:sz w:val="32"/>
          <w:szCs w:val="32"/>
          <w:highlight w:val="none"/>
          <w:u w:val="none"/>
        </w:rPr>
        <w:fldChar w:fldCharType="begin"/>
      </w:r>
      <w:r>
        <w:rPr>
          <w:rStyle w:val="18"/>
          <w:rFonts w:ascii="Times New Roman" w:eastAsia="方正黑体_GBK"/>
          <w:b w:val="0"/>
          <w:bCs w:val="0"/>
          <w:color w:val="auto"/>
          <w:sz w:val="32"/>
          <w:szCs w:val="32"/>
          <w:highlight w:val="none"/>
          <w:u w:val="none"/>
        </w:rPr>
        <w:instrText xml:space="preserve"> HYPERLINK \l "_Toc61283956" </w:instrText>
      </w:r>
      <w:r>
        <w:rPr>
          <w:rFonts w:ascii="Times New Roman" w:eastAsia="方正黑体_GBK"/>
          <w:b w:val="0"/>
          <w:bCs w:val="0"/>
          <w:color w:val="auto"/>
          <w:sz w:val="32"/>
          <w:szCs w:val="32"/>
          <w:highlight w:val="none"/>
          <w:u w:val="none"/>
        </w:rPr>
        <w:fldChar w:fldCharType="separate"/>
      </w:r>
      <w:r>
        <w:rPr>
          <w:rStyle w:val="18"/>
          <w:rFonts w:ascii="Times New Roman" w:eastAsia="方正黑体_GBK"/>
          <w:b w:val="0"/>
          <w:bCs w:val="0"/>
          <w:color w:val="auto"/>
          <w:sz w:val="32"/>
          <w:szCs w:val="32"/>
          <w:highlight w:val="none"/>
          <w:u w:val="none"/>
        </w:rPr>
        <w:t xml:space="preserve">第二章  </w:t>
      </w:r>
      <w:r>
        <w:rPr>
          <w:rStyle w:val="18"/>
          <w:rFonts w:hint="eastAsia" w:ascii="Times New Roman" w:eastAsia="方正黑体_GBK"/>
          <w:b w:val="0"/>
          <w:bCs w:val="0"/>
          <w:color w:val="auto"/>
          <w:sz w:val="32"/>
          <w:szCs w:val="32"/>
          <w:highlight w:val="none"/>
          <w:u w:val="none"/>
          <w:lang w:eastAsia="zh-CN"/>
        </w:rPr>
        <w:t>努</w:t>
      </w:r>
      <w:r>
        <w:rPr>
          <w:rFonts w:ascii="Times New Roman" w:eastAsia="方正黑体_GBK"/>
          <w:b w:val="0"/>
          <w:bCs w:val="0"/>
          <w:color w:val="auto"/>
          <w:sz w:val="32"/>
          <w:szCs w:val="32"/>
          <w:highlight w:val="none"/>
          <w:u w:val="none"/>
        </w:rPr>
        <w:fldChar w:fldCharType="end"/>
      </w:r>
      <w:r>
        <w:rPr>
          <w:rStyle w:val="18"/>
          <w:rFonts w:hint="eastAsia" w:ascii="Times New Roman" w:eastAsia="方正黑体_GBK"/>
          <w:b w:val="0"/>
          <w:bCs w:val="0"/>
          <w:color w:val="auto"/>
          <w:sz w:val="32"/>
          <w:szCs w:val="32"/>
          <w:highlight w:val="none"/>
          <w:u w:val="none"/>
          <w:lang w:eastAsia="zh-CN"/>
        </w:rPr>
        <w:t>力实现更加充分更高质量就业</w:t>
      </w:r>
      <w:r>
        <w:rPr>
          <w:b w:val="0"/>
          <w:bCs w:val="0"/>
          <w:color w:val="auto"/>
          <w:u w:val="none"/>
        </w:rPr>
        <w:tab/>
      </w:r>
      <w:r>
        <w:rPr>
          <w:rFonts w:hint="default" w:ascii="Times New Roman" w:hAnsi="Times New Roman" w:cs="Times New Roman"/>
          <w:b w:val="0"/>
          <w:bCs w:val="0"/>
          <w:color w:val="auto"/>
          <w:sz w:val="32"/>
          <w:szCs w:val="32"/>
          <w:highlight w:val="none"/>
          <w:u w:val="none"/>
          <w:lang w:eastAsia="zh-CN"/>
        </w:rPr>
        <w:t>（</w:t>
      </w:r>
      <w:r>
        <w:rPr>
          <w:rFonts w:hint="default" w:ascii="Times New Roman" w:hAnsi="Times New Roman" w:cs="Times New Roman"/>
          <w:b w:val="0"/>
          <w:bCs w:val="0"/>
          <w:color w:val="auto"/>
          <w:sz w:val="32"/>
          <w:szCs w:val="32"/>
          <w:highlight w:val="none"/>
          <w:u w:val="none"/>
          <w:lang w:val="en-US" w:eastAsia="zh-CN"/>
        </w:rPr>
        <w:t>1</w:t>
      </w:r>
      <w:r>
        <w:rPr>
          <w:rFonts w:hint="eastAsia" w:ascii="Times New Roman" w:cs="Times New Roman"/>
          <w:b w:val="0"/>
          <w:bCs w:val="0"/>
          <w:color w:val="auto"/>
          <w:sz w:val="32"/>
          <w:szCs w:val="32"/>
          <w:highlight w:val="none"/>
          <w:u w:val="none"/>
          <w:lang w:val="en-US" w:eastAsia="zh-CN"/>
        </w:rPr>
        <w:t>2</w:t>
      </w:r>
      <w:r>
        <w:rPr>
          <w:rFonts w:hint="default" w:ascii="Times New Roman" w:hAnsi="Times New Roman"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"_Toc61283957"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第一节  强化就业优先政策</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12</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"_Toc61283958"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第二节  实施统筹城乡的就业政策</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default" w:ascii="Times New Roman" w:hAnsi="Times New Roman" w:eastAsia="方正楷体_GBK" w:cs="Times New Roman"/>
          <w:b w:val="0"/>
          <w:bCs w:val="0"/>
          <w:color w:val="auto"/>
          <w:sz w:val="32"/>
          <w:szCs w:val="32"/>
          <w:highlight w:val="none"/>
          <w:u w:val="none"/>
          <w:lang w:val="en-US" w:eastAsia="zh-CN"/>
        </w:rPr>
        <w:t>1</w:t>
      </w:r>
      <w:r>
        <w:rPr>
          <w:rFonts w:hint="eastAsia" w:ascii="Times New Roman" w:hAnsi="Times New Roman" w:cs="Times New Roman"/>
          <w:b w:val="0"/>
          <w:bCs w:val="0"/>
          <w:color w:val="auto"/>
          <w:sz w:val="32"/>
          <w:szCs w:val="32"/>
          <w:highlight w:val="none"/>
          <w:u w:val="none"/>
          <w:lang w:val="en-US" w:eastAsia="zh-CN"/>
        </w:rPr>
        <w:t>3</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"_Toc61283959"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第三节  推进全方位公共就业服务</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default" w:ascii="Times New Roman" w:hAnsi="Times New Roman" w:eastAsia="方正楷体_GBK" w:cs="Times New Roman"/>
          <w:b w:val="0"/>
          <w:bCs w:val="0"/>
          <w:color w:val="auto"/>
          <w:sz w:val="32"/>
          <w:szCs w:val="32"/>
          <w:highlight w:val="none"/>
          <w:u w:val="none"/>
          <w:lang w:val="en-US" w:eastAsia="zh-CN"/>
        </w:rPr>
        <w:t>1</w:t>
      </w:r>
      <w:r>
        <w:rPr>
          <w:rFonts w:hint="eastAsia" w:ascii="Times New Roman" w:hAnsi="Times New Roman" w:cs="Times New Roman"/>
          <w:b w:val="0"/>
          <w:bCs w:val="0"/>
          <w:color w:val="auto"/>
          <w:sz w:val="32"/>
          <w:szCs w:val="32"/>
          <w:highlight w:val="none"/>
          <w:u w:val="none"/>
          <w:lang w:val="en-US" w:eastAsia="zh-CN"/>
        </w:rPr>
        <w:t>3</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"_Toc61283960"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第四节  完善重点群体就业支持体系</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default" w:ascii="Times New Roman" w:hAnsi="Times New Roman" w:eastAsia="方正楷体_GBK" w:cs="Times New Roman"/>
          <w:b w:val="0"/>
          <w:bCs w:val="0"/>
          <w:color w:val="auto"/>
          <w:sz w:val="32"/>
          <w:szCs w:val="32"/>
          <w:highlight w:val="none"/>
          <w:u w:val="none"/>
          <w:lang w:val="en-US" w:eastAsia="zh-CN"/>
        </w:rPr>
        <w:t>1</w:t>
      </w:r>
      <w:r>
        <w:rPr>
          <w:rFonts w:hint="eastAsia" w:ascii="Times New Roman" w:hAnsi="Times New Roman" w:cs="Times New Roman"/>
          <w:b w:val="0"/>
          <w:bCs w:val="0"/>
          <w:color w:val="auto"/>
          <w:sz w:val="32"/>
          <w:szCs w:val="32"/>
          <w:highlight w:val="none"/>
          <w:u w:val="none"/>
          <w:lang w:val="en-US" w:eastAsia="zh-CN"/>
        </w:rPr>
        <w:t>4</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"_Toc61283961"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第五节  大力支持创业</w:t>
      </w:r>
      <w:r>
        <w:rPr>
          <w:rFonts w:hint="eastAsia" w:ascii="方正楷体_GBK" w:hAnsi="方正楷体_GBK" w:cs="方正楷体_GBK"/>
          <w:b w:val="0"/>
          <w:bCs w:val="0"/>
          <w:color w:val="auto"/>
          <w:sz w:val="32"/>
          <w:szCs w:val="32"/>
          <w:highlight w:val="none"/>
          <w:u w:val="none"/>
          <w:lang w:val="en-US" w:eastAsia="zh-CN"/>
        </w:rPr>
        <w:t>和</w:t>
      </w:r>
      <w:r>
        <w:rPr>
          <w:rFonts w:hint="eastAsia" w:ascii="方正楷体_GBK" w:hAnsi="方正楷体_GBK" w:eastAsia="方正楷体_GBK" w:cs="方正楷体_GBK"/>
          <w:b w:val="0"/>
          <w:bCs w:val="0"/>
          <w:color w:val="auto"/>
          <w:sz w:val="32"/>
          <w:szCs w:val="32"/>
          <w:highlight w:val="none"/>
          <w:u w:val="none"/>
        </w:rPr>
        <w:t>新就业形态发展</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default" w:ascii="Times New Roman" w:hAnsi="Times New Roman" w:eastAsia="方正楷体_GBK" w:cs="Times New Roman"/>
          <w:b w:val="0"/>
          <w:bCs w:val="0"/>
          <w:color w:val="auto"/>
          <w:sz w:val="32"/>
          <w:szCs w:val="32"/>
          <w:highlight w:val="none"/>
          <w:u w:val="none"/>
          <w:lang w:val="en-US" w:eastAsia="zh-CN"/>
        </w:rPr>
        <w:t>1</w:t>
      </w:r>
      <w:r>
        <w:rPr>
          <w:rFonts w:hint="eastAsia" w:ascii="Times New Roman" w:hAnsi="Times New Roman" w:cs="Times New Roman"/>
          <w:b w:val="0"/>
          <w:bCs w:val="0"/>
          <w:color w:val="auto"/>
          <w:sz w:val="32"/>
          <w:szCs w:val="32"/>
          <w:highlight w:val="none"/>
          <w:u w:val="none"/>
          <w:lang w:val="en-US" w:eastAsia="zh-CN"/>
        </w:rPr>
        <w:t>4</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"_Toc61283962"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第六节  持续实施职业技能培训</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default" w:ascii="Times New Roman" w:hAnsi="Times New Roman" w:eastAsia="方正楷体_GBK" w:cs="Times New Roman"/>
          <w:b w:val="0"/>
          <w:bCs w:val="0"/>
          <w:color w:val="auto"/>
          <w:sz w:val="32"/>
          <w:szCs w:val="32"/>
          <w:highlight w:val="none"/>
          <w:u w:val="none"/>
          <w:lang w:val="en-US" w:eastAsia="zh-CN"/>
        </w:rPr>
        <w:t>1</w:t>
      </w:r>
      <w:r>
        <w:rPr>
          <w:rFonts w:hint="eastAsia" w:ascii="Times New Roman" w:hAnsi="Times New Roman" w:cs="Times New Roman"/>
          <w:b w:val="0"/>
          <w:bCs w:val="0"/>
          <w:color w:val="auto"/>
          <w:sz w:val="32"/>
          <w:szCs w:val="32"/>
          <w:highlight w:val="none"/>
          <w:u w:val="none"/>
          <w:lang w:val="en-US" w:eastAsia="zh-CN"/>
        </w:rPr>
        <w:t>5</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default" w:ascii="Times New Roman" w:hAnsi="Times New Roman" w:eastAsia="方正楷体_GBK" w:cs="Times New Roman"/>
          <w:b w:val="0"/>
          <w:bCs w:val="0"/>
          <w:color w:val="auto"/>
          <w:sz w:val="32"/>
          <w:szCs w:val="32"/>
          <w:highlight w:val="none"/>
          <w:u w:val="none"/>
          <w:lang w:eastAsia="zh-CN"/>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"_Toc61283963"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第七节  推动建设开放有序的人力资源市场体系</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default" w:ascii="Times New Roman" w:hAnsi="Times New Roman" w:eastAsia="方正楷体_GBK" w:cs="Times New Roman"/>
          <w:b w:val="0"/>
          <w:bCs w:val="0"/>
          <w:color w:val="auto"/>
          <w:sz w:val="32"/>
          <w:szCs w:val="32"/>
          <w:highlight w:val="none"/>
          <w:u w:val="none"/>
          <w:lang w:val="en-US" w:eastAsia="zh-CN"/>
        </w:rPr>
        <w:t>1</w:t>
      </w:r>
      <w:r>
        <w:rPr>
          <w:rFonts w:hint="eastAsia" w:ascii="Times New Roman" w:hAnsi="Times New Roman" w:cs="Times New Roman"/>
          <w:b w:val="0"/>
          <w:bCs w:val="0"/>
          <w:color w:val="auto"/>
          <w:sz w:val="32"/>
          <w:szCs w:val="32"/>
          <w:highlight w:val="none"/>
          <w:u w:val="none"/>
          <w:lang w:val="en-US" w:eastAsia="zh-CN"/>
        </w:rPr>
        <w:t>6</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default" w:ascii="Times New Roman" w:hAnsi="Times New Roman" w:eastAsia="方正楷体_GBK" w:cs="Times New Roman"/>
          <w:b w:val="0"/>
          <w:bCs w:val="0"/>
          <w:color w:val="auto"/>
          <w:sz w:val="32"/>
          <w:szCs w:val="32"/>
          <w:highlight w:val="none"/>
          <w:u w:val="none"/>
          <w:lang w:eastAsia="zh-CN"/>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"_Toc61283963"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w:t>
      </w:r>
      <w:r>
        <w:rPr>
          <w:rFonts w:hint="eastAsia" w:ascii="方正楷体_GBK" w:hAnsi="方正楷体_GBK" w:cs="方正楷体_GBK"/>
          <w:b w:val="0"/>
          <w:bCs w:val="0"/>
          <w:color w:val="auto"/>
          <w:sz w:val="32"/>
          <w:szCs w:val="32"/>
          <w:highlight w:val="none"/>
          <w:u w:val="none"/>
          <w:lang w:eastAsia="zh-CN"/>
        </w:rPr>
        <w:t>八</w:t>
      </w:r>
      <w:r>
        <w:rPr>
          <w:rFonts w:hint="eastAsia" w:ascii="方正楷体_GBK" w:hAnsi="方正楷体_GBK" w:eastAsia="方正楷体_GBK" w:cs="方正楷体_GBK"/>
          <w:b w:val="0"/>
          <w:bCs w:val="0"/>
          <w:color w:val="auto"/>
          <w:sz w:val="32"/>
          <w:szCs w:val="32"/>
          <w:highlight w:val="none"/>
          <w:u w:val="none"/>
        </w:rPr>
        <w:t xml:space="preserve">节  </w:t>
      </w:r>
      <w:r>
        <w:rPr>
          <w:rFonts w:hint="eastAsia" w:ascii="方正楷体_GBK" w:hAnsi="方正楷体_GBK" w:cs="方正楷体_GBK"/>
          <w:b w:val="0"/>
          <w:bCs w:val="0"/>
          <w:color w:val="auto"/>
          <w:sz w:val="32"/>
          <w:szCs w:val="32"/>
          <w:highlight w:val="none"/>
          <w:u w:val="none"/>
          <w:lang w:eastAsia="zh-CN"/>
        </w:rPr>
        <w:t>扩</w:t>
      </w:r>
      <w:r>
        <w:rPr>
          <w:rFonts w:hint="eastAsia" w:ascii="方正楷体_GBK" w:hAnsi="方正楷体_GBK" w:eastAsia="方正楷体_GBK" w:cs="方正楷体_GBK"/>
          <w:b w:val="0"/>
          <w:bCs w:val="0"/>
          <w:color w:val="auto"/>
          <w:sz w:val="32"/>
          <w:szCs w:val="32"/>
          <w:highlight w:val="none"/>
          <w:u w:val="none"/>
        </w:rPr>
        <w:fldChar w:fldCharType="end"/>
      </w:r>
      <w:r>
        <w:rPr>
          <w:rFonts w:hint="eastAsia" w:ascii="方正楷体_GBK" w:hAnsi="方正楷体_GBK" w:cs="方正楷体_GBK"/>
          <w:b w:val="0"/>
          <w:bCs w:val="0"/>
          <w:color w:val="auto"/>
          <w:sz w:val="32"/>
          <w:szCs w:val="32"/>
          <w:highlight w:val="none"/>
          <w:u w:val="none"/>
          <w:lang w:eastAsia="zh-CN"/>
        </w:rPr>
        <w:t>大中等收入群体</w:t>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17</w:t>
      </w:r>
      <w:r>
        <w:rPr>
          <w:rFonts w:hint="default" w:ascii="Times New Roman" w:hAnsi="Times New Roman" w:eastAsia="方正楷体_GBK" w:cs="Times New Roman"/>
          <w:b w:val="0"/>
          <w:bCs w:val="0"/>
          <w:color w:val="auto"/>
          <w:sz w:val="32"/>
          <w:szCs w:val="32"/>
          <w:highlight w:val="none"/>
          <w:u w:val="none"/>
          <w:lang w:eastAsia="zh-CN"/>
        </w:rPr>
        <w:t>）</w:t>
      </w:r>
    </w:p>
    <w:p>
      <w:pPr>
        <w:pStyle w:val="12"/>
        <w:keepNext w:val="0"/>
        <w:keepLines w:val="0"/>
        <w:pageBreakBefore w:val="0"/>
        <w:widowControl/>
        <w:tabs>
          <w:tab w:val="right" w:leader="middleDot" w:pos="8789"/>
          <w:tab w:val="clear" w:pos="8296"/>
        </w:tabs>
        <w:kinsoku/>
        <w:wordWrap/>
        <w:overflowPunct/>
        <w:topLinePunct w:val="0"/>
        <w:autoSpaceDE/>
        <w:autoSpaceDN/>
        <w:bidi w:val="0"/>
        <w:adjustRightInd/>
        <w:snapToGrid/>
        <w:spacing w:line="600" w:lineRule="exact"/>
        <w:ind w:right="0" w:rightChars="0" w:firstLine="0" w:firstLineChars="0"/>
        <w:jc w:val="left"/>
        <w:textAlignment w:val="auto"/>
        <w:outlineLvl w:val="9"/>
        <w:rPr>
          <w:rStyle w:val="18"/>
          <w:rFonts w:ascii="Times New Roman" w:eastAsia="方正黑体_GBK"/>
          <w:b w:val="0"/>
          <w:bCs w:val="0"/>
          <w:color w:val="auto"/>
          <w:sz w:val="32"/>
          <w:szCs w:val="32"/>
          <w:highlight w:val="none"/>
          <w:u w:val="none"/>
        </w:rPr>
      </w:pPr>
      <w:r>
        <w:rPr>
          <w:rFonts w:ascii="Times New Roman" w:eastAsia="方正黑体_GBK"/>
          <w:b w:val="0"/>
          <w:bCs w:val="0"/>
          <w:color w:val="auto"/>
          <w:sz w:val="32"/>
          <w:szCs w:val="32"/>
          <w:highlight w:val="none"/>
          <w:u w:val="none"/>
        </w:rPr>
        <w:fldChar w:fldCharType="begin"/>
      </w:r>
      <w:r>
        <w:rPr>
          <w:rStyle w:val="18"/>
          <w:rFonts w:ascii="Times New Roman" w:eastAsia="方正黑体_GBK"/>
          <w:b w:val="0"/>
          <w:bCs w:val="0"/>
          <w:color w:val="auto"/>
          <w:sz w:val="32"/>
          <w:szCs w:val="32"/>
          <w:highlight w:val="none"/>
          <w:u w:val="none"/>
        </w:rPr>
        <w:instrText xml:space="preserve"> HYPERLINK \l "_Toc61283964" </w:instrText>
      </w:r>
      <w:r>
        <w:rPr>
          <w:rFonts w:ascii="Times New Roman" w:eastAsia="方正黑体_GBK"/>
          <w:b w:val="0"/>
          <w:bCs w:val="0"/>
          <w:color w:val="auto"/>
          <w:sz w:val="32"/>
          <w:szCs w:val="32"/>
          <w:highlight w:val="none"/>
          <w:u w:val="none"/>
        </w:rPr>
        <w:fldChar w:fldCharType="separate"/>
      </w:r>
      <w:r>
        <w:rPr>
          <w:rStyle w:val="18"/>
          <w:rFonts w:ascii="Times New Roman" w:eastAsia="方正黑体_GBK"/>
          <w:b w:val="0"/>
          <w:bCs w:val="0"/>
          <w:color w:val="auto"/>
          <w:sz w:val="32"/>
          <w:szCs w:val="32"/>
          <w:highlight w:val="none"/>
          <w:u w:val="none"/>
        </w:rPr>
        <w:t xml:space="preserve">第三章  </w:t>
      </w:r>
      <w:r>
        <w:rPr>
          <w:rFonts w:ascii="Times New Roman" w:eastAsia="方正黑体_GBK"/>
          <w:b w:val="0"/>
          <w:bCs w:val="0"/>
          <w:color w:val="auto"/>
          <w:sz w:val="32"/>
          <w:szCs w:val="32"/>
          <w:highlight w:val="none"/>
          <w:u w:val="none"/>
        </w:rPr>
        <w:fldChar w:fldCharType="end"/>
      </w:r>
      <w:r>
        <w:rPr>
          <w:rStyle w:val="18"/>
          <w:rFonts w:hint="eastAsia" w:ascii="Times New Roman" w:eastAsia="方正黑体_GBK"/>
          <w:b w:val="0"/>
          <w:bCs w:val="0"/>
          <w:color w:val="auto"/>
          <w:sz w:val="32"/>
          <w:szCs w:val="32"/>
          <w:highlight w:val="none"/>
          <w:u w:val="none"/>
          <w:lang w:val="en-US" w:eastAsia="zh-CN"/>
        </w:rPr>
        <w:t>健全</w:t>
      </w:r>
      <w:r>
        <w:rPr>
          <w:rStyle w:val="18"/>
          <w:rFonts w:hint="eastAsia" w:ascii="Times New Roman" w:eastAsia="方正黑体_GBK"/>
          <w:b w:val="0"/>
          <w:bCs w:val="0"/>
          <w:color w:val="auto"/>
          <w:sz w:val="32"/>
          <w:szCs w:val="32"/>
          <w:highlight w:val="none"/>
          <w:u w:val="none"/>
          <w:lang w:eastAsia="zh-CN"/>
        </w:rPr>
        <w:t>社会保障体系</w:t>
      </w:r>
      <w:r>
        <w:rPr>
          <w:b w:val="0"/>
          <w:bCs w:val="0"/>
          <w:color w:val="auto"/>
          <w:u w:val="none"/>
        </w:rPr>
        <w:tab/>
      </w:r>
      <w:r>
        <w:rPr>
          <w:rFonts w:hint="default" w:ascii="Times New Roman" w:hAnsi="Times New Roman" w:cs="Times New Roman"/>
          <w:b w:val="0"/>
          <w:bCs w:val="0"/>
          <w:color w:val="auto"/>
          <w:sz w:val="32"/>
          <w:szCs w:val="32"/>
          <w:highlight w:val="none"/>
          <w:u w:val="none"/>
          <w:lang w:eastAsia="zh-CN"/>
        </w:rPr>
        <w:t>（</w:t>
      </w:r>
      <w:r>
        <w:rPr>
          <w:rFonts w:hint="default" w:ascii="Times New Roman" w:hAnsi="Times New Roman" w:cs="Times New Roman"/>
          <w:b w:val="0"/>
          <w:bCs w:val="0"/>
          <w:color w:val="auto"/>
          <w:sz w:val="32"/>
          <w:szCs w:val="32"/>
          <w:highlight w:val="none"/>
          <w:u w:val="none"/>
          <w:lang w:val="en-US" w:eastAsia="zh-CN"/>
        </w:rPr>
        <w:t>1</w:t>
      </w:r>
      <w:r>
        <w:rPr>
          <w:rFonts w:hint="eastAsia" w:ascii="Times New Roman" w:cs="Times New Roman"/>
          <w:b w:val="0"/>
          <w:bCs w:val="0"/>
          <w:color w:val="auto"/>
          <w:sz w:val="32"/>
          <w:szCs w:val="32"/>
          <w:highlight w:val="none"/>
          <w:u w:val="none"/>
          <w:lang w:val="en-US" w:eastAsia="zh-CN"/>
        </w:rPr>
        <w:t>7</w:t>
      </w:r>
      <w:r>
        <w:rPr>
          <w:rFonts w:hint="default" w:ascii="Times New Roman" w:hAnsi="Times New Roman"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"_Toc61283965"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第一节  扩大社会保险覆盖面</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default" w:ascii="Times New Roman" w:hAnsi="Times New Roman" w:eastAsia="方正楷体_GBK" w:cs="Times New Roman"/>
          <w:b w:val="0"/>
          <w:bCs w:val="0"/>
          <w:color w:val="auto"/>
          <w:sz w:val="32"/>
          <w:szCs w:val="32"/>
          <w:highlight w:val="none"/>
          <w:u w:val="none"/>
          <w:lang w:val="en-US" w:eastAsia="zh-CN"/>
        </w:rPr>
        <w:t>1</w:t>
      </w:r>
      <w:r>
        <w:rPr>
          <w:rFonts w:hint="eastAsia" w:ascii="Times New Roman" w:hAnsi="Times New Roman" w:cs="Times New Roman"/>
          <w:b w:val="0"/>
          <w:bCs w:val="0"/>
          <w:color w:val="auto"/>
          <w:sz w:val="32"/>
          <w:szCs w:val="32"/>
          <w:highlight w:val="none"/>
          <w:u w:val="none"/>
          <w:lang w:val="en-US" w:eastAsia="zh-CN"/>
        </w:rPr>
        <w:t>8</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"_Toc61283966"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第二节  健全完善社会保障制度体系</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default" w:ascii="Times New Roman" w:hAnsi="Times New Roman" w:eastAsia="方正楷体_GBK" w:cs="Times New Roman"/>
          <w:b w:val="0"/>
          <w:bCs w:val="0"/>
          <w:color w:val="auto"/>
          <w:sz w:val="32"/>
          <w:szCs w:val="32"/>
          <w:highlight w:val="none"/>
          <w:u w:val="none"/>
          <w:lang w:val="en-US" w:eastAsia="zh-CN"/>
        </w:rPr>
        <w:t>1</w:t>
      </w:r>
      <w:r>
        <w:rPr>
          <w:rFonts w:hint="eastAsia" w:ascii="Times New Roman" w:hAnsi="Times New Roman" w:cs="Times New Roman"/>
          <w:b w:val="0"/>
          <w:bCs w:val="0"/>
          <w:color w:val="auto"/>
          <w:sz w:val="32"/>
          <w:szCs w:val="32"/>
          <w:highlight w:val="none"/>
          <w:u w:val="none"/>
          <w:lang w:val="en-US" w:eastAsia="zh-CN"/>
        </w:rPr>
        <w:t>8</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"_Toc61283967"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 xml:space="preserve">第三节  </w:t>
      </w:r>
      <w:r>
        <w:rPr>
          <w:rFonts w:hint="eastAsia" w:ascii="方正楷体_GBK" w:hAnsi="方正楷体_GBK" w:eastAsia="方正楷体_GBK" w:cs="方正楷体_GBK"/>
          <w:b w:val="0"/>
          <w:bCs w:val="0"/>
          <w:color w:val="auto"/>
          <w:sz w:val="32"/>
          <w:szCs w:val="32"/>
          <w:highlight w:val="none"/>
          <w:u w:val="none"/>
          <w:lang w:eastAsia="zh-CN"/>
        </w:rPr>
        <w:t>完善</w:t>
      </w:r>
      <w:r>
        <w:rPr>
          <w:rFonts w:hint="eastAsia" w:ascii="方正楷体_GBK" w:hAnsi="方正楷体_GBK" w:eastAsia="方正楷体_GBK" w:cs="方正楷体_GBK"/>
          <w:b w:val="0"/>
          <w:bCs w:val="0"/>
          <w:color w:val="auto"/>
          <w:sz w:val="32"/>
          <w:szCs w:val="32"/>
          <w:highlight w:val="none"/>
          <w:u w:val="none"/>
        </w:rPr>
        <w:t>调整社会保险待遇机制</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20</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"_Toc61283968"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第四节  维护社保基金安全可持续运行</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20</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ascii="Calibri" w:hAnsi="Calibri" w:eastAsia="宋体" w:cs="Times New Roman"/>
          <w:b w:val="0"/>
          <w:bCs w:val="0"/>
          <w:color w:val="auto"/>
          <w:kern w:val="2"/>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"_Toc61283969"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第五节  提升社会保障经办管理服务能力</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21</w:t>
      </w:r>
      <w:r>
        <w:rPr>
          <w:rFonts w:hint="default" w:ascii="Times New Roman" w:hAnsi="Times New Roman" w:eastAsia="方正楷体_GBK" w:cs="Times New Roman"/>
          <w:b w:val="0"/>
          <w:bCs w:val="0"/>
          <w:color w:val="auto"/>
          <w:sz w:val="32"/>
          <w:szCs w:val="32"/>
          <w:highlight w:val="none"/>
          <w:u w:val="none"/>
          <w:lang w:eastAsia="zh-CN"/>
        </w:rPr>
        <w:t>）</w:t>
      </w:r>
    </w:p>
    <w:p>
      <w:pPr>
        <w:pStyle w:val="12"/>
        <w:keepNext w:val="0"/>
        <w:keepLines w:val="0"/>
        <w:pageBreakBefore w:val="0"/>
        <w:widowControl/>
        <w:tabs>
          <w:tab w:val="right" w:leader="middleDot" w:pos="8789"/>
          <w:tab w:val="clear" w:pos="8296"/>
        </w:tabs>
        <w:kinsoku/>
        <w:wordWrap/>
        <w:overflowPunct/>
        <w:topLinePunct w:val="0"/>
        <w:autoSpaceDE/>
        <w:autoSpaceDN/>
        <w:bidi w:val="0"/>
        <w:adjustRightInd/>
        <w:snapToGrid/>
        <w:spacing w:line="600" w:lineRule="exact"/>
        <w:ind w:right="0" w:rightChars="0" w:firstLine="0" w:firstLineChars="0"/>
        <w:jc w:val="left"/>
        <w:textAlignment w:val="auto"/>
        <w:outlineLvl w:val="9"/>
        <w:rPr>
          <w:rFonts w:ascii="Calibri" w:hAnsi="Calibri" w:eastAsia="宋体" w:cs="Times New Roman"/>
          <w:b w:val="0"/>
          <w:bCs w:val="0"/>
          <w:color w:val="auto"/>
          <w:kern w:val="2"/>
          <w:sz w:val="32"/>
          <w:szCs w:val="32"/>
          <w:highlight w:val="none"/>
          <w:u w:val="none"/>
        </w:rPr>
      </w:pPr>
      <w:r>
        <w:rPr>
          <w:b w:val="0"/>
          <w:bCs w:val="0"/>
          <w:color w:val="auto"/>
          <w:sz w:val="32"/>
          <w:szCs w:val="32"/>
          <w:highlight w:val="none"/>
          <w:u w:val="none"/>
        </w:rPr>
        <w:fldChar w:fldCharType="begin"/>
      </w:r>
      <w:r>
        <w:rPr>
          <w:b w:val="0"/>
          <w:bCs w:val="0"/>
          <w:color w:val="auto"/>
          <w:sz w:val="32"/>
          <w:szCs w:val="32"/>
          <w:highlight w:val="none"/>
          <w:u w:val="none"/>
        </w:rPr>
        <w:instrText xml:space="preserve"> HYPERLINK \l "_Toc61283970" </w:instrText>
      </w:r>
      <w:r>
        <w:rPr>
          <w:b w:val="0"/>
          <w:bCs w:val="0"/>
          <w:color w:val="auto"/>
          <w:sz w:val="32"/>
          <w:szCs w:val="32"/>
          <w:highlight w:val="none"/>
          <w:u w:val="none"/>
        </w:rPr>
        <w:fldChar w:fldCharType="separate"/>
      </w:r>
      <w:r>
        <w:rPr>
          <w:rStyle w:val="18"/>
          <w:rFonts w:ascii="Times New Roman" w:eastAsia="方正黑体_GBK"/>
          <w:b w:val="0"/>
          <w:bCs w:val="0"/>
          <w:color w:val="auto"/>
          <w:sz w:val="32"/>
          <w:szCs w:val="32"/>
          <w:highlight w:val="none"/>
          <w:u w:val="none"/>
        </w:rPr>
        <w:t xml:space="preserve">第四章  </w:t>
      </w:r>
      <w:r>
        <w:rPr>
          <w:rStyle w:val="18"/>
          <w:rFonts w:hint="eastAsia" w:ascii="Times New Roman" w:eastAsia="方正黑体_GBK"/>
          <w:b w:val="0"/>
          <w:bCs w:val="0"/>
          <w:color w:val="auto"/>
          <w:sz w:val="32"/>
          <w:szCs w:val="32"/>
          <w:highlight w:val="none"/>
          <w:u w:val="none"/>
        </w:rPr>
        <w:t>打造更高水平更</w:t>
      </w:r>
      <w:r>
        <w:rPr>
          <w:rStyle w:val="18"/>
          <w:rFonts w:hint="eastAsia" w:ascii="Times New Roman" w:eastAsia="方正黑体_GBK"/>
          <w:b w:val="0"/>
          <w:bCs w:val="0"/>
          <w:color w:val="auto"/>
          <w:sz w:val="32"/>
          <w:szCs w:val="32"/>
          <w:highlight w:val="none"/>
          <w:u w:val="none"/>
          <w:lang w:eastAsia="zh-CN"/>
        </w:rPr>
        <w:t>具</w:t>
      </w:r>
      <w:r>
        <w:rPr>
          <w:rStyle w:val="18"/>
          <w:rFonts w:hint="eastAsia" w:ascii="Times New Roman" w:eastAsia="方正黑体_GBK"/>
          <w:b w:val="0"/>
          <w:bCs w:val="0"/>
          <w:color w:val="auto"/>
          <w:sz w:val="32"/>
          <w:szCs w:val="32"/>
          <w:highlight w:val="none"/>
          <w:u w:val="none"/>
        </w:rPr>
        <w:t>活力的人才强区</w:t>
      </w:r>
      <w:r>
        <w:rPr>
          <w:b w:val="0"/>
          <w:bCs w:val="0"/>
          <w:color w:val="auto"/>
          <w:sz w:val="32"/>
          <w:szCs w:val="32"/>
          <w:highlight w:val="none"/>
          <w:u w:val="none"/>
        </w:rPr>
        <w:fldChar w:fldCharType="end"/>
      </w:r>
      <w:r>
        <w:rPr>
          <w:b w:val="0"/>
          <w:bCs w:val="0"/>
          <w:color w:val="auto"/>
          <w:u w:val="none"/>
        </w:rPr>
        <w:tab/>
      </w:r>
      <w:r>
        <w:rPr>
          <w:rFonts w:hint="default" w:ascii="Times New Roman" w:hAnsi="Times New Roman" w:cs="Times New Roman"/>
          <w:b w:val="0"/>
          <w:bCs w:val="0"/>
          <w:color w:val="auto"/>
          <w:sz w:val="32"/>
          <w:szCs w:val="32"/>
          <w:highlight w:val="none"/>
          <w:u w:val="none"/>
          <w:lang w:eastAsia="zh-CN"/>
        </w:rPr>
        <w:t>（</w:t>
      </w:r>
      <w:r>
        <w:rPr>
          <w:rFonts w:hint="eastAsia" w:ascii="Times New Roman" w:cs="Times New Roman"/>
          <w:b w:val="0"/>
          <w:bCs w:val="0"/>
          <w:color w:val="auto"/>
          <w:sz w:val="32"/>
          <w:szCs w:val="32"/>
          <w:highlight w:val="none"/>
          <w:u w:val="none"/>
          <w:lang w:val="en-US" w:eastAsia="zh-CN"/>
        </w:rPr>
        <w:t>22</w:t>
      </w:r>
      <w:r>
        <w:rPr>
          <w:rFonts w:hint="default" w:ascii="Times New Roman" w:hAnsi="Times New Roman"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"_Toc61283971"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第一节  加强专业技术人才队伍建设</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23</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"_Toc61283972"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第二节  加强技能人才队伍建设</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24</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"_Toc61283973"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第三节  持续推进事业单位人事制度改革</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25</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"_Toc61283974"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第四节  改革完善事业单位工资制度</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25</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ascii="Calibri" w:hAnsi="Calibri" w:eastAsia="宋体" w:cs="Times New Roman"/>
          <w:b w:val="0"/>
          <w:bCs w:val="0"/>
          <w:color w:val="auto"/>
          <w:kern w:val="2"/>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"_Toc61283976"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w:t>
      </w:r>
      <w:r>
        <w:rPr>
          <w:rFonts w:hint="eastAsia" w:ascii="方正楷体_GBK" w:hAnsi="方正楷体_GBK" w:cs="方正楷体_GBK"/>
          <w:b w:val="0"/>
          <w:bCs w:val="0"/>
          <w:color w:val="auto"/>
          <w:sz w:val="32"/>
          <w:szCs w:val="32"/>
          <w:highlight w:val="none"/>
          <w:u w:val="none"/>
          <w:lang w:eastAsia="zh-CN"/>
        </w:rPr>
        <w:t>五</w:t>
      </w:r>
      <w:r>
        <w:rPr>
          <w:rFonts w:hint="eastAsia" w:ascii="方正楷体_GBK" w:hAnsi="方正楷体_GBK" w:eastAsia="方正楷体_GBK" w:cs="方正楷体_GBK"/>
          <w:b w:val="0"/>
          <w:bCs w:val="0"/>
          <w:color w:val="auto"/>
          <w:sz w:val="32"/>
          <w:szCs w:val="32"/>
          <w:highlight w:val="none"/>
          <w:u w:val="none"/>
        </w:rPr>
        <w:t>节  促进人才顺畅有序流动</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26</w:t>
      </w:r>
      <w:r>
        <w:rPr>
          <w:rFonts w:hint="default" w:ascii="Times New Roman" w:hAnsi="Times New Roman" w:eastAsia="方正楷体_GBK" w:cs="Times New Roman"/>
          <w:b w:val="0"/>
          <w:bCs w:val="0"/>
          <w:color w:val="auto"/>
          <w:sz w:val="32"/>
          <w:szCs w:val="32"/>
          <w:highlight w:val="none"/>
          <w:u w:val="none"/>
          <w:lang w:eastAsia="zh-CN"/>
        </w:rPr>
        <w:t>）</w:t>
      </w:r>
    </w:p>
    <w:p>
      <w:pPr>
        <w:pStyle w:val="12"/>
        <w:keepNext w:val="0"/>
        <w:keepLines w:val="0"/>
        <w:pageBreakBefore w:val="0"/>
        <w:widowControl/>
        <w:tabs>
          <w:tab w:val="right" w:leader="middleDot" w:pos="8789"/>
          <w:tab w:val="clear" w:pos="8296"/>
        </w:tabs>
        <w:kinsoku/>
        <w:wordWrap/>
        <w:overflowPunct/>
        <w:topLinePunct w:val="0"/>
        <w:autoSpaceDE/>
        <w:autoSpaceDN/>
        <w:bidi w:val="0"/>
        <w:adjustRightInd/>
        <w:snapToGrid/>
        <w:spacing w:line="600" w:lineRule="exact"/>
        <w:ind w:right="0" w:rightChars="0" w:firstLine="0" w:firstLineChars="0"/>
        <w:jc w:val="left"/>
        <w:textAlignment w:val="auto"/>
        <w:outlineLvl w:val="9"/>
        <w:rPr>
          <w:rFonts w:ascii="Calibri" w:hAnsi="Calibri" w:eastAsia="宋体" w:cs="Times New Roman"/>
          <w:b w:val="0"/>
          <w:bCs w:val="0"/>
          <w:color w:val="auto"/>
          <w:kern w:val="2"/>
          <w:sz w:val="32"/>
          <w:szCs w:val="32"/>
          <w:highlight w:val="none"/>
          <w:u w:val="none"/>
        </w:rPr>
      </w:pPr>
      <w:r>
        <w:rPr>
          <w:b w:val="0"/>
          <w:bCs w:val="0"/>
          <w:color w:val="auto"/>
          <w:sz w:val="32"/>
          <w:szCs w:val="32"/>
          <w:highlight w:val="none"/>
          <w:u w:val="none"/>
        </w:rPr>
        <w:fldChar w:fldCharType="begin"/>
      </w:r>
      <w:r>
        <w:rPr>
          <w:b w:val="0"/>
          <w:bCs w:val="0"/>
          <w:color w:val="auto"/>
          <w:sz w:val="32"/>
          <w:szCs w:val="32"/>
          <w:highlight w:val="none"/>
          <w:u w:val="none"/>
        </w:rPr>
        <w:instrText xml:space="preserve"> HYPERLINK \l "_Toc61283978" </w:instrText>
      </w:r>
      <w:r>
        <w:rPr>
          <w:b w:val="0"/>
          <w:bCs w:val="0"/>
          <w:color w:val="auto"/>
          <w:sz w:val="32"/>
          <w:szCs w:val="32"/>
          <w:highlight w:val="none"/>
          <w:u w:val="none"/>
        </w:rPr>
        <w:fldChar w:fldCharType="separate"/>
      </w:r>
      <w:r>
        <w:rPr>
          <w:rStyle w:val="18"/>
          <w:rFonts w:ascii="Times New Roman" w:eastAsia="方正黑体_GBK"/>
          <w:b w:val="0"/>
          <w:bCs w:val="0"/>
          <w:color w:val="auto"/>
          <w:sz w:val="32"/>
          <w:szCs w:val="32"/>
          <w:highlight w:val="none"/>
          <w:u w:val="none"/>
        </w:rPr>
        <w:t xml:space="preserve">第五章  </w:t>
      </w:r>
      <w:r>
        <w:rPr>
          <w:rStyle w:val="18"/>
          <w:rFonts w:hint="eastAsia" w:ascii="Times New Roman" w:eastAsia="方正黑体_GBK"/>
          <w:b w:val="0"/>
          <w:bCs w:val="0"/>
          <w:color w:val="auto"/>
          <w:sz w:val="32"/>
          <w:szCs w:val="32"/>
          <w:highlight w:val="none"/>
          <w:u w:val="none"/>
          <w:lang w:eastAsia="zh-CN"/>
        </w:rPr>
        <w:t>构建更加和谐劳动关系</w:t>
      </w:r>
      <w:r>
        <w:rPr>
          <w:b w:val="0"/>
          <w:bCs w:val="0"/>
          <w:color w:val="auto"/>
          <w:sz w:val="32"/>
          <w:szCs w:val="32"/>
          <w:highlight w:val="none"/>
          <w:u w:val="none"/>
        </w:rPr>
        <w:fldChar w:fldCharType="end"/>
      </w:r>
      <w:r>
        <w:rPr>
          <w:b w:val="0"/>
          <w:bCs w:val="0"/>
          <w:color w:val="auto"/>
          <w:u w:val="none"/>
        </w:rPr>
        <w:tab/>
      </w:r>
      <w:r>
        <w:rPr>
          <w:rFonts w:hint="default" w:ascii="Times New Roman" w:hAnsi="Times New Roman" w:cs="Times New Roman"/>
          <w:b w:val="0"/>
          <w:bCs w:val="0"/>
          <w:color w:val="auto"/>
          <w:sz w:val="32"/>
          <w:szCs w:val="32"/>
          <w:highlight w:val="none"/>
          <w:u w:val="none"/>
          <w:lang w:eastAsia="zh-CN"/>
        </w:rPr>
        <w:t>（</w:t>
      </w:r>
      <w:r>
        <w:rPr>
          <w:rFonts w:hint="eastAsia" w:ascii="Times New Roman" w:cs="Times New Roman"/>
          <w:b w:val="0"/>
          <w:bCs w:val="0"/>
          <w:color w:val="auto"/>
          <w:sz w:val="32"/>
          <w:szCs w:val="32"/>
          <w:highlight w:val="none"/>
          <w:u w:val="none"/>
          <w:lang w:val="en-US" w:eastAsia="zh-CN"/>
        </w:rPr>
        <w:t>27</w:t>
      </w:r>
      <w:r>
        <w:rPr>
          <w:rFonts w:hint="default" w:ascii="Times New Roman" w:hAnsi="Times New Roman"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"_Toc61283979"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第一节  健全劳动关系协调机制</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28</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"_Toc61283980"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第二节  深化企业工资收入分配制度改革</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28</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"_Toc61283981"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第三节  完善劳动人事争议调解仲裁体制机制</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29</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"_Toc61283982"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第四节  提升劳动保障监察执法效能</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30</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left="0" w:leftChars="0" w:right="0" w:rightChars="0" w:firstLine="0" w:firstLineChars="0"/>
        <w:jc w:val="left"/>
        <w:textAlignment w:val="auto"/>
        <w:outlineLvl w:val="9"/>
        <w:rPr>
          <w:rFonts w:ascii="Calibri" w:hAnsi="Calibri" w:eastAsia="宋体" w:cs="Times New Roman"/>
          <w:b w:val="0"/>
          <w:bCs w:val="0"/>
          <w:color w:val="auto"/>
          <w:kern w:val="2"/>
          <w:sz w:val="32"/>
          <w:szCs w:val="32"/>
          <w:highlight w:val="none"/>
          <w:u w:val="none"/>
        </w:rPr>
      </w:pPr>
      <w:r>
        <w:rPr>
          <w:b w:val="0"/>
          <w:bCs w:val="0"/>
          <w:color w:val="auto"/>
          <w:sz w:val="32"/>
          <w:szCs w:val="32"/>
          <w:highlight w:val="none"/>
          <w:u w:val="none"/>
        </w:rPr>
        <w:fldChar w:fldCharType="begin"/>
      </w:r>
      <w:r>
        <w:rPr>
          <w:b w:val="0"/>
          <w:bCs w:val="0"/>
          <w:color w:val="auto"/>
          <w:sz w:val="32"/>
          <w:szCs w:val="32"/>
          <w:highlight w:val="none"/>
          <w:u w:val="none"/>
        </w:rPr>
        <w:instrText xml:space="preserve"> HYPERLINK \l "_Toc61283983" </w:instrText>
      </w:r>
      <w:r>
        <w:rPr>
          <w:b w:val="0"/>
          <w:bCs w:val="0"/>
          <w:color w:val="auto"/>
          <w:sz w:val="32"/>
          <w:szCs w:val="32"/>
          <w:highlight w:val="none"/>
          <w:u w:val="none"/>
        </w:rPr>
        <w:fldChar w:fldCharType="separate"/>
      </w:r>
      <w:r>
        <w:rPr>
          <w:rStyle w:val="18"/>
          <w:rFonts w:ascii="Times New Roman" w:eastAsia="方正黑体_GBK"/>
          <w:b w:val="0"/>
          <w:bCs w:val="0"/>
          <w:color w:val="auto"/>
          <w:sz w:val="32"/>
          <w:szCs w:val="32"/>
          <w:highlight w:val="none"/>
          <w:u w:val="none"/>
        </w:rPr>
        <w:t xml:space="preserve">第六章  </w:t>
      </w:r>
      <w:r>
        <w:rPr>
          <w:rStyle w:val="18"/>
          <w:rFonts w:hint="eastAsia" w:ascii="Times New Roman" w:eastAsia="方正黑体_GBK"/>
          <w:b w:val="0"/>
          <w:bCs w:val="0"/>
          <w:color w:val="auto"/>
          <w:sz w:val="32"/>
          <w:szCs w:val="32"/>
          <w:highlight w:val="none"/>
          <w:u w:val="none"/>
          <w:lang w:eastAsia="zh-CN"/>
        </w:rPr>
        <w:t>提供</w:t>
      </w:r>
      <w:r>
        <w:rPr>
          <w:rStyle w:val="18"/>
          <w:rFonts w:hint="eastAsia" w:ascii="Times New Roman" w:eastAsia="方正黑体_GBK"/>
          <w:b w:val="0"/>
          <w:bCs w:val="0"/>
          <w:color w:val="auto"/>
          <w:sz w:val="32"/>
          <w:szCs w:val="32"/>
          <w:highlight w:val="none"/>
          <w:u w:val="none"/>
        </w:rPr>
        <w:t>更优质</w:t>
      </w:r>
      <w:r>
        <w:rPr>
          <w:rStyle w:val="18"/>
          <w:rFonts w:hint="eastAsia" w:ascii="Times New Roman" w:eastAsia="方正黑体_GBK"/>
          <w:b w:val="0"/>
          <w:bCs w:val="0"/>
          <w:color w:val="auto"/>
          <w:sz w:val="32"/>
          <w:szCs w:val="32"/>
          <w:highlight w:val="none"/>
          <w:u w:val="none"/>
          <w:lang w:eastAsia="zh-CN"/>
        </w:rPr>
        <w:t>高效</w:t>
      </w:r>
      <w:r>
        <w:rPr>
          <w:rStyle w:val="18"/>
          <w:rFonts w:hint="eastAsia" w:ascii="Times New Roman" w:eastAsia="方正黑体_GBK"/>
          <w:b w:val="0"/>
          <w:bCs w:val="0"/>
          <w:color w:val="auto"/>
          <w:sz w:val="32"/>
          <w:szCs w:val="32"/>
          <w:highlight w:val="none"/>
          <w:u w:val="none"/>
        </w:rPr>
        <w:t>公共服务</w:t>
      </w:r>
      <w:r>
        <w:rPr>
          <w:b w:val="0"/>
          <w:bCs w:val="0"/>
          <w:color w:val="auto"/>
          <w:sz w:val="32"/>
          <w:szCs w:val="32"/>
          <w:highlight w:val="none"/>
          <w:u w:val="none"/>
        </w:rPr>
        <w:fldChar w:fldCharType="end"/>
      </w:r>
      <w:r>
        <w:rPr>
          <w:b w:val="0"/>
          <w:bCs w:val="0"/>
          <w:color w:val="auto"/>
          <w:u w:val="none"/>
        </w:rPr>
        <w:tab/>
      </w:r>
      <w:r>
        <w:rPr>
          <w:rFonts w:hint="default" w:ascii="Times New Roman" w:hAnsi="Times New Roman"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31</w:t>
      </w:r>
      <w:r>
        <w:rPr>
          <w:rFonts w:hint="default" w:ascii="Times New Roman" w:hAnsi="Times New Roman"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kern w:val="2"/>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"_Toc61283984" </w:instrText>
      </w:r>
      <w:r>
        <w:rPr>
          <w:rFonts w:hint="eastAsia" w:ascii="方正楷体_GBK" w:hAnsi="方正楷体_GBK" w:eastAsia="方正楷体_GBK" w:cs="方正楷体_GBK"/>
          <w:b w:val="0"/>
          <w:bCs w:val="0"/>
          <w:color w:val="auto"/>
          <w:sz w:val="32"/>
          <w:szCs w:val="32"/>
          <w:highlight w:val="none"/>
          <w:u w:val="none"/>
        </w:rPr>
        <w:fldChar w:fldCharType="separate"/>
      </w:r>
      <w:r>
        <w:rPr>
          <w:rStyle w:val="18"/>
          <w:rFonts w:hint="eastAsia" w:ascii="方正楷体_GBK" w:hAnsi="方正楷体_GBK" w:eastAsia="方正楷体_GBK" w:cs="方正楷体_GBK"/>
          <w:b w:val="0"/>
          <w:bCs w:val="0"/>
          <w:color w:val="auto"/>
          <w:sz w:val="32"/>
          <w:szCs w:val="32"/>
          <w:highlight w:val="none"/>
          <w:u w:val="none"/>
        </w:rPr>
        <w:t>第一节  加强人社系统行风建设</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31</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"_Toc61283985" </w:instrText>
      </w:r>
      <w:r>
        <w:rPr>
          <w:rFonts w:hint="eastAsia" w:ascii="方正楷体_GBK" w:hAnsi="方正楷体_GBK" w:eastAsia="方正楷体_GBK" w:cs="方正楷体_GBK"/>
          <w:b w:val="0"/>
          <w:bCs w:val="0"/>
          <w:color w:val="auto"/>
          <w:sz w:val="32"/>
          <w:szCs w:val="32"/>
          <w:highlight w:val="none"/>
          <w:u w:val="none"/>
        </w:rPr>
        <w:fldChar w:fldCharType="separate"/>
      </w:r>
      <w:r>
        <w:rPr>
          <w:rStyle w:val="18"/>
          <w:rFonts w:hint="eastAsia" w:ascii="方正楷体_GBK" w:hAnsi="方正楷体_GBK" w:eastAsia="方正楷体_GBK" w:cs="方正楷体_GBK"/>
          <w:b w:val="0"/>
          <w:bCs w:val="0"/>
          <w:color w:val="auto"/>
          <w:sz w:val="32"/>
          <w:szCs w:val="32"/>
          <w:highlight w:val="none"/>
          <w:u w:val="none"/>
        </w:rPr>
        <w:t>第二节  推进人社基本公共服务标准化建设</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32</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kern w:val="2"/>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"_Toc61283986" </w:instrText>
      </w:r>
      <w:r>
        <w:rPr>
          <w:rFonts w:hint="eastAsia" w:ascii="方正楷体_GBK" w:hAnsi="方正楷体_GBK" w:eastAsia="方正楷体_GBK" w:cs="方正楷体_GBK"/>
          <w:b w:val="0"/>
          <w:bCs w:val="0"/>
          <w:color w:val="auto"/>
          <w:sz w:val="32"/>
          <w:szCs w:val="32"/>
          <w:highlight w:val="none"/>
          <w:u w:val="none"/>
        </w:rPr>
        <w:fldChar w:fldCharType="separate"/>
      </w:r>
      <w:r>
        <w:rPr>
          <w:rStyle w:val="18"/>
          <w:rFonts w:hint="eastAsia" w:ascii="方正楷体_GBK" w:hAnsi="方正楷体_GBK" w:eastAsia="方正楷体_GBK" w:cs="方正楷体_GBK"/>
          <w:b w:val="0"/>
          <w:bCs w:val="0"/>
          <w:color w:val="auto"/>
          <w:sz w:val="32"/>
          <w:szCs w:val="32"/>
          <w:highlight w:val="none"/>
          <w:u w:val="none"/>
        </w:rPr>
        <w:t>第三节  推进“智慧人社”建设</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32</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ascii="Calibri" w:hAnsi="Calibri" w:eastAsia="宋体" w:cs="Times New Roman"/>
          <w:b w:val="0"/>
          <w:bCs w:val="0"/>
          <w:color w:val="auto"/>
          <w:kern w:val="2"/>
          <w:sz w:val="21"/>
          <w:szCs w:val="2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"_Toc61283987" </w:instrText>
      </w:r>
      <w:r>
        <w:rPr>
          <w:rFonts w:hint="eastAsia" w:ascii="方正楷体_GBK" w:hAnsi="方正楷体_GBK" w:eastAsia="方正楷体_GBK" w:cs="方正楷体_GBK"/>
          <w:b w:val="0"/>
          <w:bCs w:val="0"/>
          <w:color w:val="auto"/>
          <w:sz w:val="32"/>
          <w:szCs w:val="32"/>
          <w:highlight w:val="none"/>
          <w:u w:val="none"/>
        </w:rPr>
        <w:fldChar w:fldCharType="separate"/>
      </w:r>
      <w:r>
        <w:rPr>
          <w:rStyle w:val="18"/>
          <w:rFonts w:hint="eastAsia" w:ascii="方正楷体_GBK" w:hAnsi="方正楷体_GBK" w:eastAsia="方正楷体_GBK" w:cs="方正楷体_GBK"/>
          <w:b w:val="0"/>
          <w:bCs w:val="0"/>
          <w:color w:val="auto"/>
          <w:sz w:val="32"/>
          <w:szCs w:val="32"/>
          <w:highlight w:val="none"/>
          <w:u w:val="none"/>
        </w:rPr>
        <w:t>第四节  推进社保卡“一卡通”建设</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33</w:t>
      </w:r>
      <w:r>
        <w:rPr>
          <w:rFonts w:hint="default" w:ascii="Times New Roman" w:hAnsi="Times New Roman" w:eastAsia="方正楷体_GBK" w:cs="Times New Roman"/>
          <w:b w:val="0"/>
          <w:bCs w:val="0"/>
          <w:color w:val="auto"/>
          <w:sz w:val="32"/>
          <w:szCs w:val="32"/>
          <w:highlight w:val="none"/>
          <w:u w:val="none"/>
          <w:lang w:eastAsia="zh-CN"/>
        </w:rPr>
        <w:t>）</w:t>
      </w:r>
    </w:p>
    <w:p>
      <w:pPr>
        <w:pStyle w:val="12"/>
        <w:keepNext w:val="0"/>
        <w:keepLines w:val="0"/>
        <w:pageBreakBefore w:val="0"/>
        <w:widowControl/>
        <w:tabs>
          <w:tab w:val="right" w:leader="middleDot" w:pos="8789"/>
          <w:tab w:val="clear" w:pos="8296"/>
        </w:tabs>
        <w:kinsoku/>
        <w:wordWrap/>
        <w:overflowPunct/>
        <w:topLinePunct w:val="0"/>
        <w:autoSpaceDE/>
        <w:autoSpaceDN/>
        <w:bidi w:val="0"/>
        <w:adjustRightInd/>
        <w:snapToGrid/>
        <w:spacing w:line="600" w:lineRule="exact"/>
        <w:ind w:right="0" w:rightChars="0" w:firstLine="0" w:firstLineChars="0"/>
        <w:jc w:val="left"/>
        <w:textAlignment w:val="auto"/>
        <w:outlineLvl w:val="9"/>
        <w:rPr>
          <w:rFonts w:ascii="Calibri" w:hAnsi="Calibri" w:eastAsia="宋体" w:cs="Times New Roman"/>
          <w:b w:val="0"/>
          <w:bCs w:val="0"/>
          <w:color w:val="auto"/>
          <w:kern w:val="2"/>
          <w:sz w:val="32"/>
          <w:szCs w:val="32"/>
          <w:highlight w:val="none"/>
          <w:u w:val="none"/>
        </w:rPr>
      </w:pPr>
      <w:r>
        <w:rPr>
          <w:b w:val="0"/>
          <w:bCs w:val="0"/>
          <w:color w:val="auto"/>
          <w:sz w:val="32"/>
          <w:szCs w:val="32"/>
          <w:highlight w:val="none"/>
          <w:u w:val="none"/>
        </w:rPr>
        <w:fldChar w:fldCharType="begin"/>
      </w:r>
      <w:r>
        <w:rPr>
          <w:b w:val="0"/>
          <w:bCs w:val="0"/>
          <w:color w:val="auto"/>
          <w:sz w:val="32"/>
          <w:szCs w:val="32"/>
          <w:highlight w:val="none"/>
          <w:u w:val="none"/>
        </w:rPr>
        <w:instrText xml:space="preserve"> HYPERLINK \l "_Toc61283988" </w:instrText>
      </w:r>
      <w:r>
        <w:rPr>
          <w:b w:val="0"/>
          <w:bCs w:val="0"/>
          <w:color w:val="auto"/>
          <w:sz w:val="32"/>
          <w:szCs w:val="32"/>
          <w:highlight w:val="none"/>
          <w:u w:val="none"/>
        </w:rPr>
        <w:fldChar w:fldCharType="separate"/>
      </w:r>
      <w:r>
        <w:rPr>
          <w:rStyle w:val="18"/>
          <w:rFonts w:ascii="Times New Roman" w:eastAsia="方正黑体_GBK"/>
          <w:b w:val="0"/>
          <w:bCs w:val="0"/>
          <w:color w:val="auto"/>
          <w:sz w:val="32"/>
          <w:szCs w:val="32"/>
          <w:highlight w:val="none"/>
          <w:u w:val="none"/>
        </w:rPr>
        <w:t xml:space="preserve">第七章 </w:t>
      </w:r>
      <w:r>
        <w:rPr>
          <w:rStyle w:val="18"/>
          <w:rFonts w:hint="eastAsia" w:ascii="Times New Roman" w:eastAsia="方正黑体_GBK"/>
          <w:b w:val="0"/>
          <w:bCs w:val="0"/>
          <w:color w:val="auto"/>
          <w:sz w:val="32"/>
          <w:szCs w:val="32"/>
          <w:highlight w:val="none"/>
          <w:u w:val="none"/>
          <w:lang w:val="en-US" w:eastAsia="zh-CN"/>
        </w:rPr>
        <w:t xml:space="preserve"> </w:t>
      </w:r>
      <w:r>
        <w:rPr>
          <w:rStyle w:val="18"/>
          <w:rFonts w:hint="eastAsia" w:ascii="Times New Roman" w:eastAsia="方正黑体_GBK"/>
          <w:b w:val="0"/>
          <w:bCs w:val="0"/>
          <w:color w:val="auto"/>
          <w:sz w:val="32"/>
          <w:szCs w:val="32"/>
          <w:highlight w:val="none"/>
          <w:u w:val="none"/>
        </w:rPr>
        <w:t>推进毗邻区域协调发展</w:t>
      </w:r>
      <w:r>
        <w:rPr>
          <w:b w:val="0"/>
          <w:bCs w:val="0"/>
          <w:color w:val="auto"/>
          <w:sz w:val="32"/>
          <w:szCs w:val="32"/>
          <w:highlight w:val="none"/>
          <w:u w:val="none"/>
        </w:rPr>
        <w:fldChar w:fldCharType="end"/>
      </w:r>
      <w:r>
        <w:rPr>
          <w:b w:val="0"/>
          <w:bCs w:val="0"/>
          <w:color w:val="auto"/>
          <w:u w:val="none"/>
        </w:rPr>
        <w:tab/>
      </w:r>
      <w:r>
        <w:rPr>
          <w:rFonts w:hint="default" w:ascii="Times New Roman" w:hAnsi="Times New Roman" w:cs="Times New Roman"/>
          <w:b w:val="0"/>
          <w:bCs w:val="0"/>
          <w:color w:val="auto"/>
          <w:sz w:val="32"/>
          <w:szCs w:val="32"/>
          <w:highlight w:val="none"/>
          <w:u w:val="none"/>
          <w:lang w:eastAsia="zh-CN"/>
        </w:rPr>
        <w:t>（</w:t>
      </w:r>
      <w:r>
        <w:rPr>
          <w:rFonts w:hint="eastAsia" w:ascii="Times New Roman" w:cs="Times New Roman"/>
          <w:b w:val="0"/>
          <w:bCs w:val="0"/>
          <w:color w:val="auto"/>
          <w:sz w:val="32"/>
          <w:szCs w:val="32"/>
          <w:highlight w:val="none"/>
          <w:u w:val="none"/>
          <w:lang w:val="en-US" w:eastAsia="zh-CN"/>
        </w:rPr>
        <w:t>34</w:t>
      </w:r>
      <w:r>
        <w:rPr>
          <w:rFonts w:hint="default" w:ascii="Times New Roman" w:hAnsi="Times New Roman"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"_Toc61283990"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w:t>
      </w:r>
      <w:r>
        <w:rPr>
          <w:rFonts w:hint="eastAsia" w:ascii="方正楷体_GBK" w:hAnsi="方正楷体_GBK" w:cs="方正楷体_GBK"/>
          <w:b w:val="0"/>
          <w:bCs w:val="0"/>
          <w:color w:val="auto"/>
          <w:sz w:val="32"/>
          <w:szCs w:val="32"/>
          <w:highlight w:val="none"/>
          <w:u w:val="none"/>
          <w:lang w:val="en-US" w:eastAsia="zh-CN"/>
        </w:rPr>
        <w:t>一</w:t>
      </w:r>
      <w:r>
        <w:rPr>
          <w:rFonts w:hint="eastAsia" w:ascii="方正楷体_GBK" w:hAnsi="方正楷体_GBK" w:eastAsia="方正楷体_GBK" w:cs="方正楷体_GBK"/>
          <w:b w:val="0"/>
          <w:bCs w:val="0"/>
          <w:color w:val="auto"/>
          <w:sz w:val="32"/>
          <w:szCs w:val="32"/>
          <w:highlight w:val="none"/>
          <w:u w:val="none"/>
        </w:rPr>
        <w:t xml:space="preserve">节  </w:t>
      </w:r>
      <w:r>
        <w:rPr>
          <w:rFonts w:hint="eastAsia" w:ascii="方正楷体_GBK" w:hAnsi="方正楷体_GBK" w:cs="方正楷体_GBK"/>
          <w:b w:val="0"/>
          <w:bCs w:val="0"/>
          <w:color w:val="auto"/>
          <w:sz w:val="32"/>
          <w:szCs w:val="32"/>
          <w:highlight w:val="none"/>
          <w:u w:val="none"/>
          <w:lang w:eastAsia="zh-CN"/>
        </w:rPr>
        <w:t>助力川渝深度合作</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34</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"_Toc61283991"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w:t>
      </w:r>
      <w:r>
        <w:rPr>
          <w:rFonts w:hint="eastAsia" w:ascii="方正楷体_GBK" w:hAnsi="方正楷体_GBK" w:cs="方正楷体_GBK"/>
          <w:b w:val="0"/>
          <w:bCs w:val="0"/>
          <w:color w:val="auto"/>
          <w:sz w:val="32"/>
          <w:szCs w:val="32"/>
          <w:highlight w:val="none"/>
          <w:u w:val="none"/>
          <w:lang w:val="en-US" w:eastAsia="zh-CN"/>
        </w:rPr>
        <w:t>二</w:t>
      </w:r>
      <w:r>
        <w:rPr>
          <w:rFonts w:hint="eastAsia" w:ascii="方正楷体_GBK" w:hAnsi="方正楷体_GBK" w:eastAsia="方正楷体_GBK" w:cs="方正楷体_GBK"/>
          <w:b w:val="0"/>
          <w:bCs w:val="0"/>
          <w:color w:val="auto"/>
          <w:sz w:val="32"/>
          <w:szCs w:val="32"/>
          <w:highlight w:val="none"/>
          <w:u w:val="none"/>
        </w:rPr>
        <w:t xml:space="preserve">节  </w:t>
      </w:r>
      <w:r>
        <w:rPr>
          <w:rFonts w:hint="eastAsia" w:ascii="方正楷体_GBK" w:hAnsi="方正楷体_GBK" w:eastAsia="方正楷体_GBK" w:cs="方正楷体_GBK"/>
          <w:b w:val="0"/>
          <w:bCs w:val="0"/>
          <w:color w:val="auto"/>
          <w:sz w:val="32"/>
          <w:szCs w:val="32"/>
          <w:highlight w:val="none"/>
          <w:u w:val="none"/>
          <w:lang w:eastAsia="zh-CN"/>
        </w:rPr>
        <w:t>融入</w:t>
      </w:r>
      <w:r>
        <w:rPr>
          <w:rFonts w:hint="eastAsia" w:ascii="方正楷体_GBK" w:hAnsi="方正楷体_GBK" w:eastAsia="方正楷体_GBK" w:cs="方正楷体_GBK"/>
          <w:b w:val="0"/>
          <w:bCs w:val="0"/>
          <w:color w:val="auto"/>
          <w:sz w:val="32"/>
          <w:szCs w:val="32"/>
          <w:highlight w:val="none"/>
          <w:u w:val="none"/>
        </w:rPr>
        <w:t>“一区两群”协调发展</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37</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"_Toc61283991"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w:t>
      </w:r>
      <w:r>
        <w:rPr>
          <w:rFonts w:hint="eastAsia" w:ascii="方正楷体_GBK" w:hAnsi="方正楷体_GBK" w:cs="方正楷体_GBK"/>
          <w:b w:val="0"/>
          <w:bCs w:val="0"/>
          <w:color w:val="auto"/>
          <w:sz w:val="32"/>
          <w:szCs w:val="32"/>
          <w:highlight w:val="none"/>
          <w:u w:val="none"/>
          <w:lang w:eastAsia="zh-CN"/>
        </w:rPr>
        <w:t>三</w:t>
      </w:r>
      <w:r>
        <w:rPr>
          <w:rFonts w:hint="eastAsia" w:ascii="方正楷体_GBK" w:hAnsi="方正楷体_GBK" w:eastAsia="方正楷体_GBK" w:cs="方正楷体_GBK"/>
          <w:b w:val="0"/>
          <w:bCs w:val="0"/>
          <w:color w:val="auto"/>
          <w:sz w:val="32"/>
          <w:szCs w:val="32"/>
          <w:highlight w:val="none"/>
          <w:u w:val="none"/>
        </w:rPr>
        <w:t xml:space="preserve">节  </w:t>
      </w:r>
      <w:r>
        <w:rPr>
          <w:rFonts w:hint="eastAsia" w:ascii="方正楷体_GBK" w:hAnsi="方正楷体_GBK" w:cs="方正楷体_GBK"/>
          <w:b w:val="0"/>
          <w:bCs w:val="0"/>
          <w:color w:val="auto"/>
          <w:sz w:val="32"/>
          <w:szCs w:val="32"/>
          <w:highlight w:val="none"/>
          <w:u w:val="none"/>
          <w:lang w:eastAsia="zh-CN"/>
        </w:rPr>
        <w:t>融入渝黔</w:t>
      </w:r>
      <w:r>
        <w:rPr>
          <w:rFonts w:hint="eastAsia" w:ascii="方正楷体_GBK" w:hAnsi="方正楷体_GBK" w:eastAsia="方正楷体_GBK" w:cs="方正楷体_GBK"/>
          <w:b w:val="0"/>
          <w:bCs w:val="0"/>
          <w:color w:val="auto"/>
          <w:sz w:val="32"/>
          <w:szCs w:val="32"/>
          <w:highlight w:val="none"/>
          <w:u w:val="none"/>
        </w:rPr>
        <w:t>合作</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39</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"_Toc61283992"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w:t>
      </w:r>
      <w:r>
        <w:rPr>
          <w:rFonts w:hint="eastAsia" w:ascii="方正楷体_GBK" w:hAnsi="方正楷体_GBK" w:cs="方正楷体_GBK"/>
          <w:b w:val="0"/>
          <w:bCs w:val="0"/>
          <w:color w:val="auto"/>
          <w:sz w:val="32"/>
          <w:szCs w:val="32"/>
          <w:highlight w:val="none"/>
          <w:u w:val="none"/>
          <w:lang w:val="en-US" w:eastAsia="zh-CN"/>
        </w:rPr>
        <w:t>四</w:t>
      </w:r>
      <w:r>
        <w:rPr>
          <w:rFonts w:hint="eastAsia" w:ascii="方正楷体_GBK" w:hAnsi="方正楷体_GBK" w:eastAsia="方正楷体_GBK" w:cs="方正楷体_GBK"/>
          <w:b w:val="0"/>
          <w:bCs w:val="0"/>
          <w:color w:val="auto"/>
          <w:sz w:val="32"/>
          <w:szCs w:val="32"/>
          <w:highlight w:val="none"/>
          <w:u w:val="none"/>
        </w:rPr>
        <w:t>节  巩固</w:t>
      </w:r>
      <w:r>
        <w:rPr>
          <w:rFonts w:hint="eastAsia" w:ascii="方正楷体_GBK" w:hAnsi="方正楷体_GBK" w:cs="方正楷体_GBK"/>
          <w:b w:val="0"/>
          <w:bCs w:val="0"/>
          <w:color w:val="auto"/>
          <w:sz w:val="32"/>
          <w:szCs w:val="32"/>
          <w:highlight w:val="none"/>
          <w:u w:val="none"/>
          <w:lang w:eastAsia="zh-CN"/>
        </w:rPr>
        <w:t>拓展</w:t>
      </w:r>
      <w:r>
        <w:rPr>
          <w:rFonts w:hint="eastAsia" w:ascii="方正楷体_GBK" w:hAnsi="方正楷体_GBK" w:eastAsia="方正楷体_GBK" w:cs="方正楷体_GBK"/>
          <w:b w:val="0"/>
          <w:bCs w:val="0"/>
          <w:color w:val="auto"/>
          <w:sz w:val="32"/>
          <w:szCs w:val="32"/>
          <w:highlight w:val="none"/>
          <w:u w:val="none"/>
        </w:rPr>
        <w:t>脱贫攻坚成果同乡村振兴有效衔接</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39</w:t>
      </w:r>
      <w:r>
        <w:rPr>
          <w:rFonts w:hint="default" w:ascii="Times New Roman" w:hAnsi="Times New Roman" w:eastAsia="方正楷体_GBK" w:cs="Times New Roman"/>
          <w:b w:val="0"/>
          <w:bCs w:val="0"/>
          <w:color w:val="auto"/>
          <w:sz w:val="32"/>
          <w:szCs w:val="32"/>
          <w:highlight w:val="none"/>
          <w:u w:val="none"/>
          <w:lang w:eastAsia="zh-CN"/>
        </w:rPr>
        <w:t>）</w:t>
      </w:r>
    </w:p>
    <w:p>
      <w:pPr>
        <w:pStyle w:val="12"/>
        <w:keepNext w:val="0"/>
        <w:keepLines w:val="0"/>
        <w:pageBreakBefore w:val="0"/>
        <w:widowControl/>
        <w:tabs>
          <w:tab w:val="right" w:leader="middleDot" w:pos="8789"/>
          <w:tab w:val="clear" w:pos="8296"/>
        </w:tabs>
        <w:kinsoku/>
        <w:wordWrap/>
        <w:overflowPunct/>
        <w:topLinePunct w:val="0"/>
        <w:autoSpaceDE/>
        <w:autoSpaceDN/>
        <w:bidi w:val="0"/>
        <w:adjustRightInd/>
        <w:snapToGrid/>
        <w:spacing w:line="600" w:lineRule="exact"/>
        <w:ind w:right="0" w:rightChars="0" w:firstLine="0" w:firstLineChars="0"/>
        <w:jc w:val="left"/>
        <w:textAlignment w:val="auto"/>
        <w:outlineLvl w:val="9"/>
        <w:rPr>
          <w:rFonts w:ascii="Calibri" w:hAnsi="Calibri" w:eastAsia="宋体" w:cs="Times New Roman"/>
          <w:b w:val="0"/>
          <w:bCs w:val="0"/>
          <w:color w:val="auto"/>
          <w:kern w:val="2"/>
          <w:sz w:val="32"/>
          <w:szCs w:val="32"/>
          <w:highlight w:val="none"/>
          <w:u w:val="none"/>
        </w:rPr>
      </w:pPr>
      <w:r>
        <w:rPr>
          <w:b w:val="0"/>
          <w:bCs w:val="0"/>
          <w:color w:val="auto"/>
          <w:sz w:val="32"/>
          <w:szCs w:val="32"/>
          <w:highlight w:val="none"/>
          <w:u w:val="none"/>
        </w:rPr>
        <w:fldChar w:fldCharType="begin"/>
      </w:r>
      <w:r>
        <w:rPr>
          <w:b w:val="0"/>
          <w:bCs w:val="0"/>
          <w:color w:val="auto"/>
          <w:sz w:val="32"/>
          <w:szCs w:val="32"/>
          <w:highlight w:val="none"/>
          <w:u w:val="none"/>
        </w:rPr>
        <w:instrText xml:space="preserve"> HYPERLINK \l "_Toc61283988" </w:instrText>
      </w:r>
      <w:r>
        <w:rPr>
          <w:b w:val="0"/>
          <w:bCs w:val="0"/>
          <w:color w:val="auto"/>
          <w:sz w:val="32"/>
          <w:szCs w:val="32"/>
          <w:highlight w:val="none"/>
          <w:u w:val="none"/>
        </w:rPr>
        <w:fldChar w:fldCharType="separate"/>
      </w:r>
      <w:r>
        <w:rPr>
          <w:rStyle w:val="18"/>
          <w:rFonts w:ascii="Times New Roman" w:eastAsia="方正黑体_GBK"/>
          <w:b w:val="0"/>
          <w:bCs w:val="0"/>
          <w:color w:val="auto"/>
          <w:sz w:val="32"/>
          <w:szCs w:val="32"/>
          <w:highlight w:val="none"/>
          <w:u w:val="none"/>
        </w:rPr>
        <w:t>第</w:t>
      </w:r>
      <w:r>
        <w:rPr>
          <w:rStyle w:val="18"/>
          <w:rFonts w:hint="eastAsia" w:ascii="Times New Roman" w:eastAsia="方正黑体_GBK"/>
          <w:b w:val="0"/>
          <w:bCs w:val="0"/>
          <w:color w:val="auto"/>
          <w:sz w:val="32"/>
          <w:szCs w:val="32"/>
          <w:highlight w:val="none"/>
          <w:u w:val="none"/>
          <w:lang w:val="en-US" w:eastAsia="zh-CN"/>
        </w:rPr>
        <w:t>八</w:t>
      </w:r>
      <w:r>
        <w:rPr>
          <w:rStyle w:val="18"/>
          <w:rFonts w:ascii="Times New Roman" w:eastAsia="方正黑体_GBK"/>
          <w:b w:val="0"/>
          <w:bCs w:val="0"/>
          <w:color w:val="auto"/>
          <w:sz w:val="32"/>
          <w:szCs w:val="32"/>
          <w:highlight w:val="none"/>
          <w:u w:val="none"/>
        </w:rPr>
        <w:t xml:space="preserve">章 </w:t>
      </w:r>
      <w:r>
        <w:rPr>
          <w:rStyle w:val="18"/>
          <w:rFonts w:hint="eastAsia" w:ascii="Times New Roman" w:eastAsia="方正黑体_GBK"/>
          <w:b w:val="0"/>
          <w:bCs w:val="0"/>
          <w:color w:val="auto"/>
          <w:sz w:val="32"/>
          <w:szCs w:val="32"/>
          <w:highlight w:val="none"/>
          <w:u w:val="none"/>
          <w:lang w:val="en-US" w:eastAsia="zh-CN"/>
        </w:rPr>
        <w:t xml:space="preserve"> </w:t>
      </w:r>
      <w:r>
        <w:rPr>
          <w:rStyle w:val="18"/>
          <w:rFonts w:ascii="Times New Roman" w:eastAsia="方正黑体_GBK"/>
          <w:b w:val="0"/>
          <w:bCs w:val="0"/>
          <w:color w:val="auto"/>
          <w:sz w:val="32"/>
          <w:szCs w:val="32"/>
          <w:highlight w:val="none"/>
          <w:u w:val="none"/>
        </w:rPr>
        <w:t>支撑保障</w:t>
      </w:r>
      <w:r>
        <w:rPr>
          <w:b w:val="0"/>
          <w:bCs w:val="0"/>
          <w:color w:val="auto"/>
          <w:sz w:val="32"/>
          <w:szCs w:val="32"/>
          <w:highlight w:val="none"/>
          <w:u w:val="none"/>
        </w:rPr>
        <w:fldChar w:fldCharType="end"/>
      </w:r>
      <w:r>
        <w:rPr>
          <w:b w:val="0"/>
          <w:bCs w:val="0"/>
          <w:color w:val="auto"/>
          <w:u w:val="none"/>
        </w:rPr>
        <w:tab/>
      </w:r>
      <w:r>
        <w:rPr>
          <w:rFonts w:hint="default" w:ascii="Times New Roman" w:hAnsi="Times New Roman" w:cs="Times New Roman"/>
          <w:b w:val="0"/>
          <w:bCs w:val="0"/>
          <w:color w:val="auto"/>
          <w:sz w:val="32"/>
          <w:szCs w:val="32"/>
          <w:highlight w:val="none"/>
          <w:u w:val="none"/>
          <w:lang w:eastAsia="zh-CN"/>
        </w:rPr>
        <w:t>（</w:t>
      </w:r>
      <w:r>
        <w:rPr>
          <w:rFonts w:hint="eastAsia" w:ascii="Times New Roman" w:cs="Times New Roman"/>
          <w:b w:val="0"/>
          <w:bCs w:val="0"/>
          <w:color w:val="auto"/>
          <w:sz w:val="32"/>
          <w:szCs w:val="32"/>
          <w:highlight w:val="none"/>
          <w:u w:val="none"/>
          <w:lang w:val="en-US" w:eastAsia="zh-CN"/>
        </w:rPr>
        <w:t>40</w:t>
      </w:r>
      <w:r>
        <w:rPr>
          <w:rFonts w:hint="default" w:ascii="Times New Roman" w:hAnsi="Times New Roman"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"_Toc61283989"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第一节  强化法治建设</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40</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"_Toc61283989"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w:t>
      </w:r>
      <w:r>
        <w:rPr>
          <w:rFonts w:hint="eastAsia" w:ascii="方正楷体_GBK" w:hAnsi="方正楷体_GBK" w:cs="方正楷体_GBK"/>
          <w:b w:val="0"/>
          <w:bCs w:val="0"/>
          <w:color w:val="auto"/>
          <w:sz w:val="32"/>
          <w:szCs w:val="32"/>
          <w:highlight w:val="none"/>
          <w:u w:val="none"/>
          <w:lang w:val="en-US" w:eastAsia="zh-CN"/>
        </w:rPr>
        <w:t>二</w:t>
      </w:r>
      <w:r>
        <w:rPr>
          <w:rFonts w:hint="eastAsia" w:ascii="方正楷体_GBK" w:hAnsi="方正楷体_GBK" w:eastAsia="方正楷体_GBK" w:cs="方正楷体_GBK"/>
          <w:b w:val="0"/>
          <w:bCs w:val="0"/>
          <w:color w:val="auto"/>
          <w:sz w:val="32"/>
          <w:szCs w:val="32"/>
          <w:highlight w:val="none"/>
          <w:u w:val="none"/>
        </w:rPr>
        <w:t>节  强化队伍建设</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40</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"_Toc61283989"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w:t>
      </w:r>
      <w:r>
        <w:rPr>
          <w:rFonts w:hint="eastAsia" w:ascii="方正楷体_GBK" w:hAnsi="方正楷体_GBK" w:cs="方正楷体_GBK"/>
          <w:b w:val="0"/>
          <w:bCs w:val="0"/>
          <w:color w:val="auto"/>
          <w:sz w:val="32"/>
          <w:szCs w:val="32"/>
          <w:highlight w:val="none"/>
          <w:u w:val="none"/>
          <w:lang w:val="en-US" w:eastAsia="zh-CN"/>
        </w:rPr>
        <w:t>三</w:t>
      </w:r>
      <w:r>
        <w:rPr>
          <w:rFonts w:hint="eastAsia" w:ascii="方正楷体_GBK" w:hAnsi="方正楷体_GBK" w:eastAsia="方正楷体_GBK" w:cs="方正楷体_GBK"/>
          <w:b w:val="0"/>
          <w:bCs w:val="0"/>
          <w:color w:val="auto"/>
          <w:sz w:val="32"/>
          <w:szCs w:val="32"/>
          <w:highlight w:val="none"/>
          <w:u w:val="none"/>
        </w:rPr>
        <w:t>节  强化</w:t>
      </w:r>
      <w:r>
        <w:rPr>
          <w:rFonts w:hint="eastAsia" w:ascii="方正楷体_GBK" w:hAnsi="方正楷体_GBK" w:cs="方正楷体_GBK"/>
          <w:b w:val="0"/>
          <w:bCs w:val="0"/>
          <w:color w:val="auto"/>
          <w:sz w:val="32"/>
          <w:szCs w:val="32"/>
          <w:highlight w:val="none"/>
          <w:u w:val="none"/>
          <w:lang w:val="en-US" w:eastAsia="zh-CN"/>
        </w:rPr>
        <w:t>宣传引导</w:t>
      </w:r>
      <w:r>
        <w:rPr>
          <w:rFonts w:hint="eastAsia" w:ascii="方正楷体_GBK" w:hAnsi="方正楷体_GBK" w:eastAsia="方正楷体_GBK" w:cs="方正楷体_GBK"/>
          <w:b w:val="0"/>
          <w:bCs w:val="0"/>
          <w:color w:val="auto"/>
          <w:sz w:val="32"/>
          <w:szCs w:val="32"/>
          <w:highlight w:val="none"/>
          <w:u w:val="none"/>
        </w:rPr>
        <w:fldChar w:fldCharType="end"/>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41</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eastAsia" w:ascii="方正楷体_GBK" w:hAnsi="方正楷体_GBK" w:eastAsia="方正楷体_GBK" w:cs="方正楷体_GBK"/>
          <w:b w:val="0"/>
          <w:bCs w:val="0"/>
          <w:color w:val="auto"/>
          <w:sz w:val="32"/>
          <w:szCs w:val="32"/>
          <w:highlight w:val="none"/>
          <w:u w:val="none"/>
          <w:lang w:val="en-US" w:eastAsia="zh-CN"/>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"_Toc61283989"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w:t>
      </w:r>
      <w:r>
        <w:rPr>
          <w:rFonts w:hint="eastAsia" w:ascii="方正楷体_GBK" w:hAnsi="方正楷体_GBK" w:cs="方正楷体_GBK"/>
          <w:b w:val="0"/>
          <w:bCs w:val="0"/>
          <w:color w:val="auto"/>
          <w:sz w:val="32"/>
          <w:szCs w:val="32"/>
          <w:highlight w:val="none"/>
          <w:u w:val="none"/>
          <w:lang w:val="en-US" w:eastAsia="zh-CN"/>
        </w:rPr>
        <w:t>四</w:t>
      </w:r>
      <w:r>
        <w:rPr>
          <w:rFonts w:hint="eastAsia" w:ascii="方正楷体_GBK" w:hAnsi="方正楷体_GBK" w:eastAsia="方正楷体_GBK" w:cs="方正楷体_GBK"/>
          <w:b w:val="0"/>
          <w:bCs w:val="0"/>
          <w:color w:val="auto"/>
          <w:sz w:val="32"/>
          <w:szCs w:val="32"/>
          <w:highlight w:val="none"/>
          <w:u w:val="none"/>
        </w:rPr>
        <w:t>节  强化</w:t>
      </w:r>
      <w:r>
        <w:rPr>
          <w:rFonts w:hint="eastAsia" w:ascii="方正楷体_GBK" w:hAnsi="方正楷体_GBK" w:eastAsia="方正楷体_GBK" w:cs="方正楷体_GBK"/>
          <w:b w:val="0"/>
          <w:bCs w:val="0"/>
          <w:color w:val="auto"/>
          <w:sz w:val="32"/>
          <w:szCs w:val="32"/>
          <w:highlight w:val="none"/>
          <w:u w:val="none"/>
        </w:rPr>
        <w:fldChar w:fldCharType="end"/>
      </w:r>
      <w:r>
        <w:rPr>
          <w:rFonts w:hint="eastAsia" w:ascii="方正楷体_GBK" w:hAnsi="方正楷体_GBK" w:cs="方正楷体_GBK"/>
          <w:b w:val="0"/>
          <w:bCs w:val="0"/>
          <w:color w:val="auto"/>
          <w:sz w:val="32"/>
          <w:szCs w:val="32"/>
          <w:highlight w:val="none"/>
          <w:u w:val="none"/>
          <w:lang w:val="en-US" w:eastAsia="zh-CN"/>
        </w:rPr>
        <w:t>统计监测</w:t>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41</w:t>
      </w:r>
      <w:r>
        <w:rPr>
          <w:rFonts w:hint="default" w:ascii="Times New Roman" w:hAnsi="Times New Roman" w:eastAsia="方正楷体_GBK" w:cs="Times New Roman"/>
          <w:b w:val="0"/>
          <w:bCs w:val="0"/>
          <w:color w:val="auto"/>
          <w:sz w:val="32"/>
          <w:szCs w:val="32"/>
          <w:highlight w:val="none"/>
          <w:u w:val="none"/>
          <w:lang w:eastAsia="zh-CN"/>
        </w:rPr>
        <w:t>）</w:t>
      </w:r>
    </w:p>
    <w:p>
      <w:pPr>
        <w:pStyle w:val="13"/>
        <w:keepNext w:val="0"/>
        <w:keepLines w:val="0"/>
        <w:pageBreakBefore w:val="0"/>
        <w:widowControl/>
        <w:tabs>
          <w:tab w:val="right" w:leader="middleDot" w:pos="8789"/>
        </w:tabs>
        <w:kinsoku/>
        <w:wordWrap/>
        <w:overflowPunct/>
        <w:topLinePunct w:val="0"/>
        <w:autoSpaceDE/>
        <w:autoSpaceDN/>
        <w:bidi w:val="0"/>
        <w:adjustRightInd/>
        <w:snapToGrid/>
        <w:spacing w:after="0" w:line="600" w:lineRule="exact"/>
        <w:ind w:right="0" w:rightChars="0" w:firstLine="0" w:firstLineChars="0"/>
        <w:jc w:val="left"/>
        <w:textAlignment w:val="auto"/>
        <w:outlineLvl w:val="9"/>
        <w:rPr>
          <w:rFonts w:hint="default" w:eastAsia="方正楷体_GBK"/>
          <w:b w:val="0"/>
          <w:bCs w:val="0"/>
          <w:color w:val="auto"/>
          <w:highlight w:val="none"/>
          <w:u w:val="none"/>
          <w:lang w:val="en-US" w:eastAsia="zh-CN"/>
        </w:rPr>
      </w:pPr>
      <w:r>
        <w:rPr>
          <w:rFonts w:hint="eastAsia" w:ascii="方正楷体_GBK" w:hAnsi="方正楷体_GBK" w:eastAsia="方正楷体_GBK" w:cs="方正楷体_GBK"/>
          <w:b w:val="0"/>
          <w:bCs w:val="0"/>
          <w:color w:val="auto"/>
          <w:sz w:val="32"/>
          <w:szCs w:val="32"/>
          <w:highlight w:val="none"/>
          <w:u w:val="none"/>
        </w:rPr>
        <w:fldChar w:fldCharType="begin"/>
      </w:r>
      <w:r>
        <w:rPr>
          <w:rFonts w:hint="eastAsia" w:ascii="方正楷体_GBK" w:hAnsi="方正楷体_GBK" w:eastAsia="方正楷体_GBK" w:cs="方正楷体_GBK"/>
          <w:b w:val="0"/>
          <w:bCs w:val="0"/>
          <w:color w:val="auto"/>
          <w:sz w:val="32"/>
          <w:szCs w:val="32"/>
          <w:highlight w:val="none"/>
          <w:u w:val="none"/>
        </w:rPr>
        <w:instrText xml:space="preserve"> HYPERLINK \l "_Toc61283989" </w:instrText>
      </w:r>
      <w:r>
        <w:rPr>
          <w:rFonts w:hint="eastAsia" w:ascii="方正楷体_GBK" w:hAnsi="方正楷体_GBK" w:eastAsia="方正楷体_GBK" w:cs="方正楷体_GBK"/>
          <w:b w:val="0"/>
          <w:bCs w:val="0"/>
          <w:color w:val="auto"/>
          <w:sz w:val="32"/>
          <w:szCs w:val="32"/>
          <w:highlight w:val="none"/>
          <w:u w:val="none"/>
        </w:rPr>
        <w:fldChar w:fldCharType="separate"/>
      </w:r>
      <w:r>
        <w:rPr>
          <w:rFonts w:hint="eastAsia" w:ascii="方正楷体_GBK" w:hAnsi="方正楷体_GBK" w:eastAsia="方正楷体_GBK" w:cs="方正楷体_GBK"/>
          <w:b w:val="0"/>
          <w:bCs w:val="0"/>
          <w:color w:val="auto"/>
          <w:sz w:val="32"/>
          <w:szCs w:val="32"/>
          <w:highlight w:val="none"/>
          <w:u w:val="none"/>
        </w:rPr>
        <w:t>第</w:t>
      </w:r>
      <w:r>
        <w:rPr>
          <w:rFonts w:hint="eastAsia" w:ascii="方正楷体_GBK" w:hAnsi="方正楷体_GBK" w:cs="方正楷体_GBK"/>
          <w:b w:val="0"/>
          <w:bCs w:val="0"/>
          <w:color w:val="auto"/>
          <w:sz w:val="32"/>
          <w:szCs w:val="32"/>
          <w:highlight w:val="none"/>
          <w:u w:val="none"/>
          <w:lang w:val="en-US" w:eastAsia="zh-CN"/>
        </w:rPr>
        <w:t>五</w:t>
      </w:r>
      <w:r>
        <w:rPr>
          <w:rFonts w:hint="eastAsia" w:ascii="方正楷体_GBK" w:hAnsi="方正楷体_GBK" w:eastAsia="方正楷体_GBK" w:cs="方正楷体_GBK"/>
          <w:b w:val="0"/>
          <w:bCs w:val="0"/>
          <w:color w:val="auto"/>
          <w:sz w:val="32"/>
          <w:szCs w:val="32"/>
          <w:highlight w:val="none"/>
          <w:u w:val="none"/>
        </w:rPr>
        <w:t>节  强化</w:t>
      </w:r>
      <w:r>
        <w:rPr>
          <w:rFonts w:hint="eastAsia" w:ascii="方正楷体_GBK" w:hAnsi="方正楷体_GBK" w:eastAsia="方正楷体_GBK" w:cs="方正楷体_GBK"/>
          <w:b w:val="0"/>
          <w:bCs w:val="0"/>
          <w:color w:val="auto"/>
          <w:sz w:val="32"/>
          <w:szCs w:val="32"/>
          <w:highlight w:val="none"/>
          <w:u w:val="none"/>
        </w:rPr>
        <w:fldChar w:fldCharType="end"/>
      </w:r>
      <w:r>
        <w:rPr>
          <w:rFonts w:hint="eastAsia" w:ascii="方正楷体_GBK" w:hAnsi="方正楷体_GBK" w:cs="方正楷体_GBK"/>
          <w:b w:val="0"/>
          <w:bCs w:val="0"/>
          <w:color w:val="auto"/>
          <w:sz w:val="32"/>
          <w:szCs w:val="32"/>
          <w:highlight w:val="none"/>
          <w:u w:val="none"/>
          <w:lang w:val="en-US" w:eastAsia="zh-CN"/>
        </w:rPr>
        <w:t>实施保障</w:t>
      </w:r>
      <w:r>
        <w:rPr>
          <w:b w:val="0"/>
          <w:bCs w:val="0"/>
          <w:color w:val="auto"/>
          <w:u w:val="none"/>
        </w:rPr>
        <w:tab/>
      </w:r>
      <w:r>
        <w:rPr>
          <w:rFonts w:hint="default" w:ascii="Times New Roman" w:hAnsi="Times New Roman" w:eastAsia="方正楷体_GBK" w:cs="Times New Roman"/>
          <w:b w:val="0"/>
          <w:bCs w:val="0"/>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41</w:t>
      </w:r>
      <w:r>
        <w:rPr>
          <w:rFonts w:hint="default" w:ascii="Times New Roman" w:hAnsi="Times New Roman" w:eastAsia="方正楷体_GBK" w:cs="Times New Roman"/>
          <w:b w:val="0"/>
          <w:bCs w:val="0"/>
          <w:color w:val="auto"/>
          <w:sz w:val="32"/>
          <w:szCs w:val="32"/>
          <w:highlight w:val="none"/>
          <w:u w:val="none"/>
          <w:lang w:eastAsia="zh-CN"/>
        </w:rPr>
        <w:t>）</w:t>
      </w:r>
    </w:p>
    <w:p>
      <w:pPr>
        <w:rPr>
          <w:b w:val="0"/>
          <w:bCs w:val="0"/>
          <w:color w:val="auto"/>
          <w:highlight w:val="none"/>
          <w:u w:val="none"/>
        </w:rPr>
      </w:pPr>
    </w:p>
    <w:p>
      <w:pPr>
        <w:rPr>
          <w:b w:val="0"/>
          <w:bCs w:val="0"/>
          <w:color w:val="auto"/>
          <w:highlight w:val="none"/>
          <w:u w:val="none"/>
        </w:rPr>
      </w:pPr>
    </w:p>
    <w:p>
      <w:pPr>
        <w:rPr>
          <w:b w:val="0"/>
          <w:bCs w:val="0"/>
          <w:color w:val="auto"/>
          <w:highlight w:val="none"/>
          <w:u w:val="none"/>
        </w:rPr>
      </w:pPr>
    </w:p>
    <w:p>
      <w:pPr>
        <w:rPr>
          <w:b w:val="0"/>
          <w:bCs w:val="0"/>
          <w:color w:val="auto"/>
          <w:highlight w:val="none"/>
          <w:u w:val="none"/>
        </w:rPr>
      </w:pPr>
    </w:p>
    <w:p>
      <w:pPr>
        <w:rPr>
          <w:b w:val="0"/>
          <w:bCs w:val="0"/>
          <w:color w:val="auto"/>
          <w:highlight w:val="none"/>
          <w:u w:val="none"/>
        </w:rPr>
        <w:sectPr>
          <w:footerReference r:id="rId6" w:type="default"/>
          <w:pgSz w:w="11906" w:h="16838"/>
          <w:pgMar w:top="2098" w:right="1474" w:bottom="1984" w:left="1587"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小标宋_GBK" w:hAnsi="方正小标宋_GBK" w:eastAsia="方正小标宋_GBK" w:cs="方正小标宋_GBK"/>
          <w:b w:val="0"/>
          <w:bCs w:val="0"/>
          <w:color w:val="auto"/>
          <w:sz w:val="44"/>
          <w:szCs w:val="44"/>
          <w:highlight w:val="none"/>
          <w:u w:val="none"/>
        </w:rPr>
      </w:pPr>
      <w:r>
        <w:rPr>
          <w:rFonts w:ascii="Times New Roman" w:hAnsi="Times New Roman" w:cs="Times New Roman"/>
          <w:b w:val="0"/>
          <w:bCs w:val="0"/>
          <w:color w:val="auto"/>
          <w:highlight w:val="none"/>
          <w:u w:val="none"/>
          <w:lang w:val="zh-CN"/>
        </w:rPr>
        <w:fldChar w:fldCharType="end"/>
      </w:r>
      <w:r>
        <w:rPr>
          <w:rFonts w:hint="eastAsia" w:ascii="方正小标宋_GBK" w:hAnsi="方正小标宋_GBK" w:eastAsia="方正小标宋_GBK" w:cs="方正小标宋_GBK"/>
          <w:b w:val="0"/>
          <w:bCs w:val="0"/>
          <w:color w:val="auto"/>
          <w:sz w:val="44"/>
          <w:szCs w:val="44"/>
          <w:highlight w:val="none"/>
          <w:u w:val="none"/>
          <w:lang w:eastAsia="zh-CN"/>
        </w:rPr>
        <w:t>万盛经开区</w:t>
      </w:r>
      <w:r>
        <w:rPr>
          <w:rFonts w:hint="eastAsia" w:ascii="方正小标宋_GBK" w:hAnsi="方正小标宋_GBK" w:eastAsia="方正小标宋_GBK" w:cs="方正小标宋_GBK"/>
          <w:b w:val="0"/>
          <w:bCs w:val="0"/>
          <w:color w:val="auto"/>
          <w:sz w:val="44"/>
          <w:szCs w:val="44"/>
          <w:highlight w:val="none"/>
          <w:u w:val="none"/>
        </w:rPr>
        <w:t>人力资源和社会保障事业发展</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小标宋_GBK" w:hAnsi="方正小标宋_GBK" w:eastAsia="方正小标宋_GBK" w:cs="方正小标宋_GBK"/>
          <w:b w:val="0"/>
          <w:bCs w:val="0"/>
          <w:color w:val="auto"/>
          <w:sz w:val="44"/>
          <w:szCs w:val="44"/>
          <w:highlight w:val="none"/>
          <w:u w:val="none"/>
        </w:rPr>
        <w:t>“十四五”规划</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w:t>
      </w:r>
      <w:r>
        <w:rPr>
          <w:rFonts w:hint="eastAsia" w:ascii="方正楷体_GBK" w:hAnsi="方正楷体_GBK" w:eastAsia="方正楷体_GBK" w:cs="方正楷体_GBK"/>
          <w:b w:val="0"/>
          <w:bCs w:val="0"/>
          <w:color w:val="auto"/>
          <w:sz w:val="32"/>
          <w:szCs w:val="32"/>
          <w:highlight w:val="none"/>
          <w:u w:val="none"/>
          <w:lang w:eastAsia="zh-CN"/>
        </w:rPr>
        <w:t>送审</w:t>
      </w:r>
      <w:r>
        <w:rPr>
          <w:rFonts w:hint="eastAsia" w:ascii="方正楷体_GBK" w:hAnsi="方正楷体_GBK" w:eastAsia="方正楷体_GBK" w:cs="方正楷体_GBK"/>
          <w:b w:val="0"/>
          <w:bCs w:val="0"/>
          <w:color w:val="auto"/>
          <w:sz w:val="32"/>
          <w:szCs w:val="32"/>
          <w:highlight w:val="none"/>
          <w:u w:val="none"/>
        </w:rPr>
        <w:t>稿）</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lang w:eastAsia="zh-CN"/>
        </w:rPr>
        <w:t>为深入贯彻落实</w:t>
      </w:r>
      <w:r>
        <w:rPr>
          <w:rFonts w:hint="eastAsia" w:ascii="方正仿宋_GBK" w:eastAsia="方正仿宋_GBK"/>
          <w:b w:val="0"/>
          <w:bCs w:val="0"/>
          <w:color w:val="auto"/>
          <w:sz w:val="32"/>
          <w:szCs w:val="32"/>
          <w:u w:val="none"/>
        </w:rPr>
        <w:t>党的十九大</w:t>
      </w:r>
      <w:r>
        <w:rPr>
          <w:rFonts w:hint="eastAsia" w:ascii="方正仿宋_GBK" w:eastAsia="方正仿宋_GBK"/>
          <w:b w:val="0"/>
          <w:bCs w:val="0"/>
          <w:color w:val="auto"/>
          <w:sz w:val="32"/>
          <w:szCs w:val="32"/>
          <w:u w:val="none"/>
          <w:lang w:val="en-US" w:eastAsia="zh-CN"/>
        </w:rPr>
        <w:t>和</w:t>
      </w:r>
      <w:r>
        <w:rPr>
          <w:rFonts w:hint="eastAsia" w:ascii="Times New Roman" w:hAnsi="Times New Roman" w:eastAsia="方正仿宋_GBK" w:cs="Times New Roman"/>
          <w:b w:val="0"/>
          <w:bCs w:val="0"/>
          <w:color w:val="auto"/>
          <w:sz w:val="32"/>
          <w:szCs w:val="32"/>
          <w:u w:val="none"/>
          <w:lang w:val="en-US" w:eastAsia="zh-CN"/>
        </w:rPr>
        <w:t>十九届历次全会精神</w:t>
      </w:r>
      <w:r>
        <w:rPr>
          <w:rFonts w:hint="eastAsia" w:ascii="方正仿宋_GBK" w:hAnsi="方正仿宋_GBK" w:eastAsia="方正仿宋_GBK" w:cs="方正仿宋_GBK"/>
          <w:b w:val="0"/>
          <w:bCs w:val="0"/>
          <w:color w:val="auto"/>
          <w:sz w:val="32"/>
          <w:szCs w:val="32"/>
          <w:highlight w:val="none"/>
          <w:u w:val="none"/>
          <w:lang w:val="en-US" w:eastAsia="zh-CN"/>
        </w:rPr>
        <w:t>、中央经济工作会议精神、</w:t>
      </w:r>
      <w:r>
        <w:rPr>
          <w:rFonts w:hint="eastAsia" w:ascii="方正仿宋_GBK" w:hAnsi="方正仿宋_GBK" w:eastAsia="方正仿宋_GBK" w:cs="方正仿宋_GBK"/>
          <w:b w:val="0"/>
          <w:bCs w:val="0"/>
          <w:color w:val="auto"/>
          <w:sz w:val="32"/>
          <w:szCs w:val="32"/>
          <w:highlight w:val="none"/>
          <w:u w:val="none"/>
        </w:rPr>
        <w:t>习近平总书记对重庆提出的重要指示要求</w:t>
      </w:r>
      <w:r>
        <w:rPr>
          <w:rFonts w:hint="eastAsia" w:ascii="方正仿宋_GBK" w:hAnsi="方正仿宋_GBK" w:eastAsia="方正仿宋_GBK" w:cs="方正仿宋_GBK"/>
          <w:b w:val="0"/>
          <w:bCs w:val="0"/>
          <w:color w:val="auto"/>
          <w:sz w:val="32"/>
          <w:szCs w:val="32"/>
          <w:highlight w:val="none"/>
          <w:u w:val="none"/>
          <w:lang w:val="en-US" w:eastAsia="zh-CN"/>
        </w:rPr>
        <w:t>和</w:t>
      </w:r>
      <w:r>
        <w:rPr>
          <w:rFonts w:hint="eastAsia" w:ascii="方正仿宋_GBK" w:hAnsi="方正仿宋_GBK" w:eastAsia="方正仿宋_GBK" w:cs="方正仿宋_GBK"/>
          <w:b w:val="0"/>
          <w:bCs w:val="0"/>
          <w:color w:val="auto"/>
          <w:sz w:val="32"/>
          <w:szCs w:val="32"/>
          <w:highlight w:val="none"/>
          <w:u w:val="none"/>
        </w:rPr>
        <w:t>市委五届</w:t>
      </w:r>
      <w:r>
        <w:rPr>
          <w:rFonts w:hint="eastAsia" w:ascii="方正仿宋_GBK" w:hAnsi="方正仿宋_GBK" w:eastAsia="方正仿宋_GBK" w:cs="方正仿宋_GBK"/>
          <w:b w:val="0"/>
          <w:bCs w:val="0"/>
          <w:color w:val="auto"/>
          <w:sz w:val="32"/>
          <w:szCs w:val="32"/>
          <w:highlight w:val="none"/>
          <w:u w:val="none"/>
          <w:lang w:eastAsia="zh-CN"/>
        </w:rPr>
        <w:t>历次</w:t>
      </w:r>
      <w:r>
        <w:rPr>
          <w:rFonts w:hint="eastAsia" w:ascii="方正仿宋_GBK" w:hAnsi="方正仿宋_GBK" w:eastAsia="方正仿宋_GBK" w:cs="方正仿宋_GBK"/>
          <w:b w:val="0"/>
          <w:bCs w:val="0"/>
          <w:color w:val="auto"/>
          <w:sz w:val="32"/>
          <w:szCs w:val="32"/>
          <w:highlight w:val="none"/>
          <w:u w:val="none"/>
        </w:rPr>
        <w:t>全会精神</w:t>
      </w:r>
      <w:r>
        <w:rPr>
          <w:rFonts w:hint="eastAsia" w:ascii="方正仿宋_GBK" w:hAnsi="方正仿宋_GBK" w:eastAsia="方正仿宋_GBK" w:cs="方正仿宋_GBK"/>
          <w:b w:val="0"/>
          <w:bCs w:val="0"/>
          <w:color w:val="auto"/>
          <w:sz w:val="32"/>
          <w:szCs w:val="32"/>
          <w:highlight w:val="none"/>
          <w:u w:val="none"/>
          <w:lang w:eastAsia="zh-CN"/>
        </w:rPr>
        <w:t>、市</w:t>
      </w:r>
      <w:r>
        <w:rPr>
          <w:rFonts w:hint="eastAsia" w:ascii="方正仿宋_GBK" w:hAnsi="方正仿宋_GBK" w:eastAsia="方正仿宋_GBK" w:cs="方正仿宋_GBK"/>
          <w:b w:val="0"/>
          <w:bCs w:val="0"/>
          <w:color w:val="auto"/>
          <w:sz w:val="32"/>
          <w:szCs w:val="32"/>
          <w:highlight w:val="none"/>
          <w:u w:val="none"/>
          <w:lang w:val="en-US" w:eastAsia="zh-CN"/>
        </w:rPr>
        <w:t>委、区党工委</w:t>
      </w:r>
      <w:r>
        <w:rPr>
          <w:rFonts w:hint="eastAsia" w:ascii="方正仿宋_GBK" w:hAnsi="方正仿宋_GBK" w:eastAsia="方正仿宋_GBK" w:cs="方正仿宋_GBK"/>
          <w:b w:val="0"/>
          <w:bCs w:val="0"/>
          <w:color w:val="auto"/>
          <w:sz w:val="32"/>
          <w:szCs w:val="32"/>
          <w:highlight w:val="none"/>
          <w:u w:val="none"/>
          <w:lang w:eastAsia="zh-CN"/>
        </w:rPr>
        <w:t>经济工作会议精神</w:t>
      </w:r>
      <w:r>
        <w:rPr>
          <w:rFonts w:hint="eastAsia" w:ascii="方正仿宋_GBK" w:hAnsi="方正仿宋_GBK" w:eastAsia="方正仿宋_GBK" w:cs="方正仿宋_GBK"/>
          <w:b w:val="0"/>
          <w:bCs w:val="0"/>
          <w:color w:val="auto"/>
          <w:sz w:val="32"/>
          <w:szCs w:val="32"/>
          <w:highlight w:val="none"/>
          <w:u w:val="none"/>
        </w:rPr>
        <w:t>，统筹谋划好</w:t>
      </w:r>
      <w:r>
        <w:rPr>
          <w:rFonts w:hint="eastAsia" w:ascii="方正仿宋_GBK" w:hAnsi="方正仿宋_GBK" w:eastAsia="方正仿宋_GBK" w:cs="方正仿宋_GBK"/>
          <w:b w:val="0"/>
          <w:bCs w:val="0"/>
          <w:color w:val="auto"/>
          <w:sz w:val="32"/>
          <w:szCs w:val="32"/>
          <w:highlight w:val="none"/>
          <w:u w:val="none"/>
          <w:lang w:eastAsia="zh-CN"/>
        </w:rPr>
        <w:t>万盛经开区</w:t>
      </w:r>
      <w:r>
        <w:rPr>
          <w:rFonts w:hint="eastAsia" w:ascii="方正仿宋_GBK" w:hAnsi="方正仿宋_GBK" w:eastAsia="方正仿宋_GBK" w:cs="方正仿宋_GBK"/>
          <w:b w:val="0"/>
          <w:bCs w:val="0"/>
          <w:color w:val="auto"/>
          <w:sz w:val="32"/>
          <w:szCs w:val="32"/>
          <w:highlight w:val="none"/>
          <w:u w:val="none"/>
        </w:rPr>
        <w:t>“十四五”时期人力资源和社会保障</w:t>
      </w:r>
      <w:r>
        <w:rPr>
          <w:rFonts w:hint="eastAsia" w:ascii="方正仿宋_GBK" w:hAnsi="方正仿宋_GBK" w:eastAsia="方正仿宋_GBK" w:cs="方正仿宋_GBK"/>
          <w:b w:val="0"/>
          <w:bCs w:val="0"/>
          <w:color w:val="auto"/>
          <w:sz w:val="32"/>
          <w:szCs w:val="32"/>
          <w:highlight w:val="none"/>
          <w:u w:val="none"/>
          <w:lang w:eastAsia="zh-CN"/>
        </w:rPr>
        <w:t>（以下简称“人力社保”或“人社”）</w:t>
      </w:r>
      <w:r>
        <w:rPr>
          <w:rFonts w:hint="eastAsia" w:ascii="方正仿宋_GBK" w:hAnsi="方正仿宋_GBK" w:eastAsia="方正仿宋_GBK" w:cs="方正仿宋_GBK"/>
          <w:b w:val="0"/>
          <w:bCs w:val="0"/>
          <w:color w:val="auto"/>
          <w:sz w:val="32"/>
          <w:szCs w:val="32"/>
          <w:highlight w:val="none"/>
          <w:u w:val="none"/>
        </w:rPr>
        <w:t>事业的发展方向、发展目标、重点任务和保障措施，根据《重庆市人力资源和社会保障事业发展“十四五”规划》《</w:t>
      </w:r>
      <w:r>
        <w:rPr>
          <w:rFonts w:hint="eastAsia" w:eastAsia="方正仿宋_GBK" w:cs="方正仿宋_GBK"/>
          <w:b w:val="0"/>
          <w:bCs w:val="0"/>
          <w:color w:val="auto"/>
          <w:sz w:val="32"/>
          <w:szCs w:val="32"/>
          <w:u w:val="none"/>
          <w:lang w:val="en-US" w:eastAsia="zh-CN"/>
        </w:rPr>
        <w:t>万盛经开区国民经济和社会发展第十四个五年规划和二〇三五年远景目标纲要</w:t>
      </w:r>
      <w:r>
        <w:rPr>
          <w:rFonts w:hint="eastAsia" w:ascii="方正仿宋_GBK" w:hAnsi="方正仿宋_GBK" w:eastAsia="方正仿宋_GBK" w:cs="方正仿宋_GBK"/>
          <w:b w:val="0"/>
          <w:bCs w:val="0"/>
          <w:color w:val="auto"/>
          <w:sz w:val="32"/>
          <w:szCs w:val="32"/>
          <w:highlight w:val="none"/>
          <w:u w:val="none"/>
        </w:rPr>
        <w:t>》，特制定本规划，规划期为</w:t>
      </w:r>
      <w:r>
        <w:rPr>
          <w:rFonts w:hint="default" w:ascii="Times New Roman" w:hAnsi="Times New Roman" w:eastAsia="方正仿宋_GBK" w:cs="Times New Roman"/>
          <w:b w:val="0"/>
          <w:bCs w:val="0"/>
          <w:color w:val="auto"/>
          <w:sz w:val="32"/>
          <w:szCs w:val="32"/>
          <w:highlight w:val="none"/>
          <w:u w:val="none"/>
        </w:rPr>
        <w:t>2021—2025年，展望至2035年。</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黑体_GBK" w:hAnsi="方正黑体_GBK" w:eastAsia="方正黑体_GBK" w:cs="方正黑体_GBK"/>
          <w:b w:val="0"/>
          <w:bCs w:val="0"/>
          <w:color w:val="auto"/>
          <w:sz w:val="32"/>
          <w:szCs w:val="32"/>
          <w:highlight w:val="none"/>
          <w:u w:val="none"/>
        </w:rPr>
      </w:pPr>
      <w:bookmarkStart w:id="0" w:name="_Toc61283951"/>
      <w:bookmarkStart w:id="1" w:name="_Toc54345645"/>
    </w:p>
    <w:bookmarkEnd w:id="0"/>
    <w:bookmarkEnd w:id="1"/>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bookmarkStart w:id="2" w:name="_Toc54345646"/>
      <w:bookmarkStart w:id="3" w:name="_Toc61283952"/>
      <w:r>
        <w:rPr>
          <w:rFonts w:hint="eastAsia" w:ascii="方正黑体_GBK" w:hAnsi="方正黑体_GBK" w:eastAsia="方正黑体_GBK" w:cs="方正黑体_GBK"/>
          <w:b w:val="0"/>
          <w:bCs w:val="0"/>
          <w:color w:val="auto"/>
          <w:sz w:val="32"/>
          <w:szCs w:val="32"/>
          <w:highlight w:val="none"/>
          <w:u w:val="none"/>
        </w:rPr>
        <w:t>第一章  指导思想和主要目标</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lang w:eastAsia="zh-CN"/>
        </w:rPr>
      </w:pPr>
      <w:r>
        <w:rPr>
          <w:rFonts w:hint="eastAsia" w:ascii="方正仿宋_GBK" w:hAnsi="方正仿宋_GBK" w:eastAsia="方正仿宋_GBK" w:cs="方正仿宋_GBK"/>
          <w:b w:val="0"/>
          <w:bCs w:val="0"/>
          <w:color w:val="auto"/>
          <w:sz w:val="32"/>
          <w:szCs w:val="32"/>
          <w:highlight w:val="none"/>
          <w:u w:val="none"/>
          <w:lang w:eastAsia="zh-CN"/>
        </w:rPr>
        <w:t>“十四五”时期，是万盛经开区谱写资源型城市高质量转型发展新篇章、开启全面建设社会主义现代化国家新征程的关键时期。</w:t>
      </w:r>
      <w:r>
        <w:rPr>
          <w:rFonts w:hint="eastAsia" w:ascii="方正仿宋_GBK" w:hAnsi="方正仿宋_GBK" w:eastAsia="方正仿宋_GBK" w:cs="方正仿宋_GBK"/>
          <w:b w:val="0"/>
          <w:bCs w:val="0"/>
          <w:color w:val="auto"/>
          <w:sz w:val="32"/>
          <w:szCs w:val="32"/>
          <w:highlight w:val="none"/>
          <w:u w:val="none"/>
          <w:lang w:val="en-US" w:eastAsia="zh-CN"/>
        </w:rPr>
        <w:t>全区人力社保系统</w:t>
      </w:r>
      <w:r>
        <w:rPr>
          <w:rFonts w:hint="eastAsia" w:ascii="方正仿宋_GBK" w:hAnsi="方正仿宋_GBK" w:eastAsia="方正仿宋_GBK" w:cs="方正仿宋_GBK"/>
          <w:b w:val="0"/>
          <w:bCs w:val="0"/>
          <w:color w:val="auto"/>
          <w:sz w:val="32"/>
          <w:szCs w:val="32"/>
          <w:highlight w:val="none"/>
          <w:u w:val="none"/>
          <w:lang w:eastAsia="zh-CN"/>
        </w:rPr>
        <w:t>要立足新发展阶段，完整、准确、全面贯彻新发展理念，服务和融入新发展格局，推进人力社保事业全面发展。</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第一节  发展</w:t>
      </w:r>
      <w:bookmarkEnd w:id="2"/>
      <w:r>
        <w:rPr>
          <w:rFonts w:hint="eastAsia" w:ascii="方正楷体_GBK" w:hAnsi="方正楷体_GBK" w:eastAsia="方正楷体_GBK" w:cs="方正楷体_GBK"/>
          <w:b w:val="0"/>
          <w:bCs w:val="0"/>
          <w:color w:val="auto"/>
          <w:sz w:val="32"/>
          <w:szCs w:val="32"/>
          <w:highlight w:val="none"/>
          <w:u w:val="none"/>
        </w:rPr>
        <w:t>基础</w:t>
      </w:r>
      <w:bookmarkEnd w:id="3"/>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“十三五”时期是</w:t>
      </w:r>
      <w:r>
        <w:rPr>
          <w:rFonts w:hint="eastAsia" w:ascii="方正仿宋_GBK" w:hAnsi="方正仿宋_GBK" w:eastAsia="方正仿宋_GBK" w:cs="方正仿宋_GBK"/>
          <w:b w:val="0"/>
          <w:bCs w:val="0"/>
          <w:color w:val="auto"/>
          <w:sz w:val="32"/>
          <w:szCs w:val="32"/>
          <w:highlight w:val="none"/>
          <w:u w:val="none"/>
          <w:lang w:eastAsia="zh-CN"/>
        </w:rPr>
        <w:t>万盛经开区转型发展进程中</w:t>
      </w:r>
      <w:r>
        <w:rPr>
          <w:rFonts w:hint="eastAsia" w:ascii="方正仿宋_GBK" w:hAnsi="方正仿宋_GBK" w:eastAsia="方正仿宋_GBK" w:cs="方正仿宋_GBK"/>
          <w:b w:val="0"/>
          <w:bCs w:val="0"/>
          <w:color w:val="auto"/>
          <w:sz w:val="32"/>
          <w:szCs w:val="32"/>
          <w:highlight w:val="none"/>
          <w:u w:val="none"/>
        </w:rPr>
        <w:t>不平凡的五年，也是全</w:t>
      </w:r>
      <w:r>
        <w:rPr>
          <w:rFonts w:hint="eastAsia" w:ascii="方正仿宋_GBK" w:hAnsi="方正仿宋_GBK" w:eastAsia="方正仿宋_GBK" w:cs="方正仿宋_GBK"/>
          <w:b w:val="0"/>
          <w:bCs w:val="0"/>
          <w:color w:val="auto"/>
          <w:sz w:val="32"/>
          <w:szCs w:val="32"/>
          <w:highlight w:val="none"/>
          <w:u w:val="none"/>
          <w:lang w:eastAsia="zh-CN"/>
        </w:rPr>
        <w:t>区</w:t>
      </w:r>
      <w:r>
        <w:rPr>
          <w:rFonts w:hint="eastAsia" w:ascii="方正仿宋_GBK" w:hAnsi="方正仿宋_GBK" w:eastAsia="方正仿宋_GBK" w:cs="方正仿宋_GBK"/>
          <w:b w:val="0"/>
          <w:bCs w:val="0"/>
          <w:color w:val="auto"/>
          <w:sz w:val="32"/>
          <w:szCs w:val="32"/>
          <w:highlight w:val="none"/>
          <w:u w:val="none"/>
        </w:rPr>
        <w:t>人力资源和社会保障事业</w:t>
      </w:r>
      <w:r>
        <w:rPr>
          <w:rFonts w:hint="eastAsia" w:ascii="方正仿宋_GBK" w:hAnsi="方正仿宋_GBK" w:eastAsia="方正仿宋_GBK" w:cs="方正仿宋_GBK"/>
          <w:b w:val="0"/>
          <w:bCs w:val="0"/>
          <w:color w:val="auto"/>
          <w:sz w:val="32"/>
          <w:szCs w:val="32"/>
          <w:highlight w:val="none"/>
          <w:u w:val="none"/>
          <w:lang w:eastAsia="zh-CN"/>
        </w:rPr>
        <w:t>改革全面发力、取得较好成效</w:t>
      </w:r>
      <w:r>
        <w:rPr>
          <w:rFonts w:hint="eastAsia" w:ascii="方正仿宋_GBK" w:hAnsi="方正仿宋_GBK" w:eastAsia="方正仿宋_GBK" w:cs="方正仿宋_GBK"/>
          <w:b w:val="0"/>
          <w:bCs w:val="0"/>
          <w:color w:val="auto"/>
          <w:sz w:val="32"/>
          <w:szCs w:val="32"/>
          <w:highlight w:val="none"/>
          <w:u w:val="none"/>
        </w:rPr>
        <w:t>的</w:t>
      </w:r>
      <w:r>
        <w:rPr>
          <w:rFonts w:hint="eastAsia" w:ascii="方正仿宋_GBK" w:hAnsi="方正仿宋_GBK" w:eastAsia="方正仿宋_GBK" w:cs="方正仿宋_GBK"/>
          <w:b w:val="0"/>
          <w:bCs w:val="0"/>
          <w:color w:val="auto"/>
          <w:sz w:val="32"/>
          <w:szCs w:val="32"/>
          <w:highlight w:val="none"/>
          <w:u w:val="none"/>
          <w:lang w:eastAsia="zh-CN"/>
        </w:rPr>
        <w:t>重要</w:t>
      </w:r>
      <w:r>
        <w:rPr>
          <w:rFonts w:hint="eastAsia" w:ascii="方正仿宋_GBK" w:hAnsi="方正仿宋_GBK" w:eastAsia="方正仿宋_GBK" w:cs="方正仿宋_GBK"/>
          <w:b w:val="0"/>
          <w:bCs w:val="0"/>
          <w:color w:val="auto"/>
          <w:sz w:val="32"/>
          <w:szCs w:val="32"/>
          <w:highlight w:val="none"/>
          <w:u w:val="none"/>
        </w:rPr>
        <w:t>五年。面对复杂多变的宏观环境和艰巨繁重的改革发展稳定任务，在</w:t>
      </w:r>
      <w:r>
        <w:rPr>
          <w:rFonts w:hint="eastAsia" w:ascii="方正仿宋_GBK" w:hAnsi="方正仿宋_GBK" w:eastAsia="方正仿宋_GBK" w:cs="方正仿宋_GBK"/>
          <w:b w:val="0"/>
          <w:bCs w:val="0"/>
          <w:color w:val="auto"/>
          <w:sz w:val="32"/>
          <w:szCs w:val="32"/>
          <w:highlight w:val="none"/>
          <w:u w:val="none"/>
          <w:lang w:eastAsia="zh-CN"/>
        </w:rPr>
        <w:t>党工委</w:t>
      </w:r>
      <w:r>
        <w:rPr>
          <w:rFonts w:hint="eastAsia" w:ascii="方正仿宋_GBK" w:hAnsi="方正仿宋_GBK" w:eastAsia="方正仿宋_GBK" w:cs="方正仿宋_GBK"/>
          <w:b w:val="0"/>
          <w:bCs w:val="0"/>
          <w:color w:val="auto"/>
          <w:sz w:val="32"/>
          <w:szCs w:val="32"/>
          <w:highlight w:val="none"/>
          <w:u w:val="none"/>
        </w:rPr>
        <w:t>、</w:t>
      </w:r>
      <w:r>
        <w:rPr>
          <w:rFonts w:hint="eastAsia" w:ascii="方正仿宋_GBK" w:hAnsi="方正仿宋_GBK" w:eastAsia="方正仿宋_GBK" w:cs="方正仿宋_GBK"/>
          <w:b w:val="0"/>
          <w:bCs w:val="0"/>
          <w:color w:val="auto"/>
          <w:sz w:val="32"/>
          <w:szCs w:val="32"/>
          <w:highlight w:val="none"/>
          <w:u w:val="none"/>
          <w:lang w:eastAsia="zh-CN"/>
        </w:rPr>
        <w:t>管委会</w:t>
      </w:r>
      <w:r>
        <w:rPr>
          <w:rFonts w:hint="eastAsia" w:ascii="方正仿宋_GBK" w:hAnsi="方正仿宋_GBK" w:eastAsia="方正仿宋_GBK" w:cs="方正仿宋_GBK"/>
          <w:b w:val="0"/>
          <w:bCs w:val="0"/>
          <w:color w:val="auto"/>
          <w:sz w:val="32"/>
          <w:szCs w:val="32"/>
          <w:highlight w:val="none"/>
          <w:u w:val="none"/>
        </w:rPr>
        <w:t>的坚强领导下，全区人力资源和社会保障</w:t>
      </w:r>
      <w:r>
        <w:rPr>
          <w:rFonts w:hint="eastAsia" w:ascii="方正仿宋_GBK" w:hAnsi="方正仿宋_GBK" w:eastAsia="方正仿宋_GBK" w:cs="方正仿宋_GBK"/>
          <w:b w:val="0"/>
          <w:bCs w:val="0"/>
          <w:color w:val="auto"/>
          <w:sz w:val="32"/>
          <w:szCs w:val="32"/>
          <w:highlight w:val="none"/>
          <w:u w:val="none"/>
          <w:lang w:eastAsia="zh-CN"/>
        </w:rPr>
        <w:t>系统</w:t>
      </w:r>
      <w:r>
        <w:rPr>
          <w:rFonts w:hint="eastAsia" w:ascii="方正仿宋_GBK" w:hAnsi="方正仿宋_GBK" w:eastAsia="方正仿宋_GBK" w:cs="方正仿宋_GBK"/>
          <w:b w:val="0"/>
          <w:bCs w:val="0"/>
          <w:color w:val="auto"/>
          <w:sz w:val="32"/>
          <w:szCs w:val="32"/>
          <w:highlight w:val="none"/>
          <w:u w:val="none"/>
        </w:rPr>
        <w:t>坚持以习近平新时代中国特色社会主义思想为指导，坚决贯彻习近平总书记视察重庆重要指示精神，围绕“民生为本、人才优先”的工作主线，着力稳就业、保基本、解难题、促和谐、防风险、强基础</w:t>
      </w:r>
      <w:r>
        <w:rPr>
          <w:rFonts w:hint="eastAsia" w:ascii="方正仿宋_GBK" w:hAnsi="方正仿宋_GBK" w:eastAsia="方正仿宋_GBK" w:cs="方正仿宋_GBK"/>
          <w:b w:val="0"/>
          <w:bCs w:val="0"/>
          <w:color w:val="auto"/>
          <w:sz w:val="32"/>
          <w:szCs w:val="32"/>
          <w:highlight w:val="none"/>
          <w:u w:val="none"/>
          <w:lang w:eastAsia="zh-CN"/>
        </w:rPr>
        <w:t>，</w:t>
      </w:r>
      <w:r>
        <w:rPr>
          <w:rFonts w:hint="eastAsia" w:ascii="方正仿宋_GBK" w:hAnsi="方正仿宋_GBK" w:eastAsia="方正仿宋_GBK" w:cs="方正仿宋_GBK"/>
          <w:b w:val="0"/>
          <w:bCs w:val="0"/>
          <w:color w:val="auto"/>
          <w:sz w:val="32"/>
          <w:szCs w:val="32"/>
          <w:highlight w:val="none"/>
          <w:u w:val="none"/>
        </w:rPr>
        <w:t>较好完成了规划预期目标，为“十四五”时期发展奠定了</w:t>
      </w:r>
      <w:r>
        <w:rPr>
          <w:rFonts w:hint="eastAsia" w:ascii="方正仿宋_GBK" w:hAnsi="方正仿宋_GBK" w:eastAsia="方正仿宋_GBK" w:cs="方正仿宋_GBK"/>
          <w:b w:val="0"/>
          <w:bCs w:val="0"/>
          <w:color w:val="auto"/>
          <w:sz w:val="32"/>
          <w:szCs w:val="32"/>
          <w:highlight w:val="none"/>
          <w:u w:val="none"/>
          <w:lang w:eastAsia="zh-CN"/>
        </w:rPr>
        <w:t>良好的</w:t>
      </w:r>
      <w:r>
        <w:rPr>
          <w:rFonts w:hint="eastAsia" w:ascii="方正仿宋_GBK" w:hAnsi="方正仿宋_GBK" w:eastAsia="方正仿宋_GBK" w:cs="方正仿宋_GBK"/>
          <w:b w:val="0"/>
          <w:bCs w:val="0"/>
          <w:color w:val="auto"/>
          <w:sz w:val="32"/>
          <w:szCs w:val="32"/>
          <w:highlight w:val="none"/>
          <w:u w:val="none"/>
        </w:rPr>
        <w:t>基础。</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lang w:eastAsia="zh-CN"/>
        </w:rPr>
        <w:t>促进全民就业创业</w:t>
      </w:r>
      <w:r>
        <w:rPr>
          <w:rFonts w:hint="eastAsia" w:ascii="方正楷体_GBK" w:hAnsi="方正楷体_GBK" w:eastAsia="方正楷体_GBK" w:cs="方正楷体_GBK"/>
          <w:b w:val="0"/>
          <w:bCs w:val="0"/>
          <w:color w:val="auto"/>
          <w:sz w:val="32"/>
          <w:szCs w:val="32"/>
          <w:highlight w:val="none"/>
          <w:u w:val="none"/>
        </w:rPr>
        <w:t>，就业</w:t>
      </w:r>
      <w:r>
        <w:rPr>
          <w:rFonts w:hint="eastAsia" w:ascii="方正楷体_GBK" w:hAnsi="方正楷体_GBK" w:eastAsia="方正楷体_GBK" w:cs="方正楷体_GBK"/>
          <w:b w:val="0"/>
          <w:bCs w:val="0"/>
          <w:color w:val="auto"/>
          <w:sz w:val="32"/>
          <w:szCs w:val="32"/>
          <w:highlight w:val="none"/>
          <w:u w:val="none"/>
          <w:lang w:eastAsia="zh-CN"/>
        </w:rPr>
        <w:t>形势持续向好</w:t>
      </w:r>
      <w:r>
        <w:rPr>
          <w:rFonts w:hint="eastAsia" w:ascii="方正楷体_GBK" w:hAnsi="方正楷体_GBK" w:eastAsia="方正楷体_GBK" w:cs="方正楷体_GBK"/>
          <w:b w:val="0"/>
          <w:bCs w:val="0"/>
          <w:color w:val="auto"/>
          <w:sz w:val="32"/>
          <w:szCs w:val="32"/>
          <w:highlight w:val="none"/>
          <w:u w:val="none"/>
        </w:rPr>
        <w:t>。</w:t>
      </w:r>
      <w:r>
        <w:rPr>
          <w:rFonts w:hint="eastAsia" w:ascii="方正仿宋_GBK" w:hAnsi="方正仿宋_GBK" w:eastAsia="方正仿宋_GBK" w:cs="方正仿宋_GBK"/>
          <w:b w:val="0"/>
          <w:bCs w:val="0"/>
          <w:color w:val="auto"/>
          <w:sz w:val="32"/>
          <w:szCs w:val="32"/>
          <w:highlight w:val="none"/>
          <w:u w:val="none"/>
          <w:lang w:eastAsia="zh-CN"/>
        </w:rPr>
        <w:t>始终把促进就业创业作为社会稳定的重要基石。</w:t>
      </w:r>
      <w:r>
        <w:rPr>
          <w:rFonts w:hint="default" w:ascii="Times New Roman" w:hAnsi="Times New Roman" w:eastAsia="方正仿宋_GBK" w:cs="Times New Roman"/>
          <w:b w:val="0"/>
          <w:bCs w:val="0"/>
          <w:color w:val="auto"/>
          <w:sz w:val="32"/>
          <w:szCs w:val="32"/>
          <w:highlight w:val="none"/>
          <w:u w:val="none"/>
        </w:rPr>
        <w:t>组织实施全民创业就业行动计划，万盛经开区成功</w:t>
      </w:r>
      <w:r>
        <w:rPr>
          <w:rFonts w:hint="eastAsia" w:eastAsia="方正仿宋_GBK" w:cs="Times New Roman"/>
          <w:b w:val="0"/>
          <w:bCs w:val="0"/>
          <w:color w:val="auto"/>
          <w:sz w:val="32"/>
          <w:szCs w:val="32"/>
          <w:highlight w:val="none"/>
          <w:u w:val="none"/>
          <w:lang w:eastAsia="zh-CN"/>
        </w:rPr>
        <w:t>创建为</w:t>
      </w:r>
      <w:r>
        <w:rPr>
          <w:rFonts w:hint="default" w:ascii="Times New Roman" w:hAnsi="Times New Roman" w:eastAsia="方正仿宋_GBK" w:cs="Times New Roman"/>
          <w:b w:val="0"/>
          <w:bCs w:val="0"/>
          <w:color w:val="auto"/>
          <w:sz w:val="32"/>
          <w:szCs w:val="32"/>
          <w:highlight w:val="none"/>
          <w:u w:val="none"/>
        </w:rPr>
        <w:t>全市首批创业型城市。建成万盛老街创业孵化园等市、区级创业孵化基地9个</w:t>
      </w:r>
      <w:r>
        <w:rPr>
          <w:rFonts w:hint="eastAsia" w:eastAsia="方正仿宋_GBK" w:cs="Times New Roman"/>
          <w:b w:val="0"/>
          <w:bCs w:val="0"/>
          <w:color w:val="auto"/>
          <w:sz w:val="32"/>
          <w:szCs w:val="32"/>
          <w:highlight w:val="none"/>
          <w:u w:val="none"/>
          <w:lang w:eastAsia="zh-CN"/>
        </w:rPr>
        <w:t>，塑造“</w:t>
      </w:r>
      <w:r>
        <w:rPr>
          <w:rFonts w:hint="default" w:ascii="Times New Roman" w:hAnsi="Times New Roman" w:eastAsia="方正仿宋_GBK" w:cs="Times New Roman"/>
          <w:b w:val="0"/>
          <w:bCs w:val="0"/>
          <w:color w:val="auto"/>
          <w:sz w:val="32"/>
          <w:szCs w:val="32"/>
          <w:highlight w:val="none"/>
          <w:u w:val="none"/>
        </w:rPr>
        <w:t>渝创渝新·创汇万盛</w:t>
      </w:r>
      <w:r>
        <w:rPr>
          <w:rFonts w:hint="eastAsia" w:eastAsia="方正仿宋_GBK" w:cs="Times New Roman"/>
          <w:b w:val="0"/>
          <w:bCs w:val="0"/>
          <w:color w:val="auto"/>
          <w:sz w:val="32"/>
          <w:szCs w:val="32"/>
          <w:highlight w:val="none"/>
          <w:u w:val="none"/>
          <w:lang w:eastAsia="zh-CN"/>
        </w:rPr>
        <w:t>”等创业创新赛事品牌</w:t>
      </w:r>
      <w:r>
        <w:rPr>
          <w:rFonts w:hint="eastAsia" w:eastAsia="方正仿宋_GBK" w:cs="Times New Roman"/>
          <w:b w:val="0"/>
          <w:bCs w:val="0"/>
          <w:color w:val="auto"/>
          <w:sz w:val="32"/>
          <w:szCs w:val="32"/>
          <w:highlight w:val="none"/>
          <w:u w:val="none"/>
          <w:lang w:val="en-US" w:eastAsia="zh-CN"/>
        </w:rPr>
        <w:t>1个</w:t>
      </w:r>
      <w:r>
        <w:rPr>
          <w:rFonts w:hint="eastAsia" w:eastAsia="方正仿宋_GBK" w:cs="Times New Roman"/>
          <w:b w:val="0"/>
          <w:bCs w:val="0"/>
          <w:color w:val="auto"/>
          <w:sz w:val="32"/>
          <w:szCs w:val="32"/>
          <w:highlight w:val="none"/>
          <w:u w:val="none"/>
          <w:lang w:eastAsia="zh-CN"/>
        </w:rPr>
        <w:t>。研究出台</w:t>
      </w:r>
      <w:r>
        <w:rPr>
          <w:rFonts w:hint="default" w:ascii="Times New Roman" w:hAnsi="Times New Roman" w:eastAsia="方正仿宋_GBK" w:cs="Times New Roman"/>
          <w:b w:val="0"/>
          <w:bCs w:val="0"/>
          <w:color w:val="auto"/>
          <w:sz w:val="32"/>
          <w:szCs w:val="32"/>
          <w:highlight w:val="none"/>
          <w:u w:val="none"/>
          <w:lang w:eastAsia="zh-CN"/>
        </w:rPr>
        <w:t>促进</w:t>
      </w:r>
      <w:r>
        <w:rPr>
          <w:rFonts w:hint="default" w:eastAsia="方正仿宋_GBK" w:cs="Times New Roman"/>
          <w:b w:val="0"/>
          <w:bCs w:val="0"/>
          <w:color w:val="auto"/>
          <w:sz w:val="32"/>
          <w:szCs w:val="32"/>
          <w:highlight w:val="none"/>
          <w:u w:val="none"/>
          <w:lang w:val="en-US" w:eastAsia="zh-CN"/>
        </w:rPr>
        <w:t>化解过剩产能职工</w:t>
      </w:r>
      <w:r>
        <w:rPr>
          <w:rFonts w:hint="default" w:ascii="Times New Roman" w:hAnsi="Times New Roman" w:eastAsia="方正仿宋_GBK" w:cs="Times New Roman"/>
          <w:b w:val="0"/>
          <w:bCs w:val="0"/>
          <w:color w:val="auto"/>
          <w:sz w:val="32"/>
          <w:szCs w:val="32"/>
          <w:highlight w:val="none"/>
          <w:u w:val="none"/>
          <w:lang w:eastAsia="zh-CN"/>
        </w:rPr>
        <w:t>就业创业扶持政策</w:t>
      </w:r>
      <w:r>
        <w:rPr>
          <w:rFonts w:hint="eastAsia" w:eastAsia="方正仿宋_GBK" w:cs="Times New Roman"/>
          <w:b w:val="0"/>
          <w:bCs w:val="0"/>
          <w:color w:val="auto"/>
          <w:sz w:val="32"/>
          <w:szCs w:val="32"/>
          <w:highlight w:val="none"/>
          <w:u w:val="none"/>
          <w:lang w:eastAsia="zh-CN"/>
        </w:rPr>
        <w:t>，</w:t>
      </w:r>
      <w:r>
        <w:rPr>
          <w:rFonts w:hint="eastAsia" w:ascii="Times New Roman" w:hAnsi="Times New Roman" w:eastAsia="方正仿宋_GBK" w:cs="Times New Roman"/>
          <w:b w:val="0"/>
          <w:bCs w:val="0"/>
          <w:color w:val="auto"/>
          <w:sz w:val="32"/>
          <w:szCs w:val="32"/>
          <w:highlight w:val="none"/>
          <w:u w:val="none"/>
          <w:lang w:eastAsia="zh-CN"/>
        </w:rPr>
        <w:t>成功帮助全区</w:t>
      </w:r>
      <w:r>
        <w:rPr>
          <w:rFonts w:hint="eastAsia" w:ascii="Times New Roman" w:hAnsi="Times New Roman" w:eastAsia="方正仿宋_GBK" w:cs="Times New Roman"/>
          <w:b w:val="0"/>
          <w:bCs w:val="0"/>
          <w:color w:val="auto"/>
          <w:sz w:val="32"/>
          <w:szCs w:val="32"/>
          <w:highlight w:val="none"/>
          <w:u w:val="none"/>
          <w:lang w:val="en-US" w:eastAsia="zh-CN"/>
        </w:rPr>
        <w:t>6000</w:t>
      </w:r>
      <w:r>
        <w:rPr>
          <w:rFonts w:hint="eastAsia" w:ascii="Times New Roman" w:hAnsi="Times New Roman" w:eastAsia="方正仿宋_GBK" w:cs="Times New Roman"/>
          <w:b w:val="0"/>
          <w:bCs w:val="0"/>
          <w:color w:val="auto"/>
          <w:sz w:val="32"/>
          <w:szCs w:val="32"/>
          <w:highlight w:val="none"/>
          <w:u w:val="none"/>
        </w:rPr>
        <w:t>余名</w:t>
      </w:r>
      <w:r>
        <w:rPr>
          <w:rFonts w:hint="eastAsia" w:eastAsia="方正仿宋_GBK" w:cs="Times New Roman"/>
          <w:b w:val="0"/>
          <w:bCs w:val="0"/>
          <w:color w:val="auto"/>
          <w:sz w:val="32"/>
          <w:szCs w:val="32"/>
          <w:highlight w:val="none"/>
          <w:u w:val="none"/>
          <w:lang w:eastAsia="zh-CN"/>
        </w:rPr>
        <w:t>登记失业人员</w:t>
      </w:r>
      <w:r>
        <w:rPr>
          <w:rFonts w:hint="eastAsia" w:ascii="Times New Roman" w:hAnsi="Times New Roman" w:eastAsia="方正仿宋_GBK" w:cs="Times New Roman"/>
          <w:b w:val="0"/>
          <w:bCs w:val="0"/>
          <w:color w:val="auto"/>
          <w:sz w:val="32"/>
          <w:szCs w:val="32"/>
          <w:highlight w:val="none"/>
          <w:u w:val="none"/>
          <w:lang w:eastAsia="zh-CN"/>
        </w:rPr>
        <w:t>实现再就业。</w:t>
      </w:r>
      <w:r>
        <w:rPr>
          <w:rFonts w:hint="eastAsia" w:ascii="方正仿宋_GBK" w:hAnsi="方正仿宋_GBK" w:eastAsia="方正仿宋_GBK" w:cs="方正仿宋_GBK"/>
          <w:b w:val="0"/>
          <w:bCs w:val="0"/>
          <w:color w:val="auto"/>
          <w:sz w:val="32"/>
          <w:szCs w:val="32"/>
          <w:highlight w:val="none"/>
          <w:u w:val="none"/>
        </w:rPr>
        <w:t>“十三五”</w:t>
      </w:r>
      <w:r>
        <w:rPr>
          <w:rFonts w:hint="eastAsia" w:ascii="方正仿宋_GBK" w:hAnsi="方正仿宋_GBK" w:eastAsia="方正仿宋_GBK" w:cs="方正仿宋_GBK"/>
          <w:b w:val="0"/>
          <w:bCs w:val="0"/>
          <w:color w:val="auto"/>
          <w:sz w:val="32"/>
          <w:szCs w:val="32"/>
          <w:highlight w:val="none"/>
          <w:u w:val="none"/>
          <w:lang w:eastAsia="zh-CN"/>
        </w:rPr>
        <w:t>末</w:t>
      </w:r>
      <w:r>
        <w:rPr>
          <w:rFonts w:hint="eastAsia" w:ascii="方正仿宋_GBK" w:hAnsi="方正仿宋_GBK" w:eastAsia="方正仿宋_GBK" w:cs="方正仿宋_GBK"/>
          <w:b w:val="0"/>
          <w:bCs w:val="0"/>
          <w:color w:val="auto"/>
          <w:sz w:val="32"/>
          <w:szCs w:val="32"/>
          <w:highlight w:val="none"/>
          <w:u w:val="none"/>
        </w:rPr>
        <w:t>，</w:t>
      </w:r>
      <w:r>
        <w:rPr>
          <w:rFonts w:hint="default" w:ascii="Times New Roman" w:hAnsi="Times New Roman" w:eastAsia="方正仿宋_GBK" w:cs="Times New Roman"/>
          <w:b w:val="0"/>
          <w:bCs w:val="0"/>
          <w:color w:val="auto"/>
          <w:sz w:val="32"/>
          <w:szCs w:val="32"/>
          <w:highlight w:val="none"/>
          <w:u w:val="none"/>
          <w:lang w:val="en-US" w:eastAsia="zh-CN"/>
        </w:rPr>
        <w:t>全区常住人口</w:t>
      </w:r>
      <w:r>
        <w:rPr>
          <w:rFonts w:hint="eastAsia" w:eastAsia="方正仿宋_GBK" w:cs="Times New Roman"/>
          <w:b w:val="0"/>
          <w:bCs w:val="0"/>
          <w:color w:val="auto"/>
          <w:sz w:val="32"/>
          <w:szCs w:val="32"/>
          <w:highlight w:val="none"/>
          <w:u w:val="none"/>
          <w:lang w:val="en-US" w:eastAsia="zh-CN"/>
        </w:rPr>
        <w:t>23.59</w:t>
      </w:r>
      <w:r>
        <w:rPr>
          <w:rFonts w:hint="default" w:ascii="Times New Roman" w:hAnsi="Times New Roman" w:eastAsia="方正仿宋_GBK" w:cs="Times New Roman"/>
          <w:b w:val="0"/>
          <w:bCs w:val="0"/>
          <w:color w:val="auto"/>
          <w:sz w:val="32"/>
          <w:szCs w:val="32"/>
          <w:highlight w:val="none"/>
          <w:u w:val="none"/>
          <w:lang w:val="en-US" w:eastAsia="zh-CN"/>
        </w:rPr>
        <w:t>万人，适龄劳动力16.6万人，已就业15.2万人，其中第一产业1.5万人、第二产业5万人、第三产业8.7万人</w:t>
      </w:r>
      <w:r>
        <w:rPr>
          <w:rFonts w:hint="eastAsia" w:eastAsia="方正仿宋_GBK" w:cs="Times New Roman"/>
          <w:b w:val="0"/>
          <w:bCs w:val="0"/>
          <w:color w:val="auto"/>
          <w:sz w:val="32"/>
          <w:szCs w:val="32"/>
          <w:highlight w:val="none"/>
          <w:u w:val="none"/>
          <w:lang w:val="en-US" w:eastAsia="zh-CN"/>
        </w:rPr>
        <w:t>。“十三五”期间，</w:t>
      </w:r>
      <w:r>
        <w:rPr>
          <w:rFonts w:hint="eastAsia" w:ascii="方正仿宋_GBK" w:hAnsi="方正仿宋_GBK" w:eastAsia="方正仿宋_GBK" w:cs="方正仿宋_GBK"/>
          <w:b w:val="0"/>
          <w:bCs w:val="0"/>
          <w:color w:val="auto"/>
          <w:sz w:val="32"/>
          <w:szCs w:val="32"/>
          <w:highlight w:val="none"/>
          <w:u w:val="none"/>
        </w:rPr>
        <w:t>城镇新增就业人数</w:t>
      </w:r>
      <w:r>
        <w:rPr>
          <w:rFonts w:hint="eastAsia" w:ascii="方正仿宋_GBK" w:hAnsi="方正仿宋_GBK" w:eastAsia="方正仿宋_GBK" w:cs="方正仿宋_GBK"/>
          <w:b w:val="0"/>
          <w:bCs w:val="0"/>
          <w:color w:val="auto"/>
          <w:sz w:val="32"/>
          <w:szCs w:val="32"/>
          <w:highlight w:val="none"/>
          <w:u w:val="none"/>
          <w:lang w:eastAsia="zh-CN"/>
        </w:rPr>
        <w:t>累计</w:t>
      </w:r>
      <w:r>
        <w:rPr>
          <w:rFonts w:hint="eastAsia" w:ascii="方正仿宋_GBK" w:hAnsi="方正仿宋_GBK" w:eastAsia="方正仿宋_GBK" w:cs="方正仿宋_GBK"/>
          <w:b w:val="0"/>
          <w:bCs w:val="0"/>
          <w:color w:val="auto"/>
          <w:sz w:val="32"/>
          <w:szCs w:val="32"/>
          <w:highlight w:val="none"/>
          <w:u w:val="none"/>
        </w:rPr>
        <w:t>达</w:t>
      </w:r>
      <w:r>
        <w:rPr>
          <w:rFonts w:hint="default" w:ascii="Times New Roman" w:hAnsi="Times New Roman" w:eastAsia="方正仿宋_GBK" w:cs="Times New Roman"/>
          <w:b w:val="0"/>
          <w:bCs w:val="0"/>
          <w:color w:val="auto"/>
          <w:sz w:val="32"/>
          <w:szCs w:val="32"/>
          <w:highlight w:val="none"/>
          <w:u w:val="none"/>
        </w:rPr>
        <w:t>到</w:t>
      </w:r>
      <w:r>
        <w:rPr>
          <w:rFonts w:hint="eastAsia" w:eastAsia="方正仿宋_GBK" w:cs="Times New Roman"/>
          <w:b w:val="0"/>
          <w:bCs w:val="0"/>
          <w:color w:val="auto"/>
          <w:sz w:val="32"/>
          <w:szCs w:val="32"/>
          <w:highlight w:val="none"/>
          <w:u w:val="none"/>
          <w:lang w:val="en-US" w:eastAsia="zh-CN"/>
        </w:rPr>
        <w:t>3.3万</w:t>
      </w:r>
      <w:r>
        <w:rPr>
          <w:rFonts w:hint="default" w:ascii="Times New Roman" w:hAnsi="Times New Roman" w:eastAsia="方正仿宋_GBK" w:cs="Times New Roman"/>
          <w:b w:val="0"/>
          <w:bCs w:val="0"/>
          <w:color w:val="auto"/>
          <w:sz w:val="32"/>
          <w:szCs w:val="32"/>
          <w:highlight w:val="none"/>
          <w:u w:val="none"/>
        </w:rPr>
        <w:t>人，城镇调查失业率保持在</w:t>
      </w:r>
      <w:r>
        <w:rPr>
          <w:rFonts w:hint="eastAsia" w:eastAsia="方正仿宋_GBK" w:cs="Times New Roman"/>
          <w:b w:val="0"/>
          <w:bCs w:val="0"/>
          <w:color w:val="auto"/>
          <w:sz w:val="32"/>
          <w:szCs w:val="32"/>
          <w:highlight w:val="none"/>
          <w:u w:val="none"/>
          <w:lang w:val="en-US" w:eastAsia="zh-CN"/>
        </w:rPr>
        <w:t>5</w:t>
      </w:r>
      <w:r>
        <w:rPr>
          <w:rFonts w:hint="default" w:ascii="Times New Roman" w:hAnsi="Times New Roman" w:eastAsia="方正仿宋_GBK" w:cs="Times New Roman"/>
          <w:b w:val="0"/>
          <w:bCs w:val="0"/>
          <w:color w:val="auto"/>
          <w:sz w:val="32"/>
          <w:szCs w:val="32"/>
          <w:highlight w:val="none"/>
          <w:u w:val="none"/>
        </w:rPr>
        <w:t>%的较低水平。</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eastAsia="方正仿宋_GBK" w:cs="Times New Roman"/>
          <w:b w:val="0"/>
          <w:bCs w:val="0"/>
          <w:color w:val="auto"/>
          <w:sz w:val="32"/>
          <w:szCs w:val="32"/>
          <w:highlight w:val="none"/>
          <w:u w:val="none"/>
          <w:lang w:val="en-US" w:eastAsia="zh-CN"/>
        </w:rPr>
      </w:pPr>
      <w:r>
        <w:rPr>
          <w:rFonts w:hint="eastAsia" w:ascii="方正楷体_GBK" w:hAnsi="方正楷体_GBK" w:eastAsia="方正楷体_GBK" w:cs="方正楷体_GBK"/>
          <w:b w:val="0"/>
          <w:bCs w:val="0"/>
          <w:color w:val="auto"/>
          <w:sz w:val="32"/>
          <w:szCs w:val="32"/>
          <w:highlight w:val="none"/>
          <w:u w:val="none"/>
          <w:lang w:eastAsia="zh-CN"/>
        </w:rPr>
        <w:t>着眼体制机制改革，社保体系更加完善。</w:t>
      </w:r>
      <w:r>
        <w:rPr>
          <w:rFonts w:hint="default" w:ascii="Times New Roman" w:hAnsi="Times New Roman" w:eastAsia="方正仿宋_GBK" w:cs="Times New Roman"/>
          <w:b w:val="0"/>
          <w:bCs w:val="0"/>
          <w:color w:val="auto"/>
          <w:sz w:val="32"/>
          <w:szCs w:val="32"/>
          <w:highlight w:val="none"/>
          <w:u w:val="none"/>
          <w:lang w:val="en-US" w:eastAsia="zh-CN"/>
        </w:rPr>
        <w:t>坚持</w:t>
      </w:r>
      <w:r>
        <w:rPr>
          <w:rFonts w:hint="default" w:ascii="Times New Roman" w:hAnsi="Times New Roman" w:eastAsia="方正仿宋_GBK" w:cs="Times New Roman"/>
          <w:b w:val="0"/>
          <w:bCs w:val="0"/>
          <w:color w:val="auto"/>
          <w:sz w:val="32"/>
          <w:szCs w:val="32"/>
          <w:highlight w:val="none"/>
          <w:u w:val="none"/>
          <w:lang w:val="en-US"/>
        </w:rPr>
        <w:t>以推进社保制度全覆盖、稳步提高社保待遇、确保社保基金安全可持续为重点，注重从制度公平、方式创新、资源优化、群众满意上破解难题，逐步建立起覆盖城乡的社保制度体系。</w:t>
      </w:r>
      <w:r>
        <w:rPr>
          <w:rFonts w:hint="eastAsia" w:eastAsia="方正仿宋_GBK" w:cs="Times New Roman"/>
          <w:b w:val="0"/>
          <w:bCs w:val="0"/>
          <w:color w:val="auto"/>
          <w:sz w:val="32"/>
          <w:szCs w:val="32"/>
          <w:highlight w:val="none"/>
          <w:u w:val="none"/>
          <w:lang w:val="en-US" w:eastAsia="zh-CN"/>
        </w:rPr>
        <w:t>机关事业单位养老保险、</w:t>
      </w:r>
      <w:r>
        <w:rPr>
          <w:rFonts w:hint="default" w:ascii="Times New Roman" w:hAnsi="Times New Roman" w:eastAsia="方正仿宋_GBK" w:cs="Times New Roman"/>
          <w:b w:val="0"/>
          <w:bCs w:val="0"/>
          <w:color w:val="auto"/>
          <w:sz w:val="32"/>
          <w:szCs w:val="32"/>
          <w:highlight w:val="none"/>
          <w:u w:val="none"/>
          <w:lang w:val="en-US" w:eastAsia="zh-CN"/>
        </w:rPr>
        <w:t>村干部养老保险</w:t>
      </w:r>
      <w:r>
        <w:rPr>
          <w:rFonts w:hint="eastAsia" w:eastAsia="方正仿宋_GBK" w:cs="Times New Roman"/>
          <w:b w:val="0"/>
          <w:bCs w:val="0"/>
          <w:color w:val="auto"/>
          <w:sz w:val="32"/>
          <w:szCs w:val="32"/>
          <w:highlight w:val="none"/>
          <w:u w:val="none"/>
          <w:lang w:val="en-US" w:eastAsia="zh-CN"/>
        </w:rPr>
        <w:t>、</w:t>
      </w:r>
      <w:r>
        <w:rPr>
          <w:rFonts w:hint="default" w:ascii="Times New Roman" w:hAnsi="Times New Roman" w:eastAsia="方正仿宋_GBK" w:cs="Times New Roman"/>
          <w:b w:val="0"/>
          <w:bCs w:val="0"/>
          <w:color w:val="auto"/>
          <w:sz w:val="32"/>
          <w:szCs w:val="32"/>
          <w:highlight w:val="none"/>
          <w:u w:val="none"/>
          <w:lang w:val="en-US"/>
        </w:rPr>
        <w:t>居民医保大病保险</w:t>
      </w:r>
      <w:r>
        <w:rPr>
          <w:rFonts w:hint="eastAsia" w:eastAsia="方正仿宋_GBK" w:cs="Times New Roman"/>
          <w:b w:val="0"/>
          <w:bCs w:val="0"/>
          <w:color w:val="auto"/>
          <w:sz w:val="32"/>
          <w:szCs w:val="32"/>
          <w:highlight w:val="none"/>
          <w:u w:val="none"/>
          <w:lang w:val="en-US" w:eastAsia="zh-CN"/>
        </w:rPr>
        <w:t>、医保</w:t>
      </w:r>
      <w:r>
        <w:rPr>
          <w:rFonts w:hint="default" w:ascii="Times New Roman" w:hAnsi="Times New Roman" w:eastAsia="方正仿宋_GBK" w:cs="Times New Roman"/>
          <w:b w:val="0"/>
          <w:bCs w:val="0"/>
          <w:color w:val="auto"/>
          <w:sz w:val="32"/>
          <w:szCs w:val="32"/>
          <w:highlight w:val="none"/>
          <w:u w:val="none"/>
          <w:lang w:eastAsia="zh-CN"/>
        </w:rPr>
        <w:t>跨省异地联网结算</w:t>
      </w:r>
      <w:r>
        <w:rPr>
          <w:rFonts w:hint="eastAsia" w:eastAsia="方正仿宋_GBK" w:cs="Times New Roman"/>
          <w:b w:val="0"/>
          <w:bCs w:val="0"/>
          <w:color w:val="auto"/>
          <w:sz w:val="32"/>
          <w:szCs w:val="32"/>
          <w:highlight w:val="none"/>
          <w:u w:val="none"/>
          <w:lang w:eastAsia="zh-CN"/>
        </w:rPr>
        <w:t>、</w:t>
      </w:r>
      <w:r>
        <w:rPr>
          <w:rFonts w:hint="default" w:ascii="Times New Roman" w:hAnsi="Times New Roman" w:eastAsia="方正仿宋_GBK" w:cs="Times New Roman"/>
          <w:b w:val="0"/>
          <w:bCs w:val="0"/>
          <w:color w:val="auto"/>
          <w:sz w:val="32"/>
          <w:szCs w:val="32"/>
          <w:highlight w:val="none"/>
          <w:u w:val="none"/>
        </w:rPr>
        <w:t>药品集中采购</w:t>
      </w:r>
      <w:r>
        <w:rPr>
          <w:rFonts w:hint="eastAsia" w:eastAsia="方正仿宋_GBK" w:cs="Times New Roman"/>
          <w:b w:val="0"/>
          <w:bCs w:val="0"/>
          <w:color w:val="auto"/>
          <w:sz w:val="32"/>
          <w:szCs w:val="32"/>
          <w:highlight w:val="none"/>
          <w:u w:val="none"/>
          <w:lang w:eastAsia="zh-CN"/>
        </w:rPr>
        <w:t>等重大改革事项稳步推进，城乡居民养老、医疗、生育、失业等社会保险待遇逐年提高。</w:t>
      </w:r>
      <w:r>
        <w:rPr>
          <w:rFonts w:hint="eastAsia" w:ascii="方正仿宋_GBK" w:hAnsi="方正仿宋_GBK" w:eastAsia="方正仿宋_GBK" w:cs="方正仿宋_GBK"/>
          <w:b w:val="0"/>
          <w:bCs w:val="0"/>
          <w:color w:val="auto"/>
          <w:sz w:val="32"/>
          <w:szCs w:val="32"/>
          <w:highlight w:val="none"/>
          <w:u w:val="none"/>
        </w:rPr>
        <w:t>“十三五”</w:t>
      </w:r>
      <w:r>
        <w:rPr>
          <w:rFonts w:hint="eastAsia" w:ascii="方正仿宋_GBK" w:hAnsi="方正仿宋_GBK" w:eastAsia="方正仿宋_GBK" w:cs="方正仿宋_GBK"/>
          <w:b w:val="0"/>
          <w:bCs w:val="0"/>
          <w:color w:val="auto"/>
          <w:sz w:val="32"/>
          <w:szCs w:val="32"/>
          <w:highlight w:val="none"/>
          <w:u w:val="none"/>
          <w:lang w:eastAsia="zh-CN"/>
        </w:rPr>
        <w:t>期间，</w:t>
      </w:r>
      <w:r>
        <w:rPr>
          <w:rFonts w:hint="default" w:ascii="Times New Roman" w:hAnsi="Times New Roman" w:eastAsia="方正仿宋_GBK" w:cs="Times New Roman"/>
          <w:b w:val="0"/>
          <w:bCs w:val="0"/>
          <w:color w:val="auto"/>
          <w:sz w:val="32"/>
          <w:szCs w:val="32"/>
          <w:highlight w:val="none"/>
          <w:u w:val="none"/>
          <w:lang w:val="en-US"/>
        </w:rPr>
        <w:t>全区</w:t>
      </w:r>
      <w:r>
        <w:rPr>
          <w:rFonts w:hint="eastAsia" w:eastAsia="方正仿宋_GBK" w:cs="Times New Roman"/>
          <w:b w:val="0"/>
          <w:bCs w:val="0"/>
          <w:color w:val="auto"/>
          <w:sz w:val="32"/>
          <w:szCs w:val="32"/>
          <w:highlight w:val="none"/>
          <w:u w:val="none"/>
          <w:lang w:val="en-US" w:eastAsia="zh-CN"/>
        </w:rPr>
        <w:t>城乡居民基本</w:t>
      </w:r>
      <w:r>
        <w:rPr>
          <w:rFonts w:hint="default" w:ascii="Times New Roman" w:hAnsi="Times New Roman" w:eastAsia="方正仿宋_GBK" w:cs="Times New Roman"/>
          <w:b w:val="0"/>
          <w:bCs w:val="0"/>
          <w:color w:val="auto"/>
          <w:sz w:val="32"/>
          <w:szCs w:val="32"/>
          <w:highlight w:val="none"/>
          <w:u w:val="none"/>
          <w:lang w:val="en-US"/>
        </w:rPr>
        <w:t>养老</w:t>
      </w:r>
      <w:r>
        <w:rPr>
          <w:rFonts w:hint="eastAsia" w:eastAsia="方正仿宋_GBK" w:cs="Times New Roman"/>
          <w:b w:val="0"/>
          <w:bCs w:val="0"/>
          <w:color w:val="auto"/>
          <w:sz w:val="32"/>
          <w:szCs w:val="32"/>
          <w:highlight w:val="none"/>
          <w:u w:val="none"/>
          <w:lang w:val="en-US" w:eastAsia="zh-CN"/>
        </w:rPr>
        <w:t>保险</w:t>
      </w:r>
      <w:r>
        <w:rPr>
          <w:rFonts w:hint="default" w:ascii="Times New Roman" w:hAnsi="Times New Roman" w:eastAsia="方正仿宋_GBK" w:cs="Times New Roman"/>
          <w:b w:val="0"/>
          <w:bCs w:val="0"/>
          <w:color w:val="auto"/>
          <w:sz w:val="32"/>
          <w:szCs w:val="32"/>
          <w:highlight w:val="none"/>
          <w:u w:val="none"/>
          <w:lang w:val="en-US"/>
        </w:rPr>
        <w:t>、</w:t>
      </w:r>
      <w:r>
        <w:rPr>
          <w:rFonts w:hint="eastAsia" w:eastAsia="方正仿宋_GBK" w:cs="Times New Roman"/>
          <w:b w:val="0"/>
          <w:bCs w:val="0"/>
          <w:color w:val="auto"/>
          <w:sz w:val="32"/>
          <w:szCs w:val="32"/>
          <w:highlight w:val="none"/>
          <w:u w:val="none"/>
          <w:lang w:val="en-US" w:eastAsia="zh-CN"/>
        </w:rPr>
        <w:t>基本医疗保险</w:t>
      </w:r>
      <w:r>
        <w:rPr>
          <w:rFonts w:hint="default" w:ascii="Times New Roman" w:hAnsi="Times New Roman" w:eastAsia="方正仿宋_GBK" w:cs="Times New Roman"/>
          <w:b w:val="0"/>
          <w:bCs w:val="0"/>
          <w:color w:val="auto"/>
          <w:sz w:val="32"/>
          <w:szCs w:val="32"/>
          <w:highlight w:val="none"/>
          <w:u w:val="none"/>
          <w:lang w:val="en-US"/>
        </w:rPr>
        <w:t>参保人数</w:t>
      </w:r>
      <w:r>
        <w:rPr>
          <w:rFonts w:hint="default" w:ascii="Times New Roman" w:hAnsi="Times New Roman" w:eastAsia="方正仿宋_GBK" w:cs="Times New Roman"/>
          <w:b w:val="0"/>
          <w:bCs w:val="0"/>
          <w:color w:val="auto"/>
          <w:sz w:val="32"/>
          <w:szCs w:val="32"/>
          <w:highlight w:val="none"/>
          <w:u w:val="none"/>
          <w:lang w:val="en-US" w:eastAsia="zh-CN"/>
        </w:rPr>
        <w:t>年均</w:t>
      </w:r>
      <w:r>
        <w:rPr>
          <w:rFonts w:hint="default" w:ascii="Times New Roman" w:hAnsi="Times New Roman" w:eastAsia="方正仿宋_GBK" w:cs="Times New Roman"/>
          <w:b w:val="0"/>
          <w:bCs w:val="0"/>
          <w:color w:val="auto"/>
          <w:sz w:val="32"/>
          <w:szCs w:val="32"/>
          <w:highlight w:val="none"/>
          <w:u w:val="none"/>
          <w:lang w:val="en-US"/>
        </w:rPr>
        <w:t>稳定在95%以上，工伤保险、失业保险、生育保险基本实现应保尽保</w:t>
      </w:r>
      <w:r>
        <w:rPr>
          <w:rFonts w:hint="eastAsia" w:eastAsia="方正仿宋_GBK" w:cs="Times New Roman"/>
          <w:b w:val="0"/>
          <w:bCs w:val="0"/>
          <w:color w:val="auto"/>
          <w:sz w:val="32"/>
          <w:szCs w:val="32"/>
          <w:highlight w:val="none"/>
          <w:u w:val="none"/>
          <w:lang w:val="en-US" w:eastAsia="zh-CN"/>
        </w:rPr>
        <w:t>，各类社会保险待遇实现应享尽享，社保基金安全有序运行，群众幸福感、获得感不断提升。</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eastAsia="方正仿宋_GBK" w:cs="Times New Roman"/>
          <w:b w:val="0"/>
          <w:bCs w:val="0"/>
          <w:color w:val="auto"/>
          <w:sz w:val="32"/>
          <w:szCs w:val="32"/>
          <w:highlight w:val="none"/>
          <w:u w:val="none"/>
          <w:lang w:val="en-US" w:eastAsia="zh-CN"/>
        </w:rPr>
      </w:pPr>
      <w:r>
        <w:rPr>
          <w:rFonts w:hint="eastAsia" w:ascii="方正楷体_GBK" w:hAnsi="方正楷体_GBK" w:eastAsia="方正楷体_GBK" w:cs="方正楷体_GBK"/>
          <w:b w:val="0"/>
          <w:bCs w:val="0"/>
          <w:color w:val="auto"/>
          <w:sz w:val="32"/>
          <w:szCs w:val="32"/>
          <w:highlight w:val="none"/>
          <w:u w:val="none"/>
          <w:lang w:eastAsia="zh-CN"/>
        </w:rPr>
        <w:t>强化人才引育，人力资源更有保障。</w:t>
      </w:r>
      <w:r>
        <w:rPr>
          <w:rFonts w:hint="default" w:ascii="Times New Roman" w:hAnsi="Times New Roman" w:eastAsia="方正仿宋_GBK" w:cs="Times New Roman"/>
          <w:b w:val="0"/>
          <w:bCs w:val="0"/>
          <w:color w:val="auto"/>
          <w:sz w:val="32"/>
          <w:szCs w:val="32"/>
          <w:highlight w:val="none"/>
          <w:u w:val="none"/>
          <w:lang w:val="en-US" w:eastAsia="zh-CN"/>
        </w:rPr>
        <w:t>坚持把人才优先作为工作主线，认真落实人才强区行动计划，持续深化人才体制机制改革。</w:t>
      </w:r>
      <w:r>
        <w:rPr>
          <w:rFonts w:hint="default" w:ascii="Times New Roman" w:hAnsi="Times New Roman" w:eastAsia="方正仿宋_GBK" w:cs="Times New Roman"/>
          <w:b w:val="0"/>
          <w:bCs w:val="0"/>
          <w:color w:val="auto"/>
          <w:sz w:val="32"/>
          <w:szCs w:val="32"/>
          <w:highlight w:val="none"/>
          <w:u w:val="none"/>
        </w:rPr>
        <w:t>大力引进各领域急需紧缺人才</w:t>
      </w:r>
      <w:r>
        <w:rPr>
          <w:rFonts w:hint="eastAsia" w:eastAsia="方正仿宋_GBK" w:cs="Times New Roman"/>
          <w:b w:val="0"/>
          <w:bCs w:val="0"/>
          <w:color w:val="auto"/>
          <w:sz w:val="32"/>
          <w:szCs w:val="32"/>
          <w:highlight w:val="none"/>
          <w:u w:val="none"/>
          <w:lang w:eastAsia="zh-CN"/>
        </w:rPr>
        <w:t>，主动</w:t>
      </w:r>
      <w:r>
        <w:rPr>
          <w:rFonts w:hint="eastAsia" w:eastAsia="方正仿宋_GBK" w:cs="Times New Roman"/>
          <w:b w:val="0"/>
          <w:bCs w:val="0"/>
          <w:color w:val="auto"/>
          <w:sz w:val="32"/>
          <w:szCs w:val="32"/>
          <w:highlight w:val="none"/>
          <w:u w:val="none"/>
          <w:lang w:val="en-US" w:eastAsia="zh-CN"/>
        </w:rPr>
        <w:t>服务区级“三类人才”，</w:t>
      </w:r>
      <w:r>
        <w:rPr>
          <w:rFonts w:hint="default" w:ascii="Times New Roman" w:hAnsi="Times New Roman" w:eastAsia="方正仿宋_GBK" w:cs="Times New Roman"/>
          <w:b w:val="0"/>
          <w:bCs w:val="0"/>
          <w:color w:val="auto"/>
          <w:sz w:val="32"/>
          <w:szCs w:val="32"/>
          <w:highlight w:val="none"/>
          <w:u w:val="none"/>
          <w:lang w:val="en-US" w:eastAsia="zh-CN"/>
        </w:rPr>
        <w:t>组织</w:t>
      </w:r>
      <w:r>
        <w:rPr>
          <w:rFonts w:hint="eastAsia" w:eastAsia="方正仿宋_GBK" w:cs="Times New Roman"/>
          <w:b w:val="0"/>
          <w:bCs w:val="0"/>
          <w:color w:val="auto"/>
          <w:sz w:val="32"/>
          <w:szCs w:val="32"/>
          <w:highlight w:val="none"/>
          <w:u w:val="none"/>
          <w:lang w:val="en-US" w:eastAsia="zh-CN"/>
        </w:rPr>
        <w:t>兑现各类</w:t>
      </w:r>
      <w:r>
        <w:rPr>
          <w:rFonts w:hint="default" w:ascii="Times New Roman" w:hAnsi="Times New Roman" w:eastAsia="方正仿宋_GBK" w:cs="Times New Roman"/>
          <w:b w:val="0"/>
          <w:bCs w:val="0"/>
          <w:color w:val="auto"/>
          <w:sz w:val="32"/>
          <w:szCs w:val="32"/>
          <w:highlight w:val="none"/>
          <w:u w:val="none"/>
          <w:lang w:val="en-US" w:eastAsia="zh-CN"/>
        </w:rPr>
        <w:t>工资福利政策</w:t>
      </w:r>
      <w:r>
        <w:rPr>
          <w:rFonts w:hint="eastAsia" w:eastAsia="方正仿宋_GBK" w:cs="Times New Roman"/>
          <w:b w:val="0"/>
          <w:bCs w:val="0"/>
          <w:color w:val="auto"/>
          <w:sz w:val="32"/>
          <w:szCs w:val="32"/>
          <w:highlight w:val="none"/>
          <w:u w:val="none"/>
          <w:lang w:val="en-US" w:eastAsia="zh-CN"/>
        </w:rPr>
        <w:t>，</w:t>
      </w:r>
      <w:r>
        <w:rPr>
          <w:rFonts w:hint="default" w:ascii="Times New Roman" w:hAnsi="Times New Roman" w:eastAsia="方正仿宋_GBK" w:cs="Times New Roman"/>
          <w:b w:val="0"/>
          <w:bCs w:val="0"/>
          <w:color w:val="auto"/>
          <w:sz w:val="32"/>
          <w:szCs w:val="32"/>
          <w:highlight w:val="none"/>
          <w:u w:val="none"/>
          <w:lang w:val="en-US" w:eastAsia="zh-CN"/>
        </w:rPr>
        <w:t>稳步</w:t>
      </w:r>
      <w:r>
        <w:rPr>
          <w:rFonts w:hint="eastAsia" w:eastAsia="方正仿宋_GBK" w:cs="Times New Roman"/>
          <w:b w:val="0"/>
          <w:bCs w:val="0"/>
          <w:color w:val="auto"/>
          <w:sz w:val="32"/>
          <w:szCs w:val="32"/>
          <w:highlight w:val="none"/>
          <w:u w:val="none"/>
          <w:lang w:val="en-US" w:eastAsia="zh-CN"/>
        </w:rPr>
        <w:t>试点</w:t>
      </w:r>
      <w:r>
        <w:rPr>
          <w:rFonts w:hint="default" w:ascii="Times New Roman" w:hAnsi="Times New Roman" w:eastAsia="方正仿宋_GBK" w:cs="Times New Roman"/>
          <w:b w:val="0"/>
          <w:bCs w:val="0"/>
          <w:color w:val="auto"/>
          <w:sz w:val="32"/>
          <w:szCs w:val="32"/>
          <w:highlight w:val="none"/>
          <w:u w:val="none"/>
          <w:lang w:val="en-US" w:eastAsia="zh-CN"/>
        </w:rPr>
        <w:t>公立医院薪酬制度改革</w:t>
      </w:r>
      <w:r>
        <w:rPr>
          <w:rFonts w:hint="eastAsia" w:eastAsia="方正仿宋_GBK" w:cs="Times New Roman"/>
          <w:b w:val="0"/>
          <w:bCs w:val="0"/>
          <w:color w:val="auto"/>
          <w:sz w:val="32"/>
          <w:szCs w:val="32"/>
          <w:highlight w:val="none"/>
          <w:u w:val="none"/>
          <w:lang w:val="en-US" w:eastAsia="zh-CN"/>
        </w:rPr>
        <w:t>，</w:t>
      </w:r>
      <w:r>
        <w:rPr>
          <w:rFonts w:hint="default" w:ascii="Times New Roman" w:hAnsi="Times New Roman" w:eastAsia="方正仿宋_GBK" w:cs="Times New Roman"/>
          <w:b w:val="0"/>
          <w:bCs w:val="0"/>
          <w:color w:val="auto"/>
          <w:sz w:val="32"/>
          <w:szCs w:val="32"/>
          <w:highlight w:val="none"/>
          <w:u w:val="none"/>
          <w:lang w:val="en-US" w:eastAsia="zh-CN"/>
        </w:rPr>
        <w:t>探索推进国有企业负责人薪酬制度改革</w:t>
      </w:r>
      <w:r>
        <w:rPr>
          <w:rFonts w:hint="eastAsia" w:eastAsia="方正仿宋_GBK" w:cs="Times New Roman"/>
          <w:b w:val="0"/>
          <w:bCs w:val="0"/>
          <w:color w:val="auto"/>
          <w:sz w:val="32"/>
          <w:szCs w:val="32"/>
          <w:highlight w:val="none"/>
          <w:u w:val="none"/>
          <w:lang w:val="en-US" w:eastAsia="zh-CN"/>
        </w:rPr>
        <w:t>，激励人才干事创业的长效机制更加健全。</w:t>
      </w:r>
      <w:r>
        <w:rPr>
          <w:rFonts w:hint="default" w:eastAsia="方正仿宋_GBK" w:cs="Times New Roman"/>
          <w:b w:val="0"/>
          <w:bCs w:val="0"/>
          <w:color w:val="auto"/>
          <w:sz w:val="32"/>
          <w:szCs w:val="32"/>
          <w:highlight w:val="none"/>
          <w:u w:val="none"/>
          <w:lang w:val="en-US" w:eastAsia="zh-CN"/>
        </w:rPr>
        <w:t>实施市民就业创业素质提升工程，</w:t>
      </w:r>
      <w:r>
        <w:rPr>
          <w:rFonts w:hint="eastAsia" w:eastAsia="方正仿宋_GBK" w:cs="Times New Roman"/>
          <w:b w:val="0"/>
          <w:bCs w:val="0"/>
          <w:color w:val="auto"/>
          <w:sz w:val="32"/>
          <w:szCs w:val="32"/>
          <w:highlight w:val="none"/>
          <w:u w:val="none"/>
          <w:lang w:val="en-US" w:eastAsia="zh-CN"/>
        </w:rPr>
        <w:t>开展</w:t>
      </w:r>
      <w:r>
        <w:rPr>
          <w:rFonts w:hint="eastAsia" w:eastAsia="方正仿宋_GBK"/>
          <w:b w:val="0"/>
          <w:bCs w:val="0"/>
          <w:color w:val="auto"/>
          <w:kern w:val="0"/>
          <w:sz w:val="32"/>
          <w:szCs w:val="32"/>
          <w:highlight w:val="none"/>
          <w:u w:val="none"/>
          <w:lang w:eastAsia="zh-CN"/>
        </w:rPr>
        <w:t>职业技能提升行动三年计划，</w:t>
      </w:r>
      <w:r>
        <w:rPr>
          <w:rFonts w:hint="eastAsia" w:eastAsia="方正仿宋_GBK" w:cs="Times New Roman"/>
          <w:b w:val="0"/>
          <w:bCs w:val="0"/>
          <w:color w:val="auto"/>
          <w:sz w:val="32"/>
          <w:szCs w:val="32"/>
          <w:highlight w:val="none"/>
          <w:u w:val="none"/>
          <w:lang w:val="en-US" w:eastAsia="zh-CN"/>
        </w:rPr>
        <w:t>举办</w:t>
      </w:r>
      <w:r>
        <w:rPr>
          <w:rFonts w:hint="eastAsia" w:ascii="方正仿宋_GBK" w:hAnsi="方正仿宋_GBK" w:eastAsia="方正仿宋_GBK" w:cs="方正仿宋_GBK"/>
          <w:b w:val="0"/>
          <w:bCs w:val="0"/>
          <w:color w:val="auto"/>
          <w:sz w:val="32"/>
          <w:szCs w:val="32"/>
          <w:highlight w:val="none"/>
          <w:u w:val="none"/>
          <w:lang w:eastAsia="zh-CN"/>
        </w:rPr>
        <w:t>“盛人一筹”等职业技能大赛，为万盛转型发展提供了坚强的人才保障。截至“十三五”末，全区</w:t>
      </w:r>
      <w:r>
        <w:rPr>
          <w:rFonts w:hint="default" w:eastAsia="方正仿宋_GBK" w:cs="Times New Roman"/>
          <w:b w:val="0"/>
          <w:bCs w:val="0"/>
          <w:color w:val="auto"/>
          <w:sz w:val="32"/>
          <w:szCs w:val="32"/>
          <w:highlight w:val="none"/>
          <w:u w:val="none"/>
          <w:lang w:val="en-US" w:eastAsia="zh-CN"/>
        </w:rPr>
        <w:t>技能人才总量达</w:t>
      </w:r>
      <w:r>
        <w:rPr>
          <w:rFonts w:hint="eastAsia" w:eastAsia="方正仿宋_GBK" w:cs="Times New Roman"/>
          <w:b w:val="0"/>
          <w:bCs w:val="0"/>
          <w:color w:val="auto"/>
          <w:sz w:val="32"/>
          <w:szCs w:val="32"/>
          <w:highlight w:val="none"/>
          <w:u w:val="none"/>
          <w:lang w:val="en-US" w:eastAsia="zh-CN"/>
        </w:rPr>
        <w:t>3.1万</w:t>
      </w:r>
      <w:r>
        <w:rPr>
          <w:rFonts w:hint="default" w:eastAsia="方正仿宋_GBK" w:cs="Times New Roman"/>
          <w:b w:val="0"/>
          <w:bCs w:val="0"/>
          <w:color w:val="auto"/>
          <w:sz w:val="32"/>
          <w:szCs w:val="32"/>
          <w:highlight w:val="none"/>
          <w:u w:val="none"/>
          <w:lang w:val="en-US" w:eastAsia="zh-CN"/>
        </w:rPr>
        <w:t>人</w:t>
      </w:r>
      <w:r>
        <w:rPr>
          <w:rFonts w:hint="eastAsia" w:eastAsia="方正仿宋_GBK" w:cs="Times New Roman"/>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lang w:eastAsia="zh-CN"/>
        </w:rPr>
        <w:t>防范化解风险，劳动关系更加和谐。</w:t>
      </w:r>
      <w:r>
        <w:rPr>
          <w:rFonts w:hint="eastAsia" w:ascii="方正仿宋_GBK" w:hAnsi="方正仿宋_GBK" w:eastAsia="方正仿宋_GBK" w:cs="方正仿宋_GBK"/>
          <w:b w:val="0"/>
          <w:bCs w:val="0"/>
          <w:color w:val="auto"/>
          <w:sz w:val="32"/>
          <w:szCs w:val="32"/>
          <w:highlight w:val="none"/>
          <w:u w:val="none"/>
        </w:rPr>
        <w:t>坚持“预防”和“处置”双管齐下，着力治理源头、协商调解、风险防范</w:t>
      </w:r>
      <w:r>
        <w:rPr>
          <w:rFonts w:hint="eastAsia" w:ascii="方正仿宋_GBK" w:hAnsi="方正仿宋_GBK" w:eastAsia="方正仿宋_GBK" w:cs="方正仿宋_GBK"/>
          <w:b w:val="0"/>
          <w:bCs w:val="0"/>
          <w:color w:val="auto"/>
          <w:sz w:val="32"/>
          <w:szCs w:val="32"/>
          <w:highlight w:val="none"/>
          <w:u w:val="none"/>
          <w:lang w:eastAsia="zh-CN"/>
        </w:rPr>
        <w:t>，全力</w:t>
      </w:r>
      <w:r>
        <w:rPr>
          <w:rFonts w:hint="eastAsia" w:ascii="方正仿宋_GBK" w:hAnsi="方正仿宋_GBK" w:eastAsia="方正仿宋_GBK" w:cs="方正仿宋_GBK"/>
          <w:b w:val="0"/>
          <w:bCs w:val="0"/>
          <w:color w:val="auto"/>
          <w:sz w:val="32"/>
          <w:szCs w:val="32"/>
          <w:highlight w:val="none"/>
          <w:u w:val="none"/>
        </w:rPr>
        <w:t>维护</w:t>
      </w:r>
      <w:r>
        <w:rPr>
          <w:rFonts w:hint="eastAsia" w:ascii="方正仿宋_GBK" w:hAnsi="方正仿宋_GBK" w:eastAsia="方正仿宋_GBK" w:cs="方正仿宋_GBK"/>
          <w:b w:val="0"/>
          <w:bCs w:val="0"/>
          <w:color w:val="auto"/>
          <w:sz w:val="32"/>
          <w:szCs w:val="32"/>
          <w:highlight w:val="none"/>
          <w:u w:val="none"/>
          <w:lang w:eastAsia="zh-CN"/>
        </w:rPr>
        <w:t>劳动者和用人单位合法权益，促进社会和谐稳定。</w:t>
      </w:r>
      <w:r>
        <w:rPr>
          <w:rFonts w:hint="default" w:ascii="Times New Roman" w:hAnsi="Times New Roman" w:eastAsia="方正仿宋_GBK" w:cs="Times New Roman"/>
          <w:b w:val="0"/>
          <w:bCs w:val="0"/>
          <w:color w:val="auto"/>
          <w:sz w:val="32"/>
          <w:szCs w:val="32"/>
          <w:highlight w:val="none"/>
          <w:u w:val="none"/>
          <w:lang w:val="en-US" w:eastAsia="zh-CN"/>
        </w:rPr>
        <w:t>劳动保障监察执法能力</w:t>
      </w:r>
      <w:r>
        <w:rPr>
          <w:rFonts w:hint="eastAsia" w:eastAsia="方正仿宋_GBK" w:cs="Times New Roman"/>
          <w:b w:val="0"/>
          <w:bCs w:val="0"/>
          <w:color w:val="auto"/>
          <w:sz w:val="32"/>
          <w:szCs w:val="32"/>
          <w:highlight w:val="none"/>
          <w:u w:val="none"/>
          <w:lang w:val="en-US" w:eastAsia="zh-CN"/>
        </w:rPr>
        <w:t>不断提升，万盛经开区</w:t>
      </w:r>
      <w:r>
        <w:rPr>
          <w:rFonts w:hint="default" w:ascii="Times New Roman" w:hAnsi="Times New Roman" w:eastAsia="方正仿宋_GBK" w:cs="Times New Roman"/>
          <w:b w:val="0"/>
          <w:bCs w:val="0"/>
          <w:color w:val="auto"/>
          <w:sz w:val="32"/>
          <w:szCs w:val="32"/>
          <w:highlight w:val="none"/>
          <w:u w:val="none"/>
          <w:lang w:val="en-US" w:eastAsia="zh-CN"/>
        </w:rPr>
        <w:t>成功创建为全市首批劳动保障监察执法示范区</w:t>
      </w:r>
      <w:r>
        <w:rPr>
          <w:rFonts w:hint="eastAsia" w:eastAsia="方正仿宋_GBK" w:cs="Times New Roman"/>
          <w:b w:val="0"/>
          <w:bCs w:val="0"/>
          <w:color w:val="auto"/>
          <w:sz w:val="32"/>
          <w:szCs w:val="32"/>
          <w:highlight w:val="none"/>
          <w:u w:val="none"/>
          <w:lang w:val="en-US" w:eastAsia="zh-CN"/>
        </w:rPr>
        <w:t>。积极发挥和谐劳动关系三方协调机制作用，帮助</w:t>
      </w:r>
      <w:r>
        <w:rPr>
          <w:rFonts w:hint="default" w:ascii="方正仿宋_GBK" w:hAnsi="宋体" w:eastAsia="方正仿宋_GBK"/>
          <w:b w:val="0"/>
          <w:bCs w:val="0"/>
          <w:color w:val="auto"/>
          <w:sz w:val="32"/>
          <w:szCs w:val="32"/>
          <w:highlight w:val="none"/>
          <w:u w:val="none"/>
          <w:lang w:val="en-US" w:eastAsia="zh-CN"/>
        </w:rPr>
        <w:t>平山园区</w:t>
      </w:r>
      <w:r>
        <w:rPr>
          <w:rFonts w:hint="eastAsia" w:ascii="方正仿宋_GBK" w:hAnsi="宋体" w:eastAsia="方正仿宋_GBK"/>
          <w:b w:val="0"/>
          <w:bCs w:val="0"/>
          <w:color w:val="auto"/>
          <w:sz w:val="32"/>
          <w:szCs w:val="32"/>
          <w:highlight w:val="none"/>
          <w:u w:val="none"/>
          <w:lang w:val="en-US" w:eastAsia="zh-CN"/>
        </w:rPr>
        <w:t>成功创建为</w:t>
      </w:r>
      <w:r>
        <w:rPr>
          <w:rFonts w:hint="default" w:ascii="方正仿宋_GBK" w:hAnsi="宋体" w:eastAsia="方正仿宋_GBK"/>
          <w:b w:val="0"/>
          <w:bCs w:val="0"/>
          <w:color w:val="auto"/>
          <w:sz w:val="32"/>
          <w:szCs w:val="32"/>
          <w:highlight w:val="none"/>
          <w:u w:val="none"/>
          <w:lang w:val="en-US" w:eastAsia="zh-CN"/>
        </w:rPr>
        <w:t>全国</w:t>
      </w:r>
      <w:r>
        <w:rPr>
          <w:rFonts w:hint="eastAsia" w:ascii="方正仿宋_GBK" w:hAnsi="宋体" w:eastAsia="方正仿宋_GBK"/>
          <w:b w:val="0"/>
          <w:bCs w:val="0"/>
          <w:color w:val="auto"/>
          <w:sz w:val="32"/>
          <w:szCs w:val="32"/>
          <w:highlight w:val="none"/>
          <w:u w:val="none"/>
          <w:lang w:val="en-US" w:eastAsia="zh-CN"/>
        </w:rPr>
        <w:t>和谐</w:t>
      </w:r>
      <w:r>
        <w:rPr>
          <w:rFonts w:hint="default" w:ascii="方正仿宋_GBK" w:hAnsi="宋体" w:eastAsia="方正仿宋_GBK"/>
          <w:b w:val="0"/>
          <w:bCs w:val="0"/>
          <w:color w:val="auto"/>
          <w:sz w:val="32"/>
          <w:szCs w:val="32"/>
          <w:highlight w:val="none"/>
          <w:u w:val="none"/>
          <w:lang w:val="en-US" w:eastAsia="zh-CN"/>
        </w:rPr>
        <w:t>劳动关系示范园区</w:t>
      </w:r>
      <w:r>
        <w:rPr>
          <w:rFonts w:hint="eastAsia" w:ascii="方正仿宋_GBK" w:hAnsi="宋体" w:eastAsia="方正仿宋_GBK"/>
          <w:b w:val="0"/>
          <w:bCs w:val="0"/>
          <w:color w:val="auto"/>
          <w:sz w:val="32"/>
          <w:szCs w:val="32"/>
          <w:highlight w:val="none"/>
          <w:u w:val="none"/>
          <w:lang w:val="en-US" w:eastAsia="zh-CN"/>
        </w:rPr>
        <w:t>。</w:t>
      </w:r>
      <w:r>
        <w:rPr>
          <w:rFonts w:hint="eastAsia" w:ascii="方正仿宋_GBK" w:hAnsi="方正仿宋_GBK" w:eastAsia="方正仿宋_GBK" w:cs="方正仿宋_GBK"/>
          <w:b w:val="0"/>
          <w:bCs w:val="0"/>
          <w:color w:val="auto"/>
          <w:sz w:val="32"/>
          <w:szCs w:val="32"/>
          <w:highlight w:val="none"/>
          <w:u w:val="none"/>
        </w:rPr>
        <w:t>“十三五”时期，企业劳动合同签订率维持</w:t>
      </w:r>
      <w:r>
        <w:rPr>
          <w:rFonts w:hint="eastAsia" w:ascii="方正仿宋_GBK" w:hAnsi="方正仿宋_GBK" w:eastAsia="方正仿宋_GBK" w:cs="方正仿宋_GBK"/>
          <w:b w:val="0"/>
          <w:bCs w:val="0"/>
          <w:color w:val="auto"/>
          <w:sz w:val="32"/>
          <w:szCs w:val="32"/>
          <w:highlight w:val="none"/>
          <w:u w:val="none"/>
          <w:lang w:eastAsia="zh-CN"/>
        </w:rPr>
        <w:t>达</w:t>
      </w:r>
      <w:r>
        <w:rPr>
          <w:rFonts w:hint="eastAsia" w:eastAsia="方正仿宋_GBK" w:cs="Times New Roman"/>
          <w:b w:val="0"/>
          <w:bCs w:val="0"/>
          <w:color w:val="auto"/>
          <w:sz w:val="32"/>
          <w:szCs w:val="32"/>
          <w:highlight w:val="none"/>
          <w:u w:val="none"/>
          <w:lang w:val="en-US" w:eastAsia="zh-CN"/>
        </w:rPr>
        <w:t>98</w:t>
      </w:r>
      <w:r>
        <w:rPr>
          <w:rFonts w:hint="default" w:ascii="Times New Roman" w:hAnsi="Times New Roman" w:eastAsia="方正仿宋_GBK" w:cs="Times New Roman"/>
          <w:b w:val="0"/>
          <w:bCs w:val="0"/>
          <w:color w:val="auto"/>
          <w:sz w:val="32"/>
          <w:szCs w:val="32"/>
          <w:highlight w:val="none"/>
          <w:u w:val="none"/>
        </w:rPr>
        <w:t>%，劳动人事争议仲裁结案率保持在</w:t>
      </w:r>
      <w:r>
        <w:rPr>
          <w:rFonts w:hint="eastAsia" w:eastAsia="方正仿宋_GBK" w:cs="Times New Roman"/>
          <w:b w:val="0"/>
          <w:bCs w:val="0"/>
          <w:color w:val="auto"/>
          <w:sz w:val="32"/>
          <w:szCs w:val="32"/>
          <w:highlight w:val="none"/>
          <w:u w:val="none"/>
          <w:lang w:val="en-US" w:eastAsia="zh-CN"/>
        </w:rPr>
        <w:t>100</w:t>
      </w:r>
      <w:r>
        <w:rPr>
          <w:rFonts w:hint="default" w:ascii="Times New Roman" w:hAnsi="Times New Roman" w:eastAsia="方正仿宋_GBK" w:cs="Times New Roman"/>
          <w:b w:val="0"/>
          <w:bCs w:val="0"/>
          <w:color w:val="auto"/>
          <w:sz w:val="32"/>
          <w:szCs w:val="32"/>
          <w:highlight w:val="none"/>
          <w:u w:val="none"/>
        </w:rPr>
        <w:t>%</w:t>
      </w:r>
      <w:r>
        <w:rPr>
          <w:rFonts w:hint="eastAsia" w:ascii="方正仿宋_GBK" w:hAnsi="方正仿宋_GBK" w:eastAsia="方正仿宋_GBK" w:cs="方正仿宋_GBK"/>
          <w:b w:val="0"/>
          <w:bCs w:val="0"/>
          <w:color w:val="auto"/>
          <w:sz w:val="32"/>
          <w:szCs w:val="32"/>
          <w:highlight w:val="none"/>
          <w:u w:val="none"/>
        </w:rPr>
        <w:t>以上，劳动保障监察举报投诉</w:t>
      </w:r>
      <w:r>
        <w:rPr>
          <w:rFonts w:hint="default" w:ascii="Times New Roman" w:hAnsi="Times New Roman" w:eastAsia="方正仿宋_GBK" w:cs="Times New Roman"/>
          <w:b w:val="0"/>
          <w:bCs w:val="0"/>
          <w:color w:val="auto"/>
          <w:sz w:val="32"/>
          <w:szCs w:val="32"/>
          <w:highlight w:val="none"/>
          <w:u w:val="none"/>
        </w:rPr>
        <w:t>结案率达到</w:t>
      </w:r>
      <w:r>
        <w:rPr>
          <w:rFonts w:hint="eastAsia" w:eastAsia="方正仿宋_GBK" w:cs="Times New Roman"/>
          <w:b w:val="0"/>
          <w:bCs w:val="0"/>
          <w:color w:val="auto"/>
          <w:sz w:val="32"/>
          <w:szCs w:val="32"/>
          <w:highlight w:val="none"/>
          <w:u w:val="none"/>
          <w:lang w:val="en-US" w:eastAsia="zh-CN"/>
        </w:rPr>
        <w:t>100</w:t>
      </w:r>
      <w:r>
        <w:rPr>
          <w:rFonts w:hint="default" w:ascii="Times New Roman" w:hAnsi="Times New Roman" w:eastAsia="方正仿宋_GBK"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eastAsia="方正仿宋_GBK"/>
          <w:b w:val="0"/>
          <w:bCs w:val="0"/>
          <w:color w:val="auto"/>
          <w:sz w:val="32"/>
          <w:szCs w:val="32"/>
          <w:highlight w:val="none"/>
          <w:u w:val="none"/>
          <w:lang w:eastAsia="zh-CN"/>
        </w:rPr>
      </w:pPr>
      <w:r>
        <w:rPr>
          <w:rFonts w:hint="eastAsia" w:ascii="方正楷体_GBK" w:hAnsi="方正楷体_GBK" w:eastAsia="方正楷体_GBK" w:cs="方正楷体_GBK"/>
          <w:b w:val="0"/>
          <w:bCs w:val="0"/>
          <w:color w:val="auto"/>
          <w:sz w:val="32"/>
          <w:szCs w:val="32"/>
          <w:highlight w:val="none"/>
          <w:u w:val="none"/>
          <w:lang w:val="en-US" w:eastAsia="zh-CN"/>
        </w:rPr>
        <w:t>攻坚克难战脱贫，行业扶贫成果丰硕。</w:t>
      </w:r>
      <w:r>
        <w:rPr>
          <w:rFonts w:hint="default" w:ascii="Times New Roman" w:hAnsi="Times New Roman" w:eastAsia="方正仿宋_GBK" w:cs="Times New Roman"/>
          <w:b w:val="0"/>
          <w:bCs w:val="0"/>
          <w:color w:val="auto"/>
          <w:sz w:val="32"/>
          <w:szCs w:val="32"/>
          <w:highlight w:val="none"/>
          <w:u w:val="none"/>
        </w:rPr>
        <w:t>坚持以习近平总书记关于扶贫工作重要论述为指引，</w:t>
      </w:r>
      <w:r>
        <w:rPr>
          <w:rFonts w:hint="default" w:ascii="Times New Roman" w:hAnsi="Times New Roman" w:eastAsia="方正仿宋_GBK" w:cs="Times New Roman"/>
          <w:b w:val="0"/>
          <w:bCs w:val="0"/>
          <w:color w:val="auto"/>
          <w:sz w:val="32"/>
          <w:szCs w:val="32"/>
          <w:highlight w:val="none"/>
          <w:u w:val="none"/>
          <w:lang w:val="en-US" w:eastAsia="zh-CN"/>
        </w:rPr>
        <w:t>深学笃用习近平总书记在解决</w:t>
      </w:r>
      <w:r>
        <w:rPr>
          <w:rFonts w:hint="eastAsia" w:ascii="Times New Roman" w:hAnsi="Times New Roman" w:eastAsia="方正仿宋_GBK" w:cs="Times New Roman"/>
          <w:b w:val="0"/>
          <w:bCs w:val="0"/>
          <w:color w:val="auto"/>
          <w:sz w:val="32"/>
          <w:szCs w:val="32"/>
          <w:highlight w:val="none"/>
          <w:u w:val="none"/>
          <w:lang w:val="en-US" w:eastAsia="zh-CN"/>
        </w:rPr>
        <w:t>“</w:t>
      </w:r>
      <w:r>
        <w:rPr>
          <w:rFonts w:hint="default" w:ascii="Times New Roman" w:hAnsi="Times New Roman" w:eastAsia="方正仿宋_GBK" w:cs="Times New Roman"/>
          <w:b w:val="0"/>
          <w:bCs w:val="0"/>
          <w:color w:val="auto"/>
          <w:sz w:val="32"/>
          <w:szCs w:val="32"/>
          <w:highlight w:val="none"/>
          <w:u w:val="none"/>
          <w:lang w:val="en-US" w:eastAsia="zh-CN"/>
        </w:rPr>
        <w:t>两不愁三保障</w:t>
      </w:r>
      <w:r>
        <w:rPr>
          <w:rFonts w:hint="eastAsia" w:ascii="Times New Roman" w:hAnsi="Times New Roman" w:eastAsia="方正仿宋_GBK" w:cs="Times New Roman"/>
          <w:b w:val="0"/>
          <w:bCs w:val="0"/>
          <w:color w:val="auto"/>
          <w:sz w:val="32"/>
          <w:szCs w:val="32"/>
          <w:highlight w:val="none"/>
          <w:u w:val="none"/>
          <w:lang w:val="en-US" w:eastAsia="zh-CN"/>
        </w:rPr>
        <w:t>”</w:t>
      </w:r>
      <w:r>
        <w:rPr>
          <w:rFonts w:hint="default" w:ascii="Times New Roman" w:hAnsi="Times New Roman" w:eastAsia="方正仿宋_GBK" w:cs="Times New Roman"/>
          <w:b w:val="0"/>
          <w:bCs w:val="0"/>
          <w:color w:val="auto"/>
          <w:sz w:val="32"/>
          <w:szCs w:val="32"/>
          <w:highlight w:val="none"/>
          <w:u w:val="none"/>
          <w:lang w:val="en-US" w:eastAsia="zh-CN"/>
        </w:rPr>
        <w:t>突出问题座谈会上重要讲话精神</w:t>
      </w:r>
      <w:r>
        <w:rPr>
          <w:rFonts w:hint="eastAsia" w:eastAsia="方正仿宋_GBK" w:cs="Times New Roman"/>
          <w:b w:val="0"/>
          <w:bCs w:val="0"/>
          <w:color w:val="auto"/>
          <w:sz w:val="32"/>
          <w:szCs w:val="32"/>
          <w:highlight w:val="none"/>
          <w:u w:val="none"/>
          <w:lang w:val="en-US" w:eastAsia="zh-CN"/>
        </w:rPr>
        <w:t>，就业扶贫、技能扶贫、社保扶贫、人事人才扶贫齐发力，有力助推全区脱贫攻坚战取得决定性胜利。</w:t>
      </w:r>
      <w:r>
        <w:rPr>
          <w:rFonts w:hint="eastAsia" w:eastAsia="方正仿宋_GBK" w:cs="Times New Roman"/>
          <w:b w:val="0"/>
          <w:bCs w:val="0"/>
          <w:color w:val="auto"/>
          <w:sz w:val="32"/>
          <w:szCs w:val="32"/>
          <w:highlight w:val="none"/>
          <w:u w:val="none"/>
          <w:lang w:eastAsia="zh-CN"/>
        </w:rPr>
        <w:t>“十三五”末，</w:t>
      </w:r>
      <w:r>
        <w:rPr>
          <w:rFonts w:hint="eastAsia" w:ascii="Times New Roman" w:hAnsi="Times New Roman" w:eastAsia="方正仿宋_GBK"/>
          <w:b w:val="0"/>
          <w:bCs w:val="0"/>
          <w:color w:val="auto"/>
          <w:sz w:val="32"/>
          <w:szCs w:val="32"/>
          <w:highlight w:val="none"/>
          <w:u w:val="none"/>
        </w:rPr>
        <w:t>全区建档立卡贫困户16周岁以上贫困人员</w:t>
      </w:r>
      <w:r>
        <w:rPr>
          <w:rFonts w:hint="eastAsia" w:eastAsia="方正仿宋_GBK"/>
          <w:b w:val="0"/>
          <w:bCs w:val="0"/>
          <w:color w:val="auto"/>
          <w:sz w:val="32"/>
          <w:szCs w:val="32"/>
          <w:highlight w:val="none"/>
          <w:u w:val="none"/>
          <w:lang w:eastAsia="zh-CN"/>
        </w:rPr>
        <w:t>全部</w:t>
      </w:r>
      <w:r>
        <w:rPr>
          <w:rFonts w:hint="eastAsia" w:ascii="Times New Roman" w:hAnsi="Times New Roman" w:eastAsia="方正仿宋_GBK"/>
          <w:b w:val="0"/>
          <w:bCs w:val="0"/>
          <w:color w:val="auto"/>
          <w:sz w:val="32"/>
          <w:szCs w:val="32"/>
          <w:highlight w:val="none"/>
          <w:u w:val="none"/>
        </w:rPr>
        <w:t>动态消除“零转移”家庭</w:t>
      </w:r>
      <w:r>
        <w:rPr>
          <w:rFonts w:hint="eastAsia" w:eastAsia="方正仿宋_GBK"/>
          <w:b w:val="0"/>
          <w:bCs w:val="0"/>
          <w:color w:val="auto"/>
          <w:sz w:val="32"/>
          <w:szCs w:val="32"/>
          <w:highlight w:val="none"/>
          <w:u w:val="none"/>
          <w:lang w:eastAsia="zh-CN"/>
        </w:rPr>
        <w:t>；</w:t>
      </w:r>
      <w:r>
        <w:rPr>
          <w:rFonts w:hint="eastAsia" w:ascii="Times New Roman" w:hAnsi="Times New Roman" w:eastAsia="方正仿宋_GBK"/>
          <w:b w:val="0"/>
          <w:bCs w:val="0"/>
          <w:color w:val="auto"/>
          <w:sz w:val="32"/>
          <w:szCs w:val="32"/>
          <w:highlight w:val="none"/>
          <w:u w:val="none"/>
        </w:rPr>
        <w:t>贫困人员基本养老保险</w:t>
      </w:r>
      <w:r>
        <w:rPr>
          <w:rFonts w:hint="eastAsia" w:eastAsia="方正仿宋_GBK"/>
          <w:b w:val="0"/>
          <w:bCs w:val="0"/>
          <w:color w:val="auto"/>
          <w:sz w:val="32"/>
          <w:szCs w:val="32"/>
          <w:highlight w:val="none"/>
          <w:u w:val="none"/>
          <w:lang w:eastAsia="zh-CN"/>
        </w:rPr>
        <w:t>、基本医疗保险</w:t>
      </w:r>
      <w:r>
        <w:rPr>
          <w:rFonts w:hint="eastAsia" w:ascii="Times New Roman" w:hAnsi="Times New Roman" w:eastAsia="方正仿宋_GBK"/>
          <w:b w:val="0"/>
          <w:bCs w:val="0"/>
          <w:color w:val="auto"/>
          <w:sz w:val="32"/>
          <w:szCs w:val="32"/>
          <w:highlight w:val="none"/>
          <w:u w:val="none"/>
        </w:rPr>
        <w:t>应参保人员实现动态全覆盖</w:t>
      </w:r>
      <w:r>
        <w:rPr>
          <w:rFonts w:hint="eastAsia" w:eastAsia="方正仿宋_GBK"/>
          <w:b w:val="0"/>
          <w:bCs w:val="0"/>
          <w:color w:val="auto"/>
          <w:sz w:val="32"/>
          <w:szCs w:val="32"/>
          <w:highlight w:val="none"/>
          <w:u w:val="none"/>
          <w:lang w:eastAsia="zh-CN"/>
        </w:rPr>
        <w:t>；</w:t>
      </w:r>
      <w:r>
        <w:rPr>
          <w:rFonts w:hint="eastAsia" w:ascii="Times New Roman" w:hAnsi="Times New Roman" w:eastAsia="方正仿宋_GBK"/>
          <w:b w:val="0"/>
          <w:bCs w:val="0"/>
          <w:color w:val="auto"/>
          <w:sz w:val="32"/>
          <w:szCs w:val="32"/>
          <w:highlight w:val="none"/>
          <w:u w:val="none"/>
        </w:rPr>
        <w:t>养老、医疗保险参保资助</w:t>
      </w:r>
      <w:r>
        <w:rPr>
          <w:rFonts w:hint="eastAsia" w:eastAsia="方正仿宋_GBK"/>
          <w:b w:val="0"/>
          <w:bCs w:val="0"/>
          <w:color w:val="auto"/>
          <w:sz w:val="32"/>
          <w:szCs w:val="32"/>
          <w:highlight w:val="none"/>
          <w:u w:val="none"/>
          <w:lang w:eastAsia="zh-CN"/>
        </w:rPr>
        <w:t>、</w:t>
      </w:r>
      <w:r>
        <w:rPr>
          <w:rFonts w:hint="eastAsia" w:ascii="Times New Roman" w:hAnsi="Times New Roman" w:eastAsia="方正仿宋_GBK"/>
          <w:b w:val="0"/>
          <w:bCs w:val="0"/>
          <w:color w:val="auto"/>
          <w:sz w:val="32"/>
          <w:szCs w:val="32"/>
          <w:highlight w:val="none"/>
          <w:u w:val="none"/>
        </w:rPr>
        <w:t>医疗保险报销、医疗救助报销、健康扶贫基金报销等</w:t>
      </w:r>
      <w:r>
        <w:rPr>
          <w:rFonts w:hint="eastAsia" w:eastAsia="方正仿宋_GBK"/>
          <w:b w:val="0"/>
          <w:bCs w:val="0"/>
          <w:color w:val="auto"/>
          <w:sz w:val="32"/>
          <w:szCs w:val="32"/>
          <w:highlight w:val="none"/>
          <w:u w:val="none"/>
          <w:lang w:eastAsia="zh-CN"/>
        </w:rPr>
        <w:t>政策，均实现应享尽享。</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lang w:eastAsia="zh-CN"/>
        </w:rPr>
      </w:pPr>
      <w:r>
        <w:rPr>
          <w:rFonts w:hint="eastAsia" w:ascii="方正楷体_GBK" w:hAnsi="方正楷体_GBK" w:eastAsia="方正楷体_GBK" w:cs="方正楷体_GBK"/>
          <w:b w:val="0"/>
          <w:bCs w:val="0"/>
          <w:color w:val="auto"/>
          <w:sz w:val="32"/>
          <w:szCs w:val="32"/>
          <w:highlight w:val="none"/>
          <w:u w:val="none"/>
          <w:lang w:eastAsia="zh-CN"/>
        </w:rPr>
        <w:t>着力便民惠企，公共服务能力更加健全。</w:t>
      </w:r>
      <w:r>
        <w:rPr>
          <w:rFonts w:hint="eastAsia" w:eastAsia="方正仿宋_GBK"/>
          <w:b w:val="0"/>
          <w:bCs w:val="0"/>
          <w:color w:val="auto"/>
          <w:sz w:val="32"/>
          <w:szCs w:val="32"/>
          <w:highlight w:val="none"/>
          <w:u w:val="none"/>
          <w:lang w:eastAsia="zh-CN"/>
        </w:rPr>
        <w:t>持续优化营商环境，落实放管服改革措施，推进“减证便民”系列举措，服务民营企业发展，助推地区经济社会健康发展。全面落实阶段性减、缓、免社保费政策，累计为参保企业降费减负</w:t>
      </w:r>
      <w:r>
        <w:rPr>
          <w:rFonts w:hint="eastAsia" w:eastAsia="方正仿宋_GBK"/>
          <w:b w:val="0"/>
          <w:bCs w:val="0"/>
          <w:color w:val="auto"/>
          <w:sz w:val="32"/>
          <w:szCs w:val="32"/>
          <w:highlight w:val="none"/>
          <w:u w:val="none"/>
          <w:lang w:val="en-US" w:eastAsia="zh-CN"/>
        </w:rPr>
        <w:t>11.94亿元。完成</w:t>
      </w:r>
      <w:r>
        <w:rPr>
          <w:rFonts w:hint="default" w:ascii="Times New Roman" w:hAnsi="Times New Roman" w:eastAsia="方正仿宋_GBK" w:cs="Times New Roman"/>
          <w:b w:val="0"/>
          <w:bCs w:val="0"/>
          <w:color w:val="auto"/>
          <w:sz w:val="32"/>
          <w:szCs w:val="32"/>
          <w:highlight w:val="none"/>
          <w:u w:val="none"/>
        </w:rPr>
        <w:t>22家国有企业、19485名退休人员社会化管理服务</w:t>
      </w:r>
      <w:r>
        <w:rPr>
          <w:rFonts w:hint="default" w:ascii="Times New Roman" w:hAnsi="Times New Roman" w:eastAsia="方正仿宋_GBK" w:cs="Times New Roman"/>
          <w:b w:val="0"/>
          <w:bCs w:val="0"/>
          <w:color w:val="auto"/>
          <w:sz w:val="32"/>
          <w:szCs w:val="32"/>
          <w:highlight w:val="none"/>
          <w:u w:val="none"/>
          <w:lang w:eastAsia="zh-CN"/>
        </w:rPr>
        <w:t>移交工作</w:t>
      </w:r>
      <w:r>
        <w:rPr>
          <w:rFonts w:hint="default" w:ascii="Times New Roman" w:hAnsi="Times New Roman" w:eastAsia="方正仿宋_GBK" w:cs="Times New Roman"/>
          <w:b w:val="0"/>
          <w:bCs w:val="0"/>
          <w:color w:val="auto"/>
          <w:sz w:val="32"/>
          <w:szCs w:val="32"/>
          <w:highlight w:val="none"/>
          <w:u w:val="none"/>
        </w:rPr>
        <w:t>。</w:t>
      </w:r>
      <w:r>
        <w:rPr>
          <w:rFonts w:hint="eastAsia" w:ascii="方正仿宋_GBK" w:hAnsi="方正仿宋_GBK" w:eastAsia="方正仿宋_GBK" w:cs="方正仿宋_GBK"/>
          <w:b w:val="0"/>
          <w:bCs w:val="0"/>
          <w:color w:val="auto"/>
          <w:sz w:val="32"/>
          <w:szCs w:val="32"/>
          <w:highlight w:val="none"/>
          <w:u w:val="none"/>
        </w:rPr>
        <w:t>建立完善区、镇（街）、村（社）三级公共就业服务平台，</w:t>
      </w:r>
      <w:r>
        <w:rPr>
          <w:rFonts w:hint="eastAsia" w:ascii="方正仿宋_GBK" w:hAnsi="宋体" w:eastAsia="方正仿宋_GBK"/>
          <w:b w:val="0"/>
          <w:bCs w:val="0"/>
          <w:color w:val="auto"/>
          <w:sz w:val="32"/>
          <w:szCs w:val="32"/>
          <w:highlight w:val="none"/>
          <w:u w:val="none"/>
          <w:lang w:eastAsia="zh-CN"/>
        </w:rPr>
        <w:t>建成全区一体化</w:t>
      </w:r>
      <w:r>
        <w:rPr>
          <w:rFonts w:hint="eastAsia" w:ascii="方正仿宋_GBK" w:hAnsi="宋体" w:eastAsia="方正仿宋_GBK"/>
          <w:b w:val="0"/>
          <w:bCs w:val="0"/>
          <w:color w:val="auto"/>
          <w:sz w:val="32"/>
          <w:szCs w:val="32"/>
          <w:highlight w:val="none"/>
          <w:u w:val="none"/>
        </w:rPr>
        <w:t>劳动就业和社会保障服务中心</w:t>
      </w:r>
      <w:r>
        <w:rPr>
          <w:rFonts w:hint="eastAsia" w:ascii="方正仿宋_GBK" w:hAnsi="宋体" w:eastAsia="方正仿宋_GBK"/>
          <w:b w:val="0"/>
          <w:bCs w:val="0"/>
          <w:color w:val="auto"/>
          <w:sz w:val="32"/>
          <w:szCs w:val="32"/>
          <w:highlight w:val="none"/>
          <w:u w:val="none"/>
          <w:lang w:eastAsia="zh-CN"/>
        </w:rPr>
        <w:t>，</w:t>
      </w:r>
      <w:r>
        <w:rPr>
          <w:rFonts w:hint="eastAsia" w:ascii="方正仿宋_GBK" w:hAnsi="宋体" w:eastAsia="方正仿宋_GBK"/>
          <w:b w:val="0"/>
          <w:bCs w:val="0"/>
          <w:color w:val="auto"/>
          <w:sz w:val="32"/>
          <w:szCs w:val="32"/>
          <w:highlight w:val="none"/>
          <w:u w:val="none"/>
        </w:rPr>
        <w:t>彻底解决了就业、社保、</w:t>
      </w:r>
      <w:r>
        <w:rPr>
          <w:rFonts w:hint="eastAsia" w:ascii="方正仿宋_GBK" w:hAnsi="宋体" w:eastAsia="方正仿宋_GBK"/>
          <w:b w:val="0"/>
          <w:bCs w:val="0"/>
          <w:color w:val="auto"/>
          <w:sz w:val="32"/>
          <w:szCs w:val="32"/>
          <w:highlight w:val="none"/>
          <w:u w:val="none"/>
          <w:lang w:eastAsia="zh-CN"/>
        </w:rPr>
        <w:t>医保、</w:t>
      </w:r>
      <w:r>
        <w:rPr>
          <w:rFonts w:hint="eastAsia" w:ascii="方正仿宋_GBK" w:hAnsi="宋体" w:eastAsia="方正仿宋_GBK"/>
          <w:b w:val="0"/>
          <w:bCs w:val="0"/>
          <w:color w:val="auto"/>
          <w:sz w:val="32"/>
          <w:szCs w:val="32"/>
          <w:highlight w:val="none"/>
          <w:u w:val="none"/>
        </w:rPr>
        <w:t>劳动维权分散办公</w:t>
      </w:r>
      <w:r>
        <w:rPr>
          <w:rFonts w:hint="eastAsia" w:ascii="方正仿宋_GBK" w:hAnsi="宋体" w:eastAsia="方正仿宋_GBK"/>
          <w:b w:val="0"/>
          <w:bCs w:val="0"/>
          <w:color w:val="auto"/>
          <w:sz w:val="32"/>
          <w:szCs w:val="32"/>
          <w:highlight w:val="none"/>
          <w:u w:val="none"/>
          <w:lang w:eastAsia="zh-CN"/>
        </w:rPr>
        <w:t>历史难题，有效提高了</w:t>
      </w:r>
      <w:r>
        <w:rPr>
          <w:rFonts w:hint="default" w:ascii="Times New Roman" w:hAnsi="Times New Roman" w:eastAsia="方正仿宋_GBK" w:cs="Times New Roman"/>
          <w:b w:val="0"/>
          <w:bCs w:val="0"/>
          <w:color w:val="auto"/>
          <w:sz w:val="32"/>
          <w:szCs w:val="32"/>
          <w:highlight w:val="none"/>
          <w:u w:val="none"/>
          <w:lang w:val="en-US" w:eastAsia="zh-CN"/>
        </w:rPr>
        <w:t>人力社保</w:t>
      </w:r>
      <w:r>
        <w:rPr>
          <w:rFonts w:hint="eastAsia" w:eastAsia="方正仿宋_GBK" w:cs="Times New Roman"/>
          <w:b w:val="0"/>
          <w:bCs w:val="0"/>
          <w:color w:val="auto"/>
          <w:sz w:val="32"/>
          <w:szCs w:val="32"/>
          <w:highlight w:val="none"/>
          <w:u w:val="none"/>
          <w:lang w:val="en-US" w:eastAsia="zh-CN"/>
        </w:rPr>
        <w:t>公共</w:t>
      </w:r>
      <w:r>
        <w:rPr>
          <w:rFonts w:hint="default" w:ascii="Times New Roman" w:hAnsi="Times New Roman" w:eastAsia="方正仿宋_GBK" w:cs="Times New Roman"/>
          <w:b w:val="0"/>
          <w:bCs w:val="0"/>
          <w:color w:val="auto"/>
          <w:sz w:val="32"/>
          <w:szCs w:val="32"/>
          <w:highlight w:val="none"/>
          <w:u w:val="none"/>
          <w:lang w:val="en-US" w:eastAsia="zh-CN"/>
        </w:rPr>
        <w:t>服务</w:t>
      </w:r>
      <w:r>
        <w:rPr>
          <w:rFonts w:hint="eastAsia" w:eastAsia="方正仿宋_GBK" w:cs="Times New Roman"/>
          <w:b w:val="0"/>
          <w:bCs w:val="0"/>
          <w:color w:val="auto"/>
          <w:sz w:val="32"/>
          <w:szCs w:val="32"/>
          <w:highlight w:val="none"/>
          <w:u w:val="none"/>
          <w:lang w:val="en-US" w:eastAsia="zh-CN"/>
        </w:rPr>
        <w:t>能力。</w:t>
      </w:r>
      <w:r>
        <w:rPr>
          <w:rFonts w:hint="eastAsia" w:eastAsia="方正仿宋_GBK"/>
          <w:b w:val="0"/>
          <w:bCs w:val="0"/>
          <w:color w:val="auto"/>
          <w:sz w:val="32"/>
          <w:szCs w:val="32"/>
          <w:highlight w:val="none"/>
          <w:u w:val="none"/>
          <w:shd w:val="clear" w:color="auto" w:fill="FFFFFF"/>
          <w:lang w:eastAsia="zh-CN"/>
        </w:rPr>
        <w:t>推广实施</w:t>
      </w:r>
      <w:r>
        <w:rPr>
          <w:rFonts w:hint="eastAsia" w:ascii="方正仿宋_GBK" w:eastAsia="方正仿宋_GBK"/>
          <w:b w:val="0"/>
          <w:bCs w:val="0"/>
          <w:color w:val="auto"/>
          <w:sz w:val="32"/>
          <w:szCs w:val="32"/>
          <w:highlight w:val="none"/>
          <w:u w:val="none"/>
          <w:lang w:eastAsia="zh-CN"/>
        </w:rPr>
        <w:t>“三级四同”公共服务清单、“五制四公开三亮明”等便民举措，深受群众好评。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color w:val="auto"/>
          <w:sz w:val="28"/>
          <w:szCs w:val="28"/>
          <w:highlight w:val="none"/>
          <w:u w:val="none"/>
        </w:rPr>
      </w:pPr>
      <w:bookmarkStart w:id="4" w:name="_Toc54345649"/>
      <w:r>
        <w:rPr>
          <w:rFonts w:hint="eastAsia" w:ascii="方正黑体_GBK" w:hAnsi="方正黑体_GBK" w:eastAsia="方正黑体_GBK" w:cs="方正黑体_GBK"/>
          <w:b w:val="0"/>
          <w:bCs w:val="0"/>
          <w:color w:val="auto"/>
          <w:sz w:val="28"/>
          <w:szCs w:val="28"/>
          <w:highlight w:val="none"/>
          <w:u w:val="none"/>
        </w:rPr>
        <w:t>专栏1  “十三五”时期主要指标完成情况</w:t>
      </w:r>
    </w:p>
    <w:tbl>
      <w:tblPr>
        <w:tblStyle w:val="15"/>
        <w:tblW w:w="9782"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37"/>
        <w:gridCol w:w="1276"/>
        <w:gridCol w:w="1559"/>
        <w:gridCol w:w="1133"/>
        <w:gridCol w:w="143"/>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trPr>
        <w:tc>
          <w:tcPr>
            <w:tcW w:w="453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指标</w:t>
            </w:r>
          </w:p>
        </w:tc>
        <w:tc>
          <w:tcPr>
            <w:tcW w:w="127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2015年</w:t>
            </w:r>
          </w:p>
        </w:tc>
        <w:tc>
          <w:tcPr>
            <w:tcW w:w="1559"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auto"/>
                <w:sz w:val="24"/>
                <w:szCs w:val="24"/>
                <w:highlight w:val="none"/>
                <w:u w:val="none"/>
              </w:rPr>
            </w:pPr>
            <w:r>
              <w:rPr>
                <w:rFonts w:hint="eastAsia" w:ascii="方正仿宋_GBK" w:hAnsi="方正仿宋_GBK" w:eastAsia="方正仿宋_GBK" w:cs="方正仿宋_GBK"/>
                <w:b w:val="0"/>
                <w:bCs w:val="0"/>
                <w:color w:val="auto"/>
                <w:sz w:val="24"/>
                <w:szCs w:val="24"/>
                <w:highlight w:val="none"/>
                <w:u w:val="none"/>
              </w:rPr>
              <w:t>“十三五”</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eastAsia" w:ascii="方正仿宋_GBK" w:hAnsi="方正仿宋_GBK" w:eastAsia="方正仿宋_GBK" w:cs="方正仿宋_GBK"/>
                <w:b w:val="0"/>
                <w:bCs w:val="0"/>
                <w:color w:val="auto"/>
                <w:sz w:val="24"/>
                <w:szCs w:val="24"/>
                <w:highlight w:val="none"/>
                <w:u w:val="none"/>
              </w:rPr>
              <w:t>规划目标</w:t>
            </w:r>
          </w:p>
        </w:tc>
        <w:tc>
          <w:tcPr>
            <w:tcW w:w="1133"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2020年</w:t>
            </w:r>
          </w:p>
        </w:tc>
        <w:tc>
          <w:tcPr>
            <w:tcW w:w="1277" w:type="dxa"/>
            <w:gridSpan w:val="2"/>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超过规划目标值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82" w:type="dxa"/>
            <w:gridSpan w:val="6"/>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一、就业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537"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1.城镇新增就业人数（万人）</w:t>
            </w:r>
          </w:p>
        </w:tc>
        <w:tc>
          <w:tcPr>
            <w:tcW w:w="1276"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w:t>
            </w:r>
            <w:r>
              <w:rPr>
                <w:rFonts w:hint="eastAsia" w:eastAsia="方正仿宋_GBK" w:cs="Times New Roman"/>
                <w:b w:val="0"/>
                <w:bCs w:val="0"/>
                <w:color w:val="auto"/>
                <w:kern w:val="0"/>
                <w:sz w:val="24"/>
                <w:szCs w:val="24"/>
                <w:highlight w:val="none"/>
                <w:u w:val="none"/>
                <w:lang w:val="en-US" w:eastAsia="zh-CN"/>
              </w:rPr>
              <w:t>4.19</w:t>
            </w:r>
            <w:r>
              <w:rPr>
                <w:rFonts w:hint="default" w:ascii="Times New Roman" w:hAnsi="Times New Roman" w:eastAsia="方正仿宋_GBK" w:cs="Times New Roman"/>
                <w:b w:val="0"/>
                <w:bCs w:val="0"/>
                <w:color w:val="auto"/>
                <w:kern w:val="0"/>
                <w:sz w:val="24"/>
                <w:szCs w:val="24"/>
                <w:highlight w:val="none"/>
                <w:u w:val="none"/>
              </w:rPr>
              <w:t>】</w:t>
            </w:r>
          </w:p>
        </w:tc>
        <w:tc>
          <w:tcPr>
            <w:tcW w:w="1559"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w:t>
            </w:r>
            <w:r>
              <w:rPr>
                <w:rFonts w:hint="eastAsia" w:eastAsia="方正仿宋_GBK" w:cs="Times New Roman"/>
                <w:b w:val="0"/>
                <w:bCs w:val="0"/>
                <w:color w:val="auto"/>
                <w:kern w:val="0"/>
                <w:sz w:val="24"/>
                <w:szCs w:val="24"/>
                <w:highlight w:val="none"/>
                <w:u w:val="none"/>
                <w:lang w:val="en-US" w:eastAsia="zh-CN"/>
              </w:rPr>
              <w:t>3</w:t>
            </w:r>
            <w:r>
              <w:rPr>
                <w:rFonts w:hint="default" w:ascii="Times New Roman" w:hAnsi="Times New Roman" w:eastAsia="方正仿宋_GBK" w:cs="Times New Roman"/>
                <w:b w:val="0"/>
                <w:bCs w:val="0"/>
                <w:color w:val="auto"/>
                <w:kern w:val="0"/>
                <w:sz w:val="24"/>
                <w:szCs w:val="24"/>
                <w:highlight w:val="none"/>
                <w:u w:val="none"/>
              </w:rPr>
              <w:t>】</w:t>
            </w:r>
          </w:p>
        </w:tc>
        <w:tc>
          <w:tcPr>
            <w:tcW w:w="1276" w:type="dxa"/>
            <w:gridSpan w:val="2"/>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w:t>
            </w:r>
            <w:r>
              <w:rPr>
                <w:rFonts w:hint="eastAsia" w:eastAsia="方正仿宋_GBK" w:cs="Times New Roman"/>
                <w:b w:val="0"/>
                <w:bCs w:val="0"/>
                <w:color w:val="auto"/>
                <w:kern w:val="0"/>
                <w:sz w:val="24"/>
                <w:szCs w:val="24"/>
                <w:highlight w:val="none"/>
                <w:u w:val="none"/>
                <w:lang w:val="en-US" w:eastAsia="zh-CN"/>
              </w:rPr>
              <w:t>3.3</w:t>
            </w:r>
            <w:r>
              <w:rPr>
                <w:rFonts w:hint="default" w:ascii="Times New Roman" w:hAnsi="Times New Roman" w:eastAsia="方正仿宋_GBK" w:cs="Times New Roman"/>
                <w:b w:val="0"/>
                <w:bCs w:val="0"/>
                <w:color w:val="auto"/>
                <w:kern w:val="0"/>
                <w:sz w:val="24"/>
                <w:szCs w:val="24"/>
                <w:highlight w:val="none"/>
                <w:u w:val="none"/>
              </w:rPr>
              <w:t>】</w:t>
            </w:r>
          </w:p>
        </w:tc>
        <w:tc>
          <w:tcPr>
            <w:tcW w:w="1134"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eastAsia" w:eastAsia="方正仿宋_GBK" w:cs="Times New Roman"/>
                <w:b w:val="0"/>
                <w:bCs w:val="0"/>
                <w:color w:val="auto"/>
                <w:kern w:val="0"/>
                <w:sz w:val="24"/>
                <w:szCs w:val="24"/>
                <w:highlight w:val="none"/>
                <w:u w:val="none"/>
                <w:lang w:val="en-US" w:eastAsia="zh-CN"/>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537"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eastAsia" w:eastAsia="方正仿宋_GBK" w:cs="Times New Roman"/>
                <w:b w:val="0"/>
                <w:bCs w:val="0"/>
                <w:color w:val="auto"/>
                <w:kern w:val="0"/>
                <w:sz w:val="24"/>
                <w:szCs w:val="24"/>
                <w:highlight w:val="none"/>
                <w:u w:val="none"/>
                <w:lang w:val="en-US" w:eastAsia="zh-CN"/>
              </w:rPr>
              <w:t>2</w:t>
            </w:r>
            <w:r>
              <w:rPr>
                <w:rFonts w:hint="default" w:ascii="Times New Roman" w:hAnsi="Times New Roman" w:eastAsia="方正仿宋_GBK" w:cs="Times New Roman"/>
                <w:b w:val="0"/>
                <w:bCs w:val="0"/>
                <w:color w:val="auto"/>
                <w:kern w:val="0"/>
                <w:sz w:val="24"/>
                <w:szCs w:val="24"/>
                <w:highlight w:val="none"/>
                <w:u w:val="none"/>
              </w:rPr>
              <w:t>.高校毕业生年底就业率（%）</w:t>
            </w:r>
          </w:p>
        </w:tc>
        <w:tc>
          <w:tcPr>
            <w:tcW w:w="1276"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w:t>
            </w:r>
          </w:p>
        </w:tc>
        <w:tc>
          <w:tcPr>
            <w:tcW w:w="1559"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≥90</w:t>
            </w:r>
          </w:p>
        </w:tc>
        <w:tc>
          <w:tcPr>
            <w:tcW w:w="1276" w:type="dxa"/>
            <w:gridSpan w:val="2"/>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eastAsia" w:eastAsia="方正仿宋_GBK" w:cs="Times New Roman"/>
                <w:b w:val="0"/>
                <w:bCs w:val="0"/>
                <w:color w:val="auto"/>
                <w:kern w:val="0"/>
                <w:sz w:val="24"/>
                <w:szCs w:val="24"/>
                <w:highlight w:val="none"/>
                <w:u w:val="none"/>
                <w:lang w:val="en-US" w:eastAsia="zh-CN"/>
              </w:rPr>
              <w:t>98.5</w:t>
            </w:r>
          </w:p>
        </w:tc>
        <w:tc>
          <w:tcPr>
            <w:tcW w:w="1134"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eastAsia" w:eastAsia="方正仿宋_GBK" w:cs="Times New Roman"/>
                <w:b w:val="0"/>
                <w:bCs w:val="0"/>
                <w:color w:val="auto"/>
                <w:kern w:val="0"/>
                <w:sz w:val="24"/>
                <w:szCs w:val="24"/>
                <w:highlight w:val="none"/>
                <w:u w:val="none"/>
                <w:lang w:val="en-US" w:eastAsia="zh-CN"/>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537"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eastAsia" w:eastAsia="方正仿宋_GBK" w:cs="Times New Roman"/>
                <w:b w:val="0"/>
                <w:bCs w:val="0"/>
                <w:color w:val="auto"/>
                <w:kern w:val="0"/>
                <w:sz w:val="24"/>
                <w:szCs w:val="24"/>
                <w:highlight w:val="none"/>
                <w:u w:val="none"/>
                <w:lang w:val="en-US" w:eastAsia="zh-CN"/>
              </w:rPr>
              <w:t>3</w:t>
            </w:r>
            <w:r>
              <w:rPr>
                <w:rFonts w:hint="default" w:ascii="Times New Roman" w:hAnsi="Times New Roman" w:eastAsia="方正仿宋_GBK" w:cs="Times New Roman"/>
                <w:b w:val="0"/>
                <w:bCs w:val="0"/>
                <w:color w:val="auto"/>
                <w:kern w:val="0"/>
                <w:sz w:val="24"/>
                <w:szCs w:val="24"/>
                <w:highlight w:val="none"/>
                <w:u w:val="none"/>
              </w:rPr>
              <w:t>.发放扶持创业贷款（亿元）</w:t>
            </w:r>
          </w:p>
        </w:tc>
        <w:tc>
          <w:tcPr>
            <w:tcW w:w="1276"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w:t>
            </w:r>
          </w:p>
        </w:tc>
        <w:tc>
          <w:tcPr>
            <w:tcW w:w="1559"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w:t>
            </w:r>
            <w:r>
              <w:rPr>
                <w:rFonts w:hint="eastAsia" w:eastAsia="方正仿宋_GBK" w:cs="Times New Roman"/>
                <w:b w:val="0"/>
                <w:bCs w:val="0"/>
                <w:color w:val="auto"/>
                <w:kern w:val="0"/>
                <w:sz w:val="24"/>
                <w:szCs w:val="24"/>
                <w:highlight w:val="none"/>
                <w:u w:val="none"/>
                <w:lang w:val="en-US" w:eastAsia="zh-CN"/>
              </w:rPr>
              <w:t>2</w:t>
            </w:r>
            <w:r>
              <w:rPr>
                <w:rFonts w:hint="default" w:ascii="Times New Roman" w:hAnsi="Times New Roman" w:eastAsia="方正仿宋_GBK" w:cs="Times New Roman"/>
                <w:b w:val="0"/>
                <w:bCs w:val="0"/>
                <w:color w:val="auto"/>
                <w:kern w:val="0"/>
                <w:sz w:val="24"/>
                <w:szCs w:val="24"/>
                <w:highlight w:val="none"/>
                <w:u w:val="none"/>
              </w:rPr>
              <w:t>】</w:t>
            </w:r>
          </w:p>
        </w:tc>
        <w:tc>
          <w:tcPr>
            <w:tcW w:w="1276" w:type="dxa"/>
            <w:gridSpan w:val="2"/>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w:t>
            </w:r>
            <w:r>
              <w:rPr>
                <w:rFonts w:hint="eastAsia" w:eastAsia="方正仿宋_GBK" w:cs="Times New Roman"/>
                <w:b w:val="0"/>
                <w:bCs w:val="0"/>
                <w:color w:val="auto"/>
                <w:kern w:val="0"/>
                <w:sz w:val="24"/>
                <w:szCs w:val="24"/>
                <w:highlight w:val="none"/>
                <w:u w:val="none"/>
                <w:lang w:val="en-US" w:eastAsia="zh-CN"/>
              </w:rPr>
              <w:t>2.76</w:t>
            </w:r>
            <w:r>
              <w:rPr>
                <w:rFonts w:hint="default" w:ascii="Times New Roman" w:hAnsi="Times New Roman" w:eastAsia="方正仿宋_GBK" w:cs="Times New Roman"/>
                <w:b w:val="0"/>
                <w:bCs w:val="0"/>
                <w:color w:val="auto"/>
                <w:kern w:val="0"/>
                <w:sz w:val="24"/>
                <w:szCs w:val="24"/>
                <w:highlight w:val="none"/>
                <w:u w:val="none"/>
              </w:rPr>
              <w:t>】</w:t>
            </w:r>
          </w:p>
        </w:tc>
        <w:tc>
          <w:tcPr>
            <w:tcW w:w="1134"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eastAsia" w:eastAsia="方正仿宋_GBK" w:cs="Times New Roman"/>
                <w:b w:val="0"/>
                <w:bCs w:val="0"/>
                <w:color w:val="auto"/>
                <w:kern w:val="0"/>
                <w:sz w:val="24"/>
                <w:szCs w:val="24"/>
                <w:highlight w:val="none"/>
                <w:u w:val="none"/>
                <w:lang w:val="en-US" w:eastAsia="zh-CN"/>
              </w:rPr>
              <w:t>0.76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537"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eastAsia" w:eastAsia="方正仿宋_GBK" w:cs="Times New Roman"/>
                <w:b w:val="0"/>
                <w:bCs w:val="0"/>
                <w:color w:val="auto"/>
                <w:kern w:val="0"/>
                <w:sz w:val="24"/>
                <w:szCs w:val="24"/>
                <w:highlight w:val="none"/>
                <w:u w:val="none"/>
                <w:lang w:val="en-US" w:eastAsia="zh-CN"/>
              </w:rPr>
              <w:t>4</w:t>
            </w:r>
            <w:r>
              <w:rPr>
                <w:rFonts w:hint="default" w:ascii="Times New Roman" w:hAnsi="Times New Roman" w:eastAsia="方正仿宋_GBK" w:cs="Times New Roman"/>
                <w:b w:val="0"/>
                <w:bCs w:val="0"/>
                <w:color w:val="auto"/>
                <w:kern w:val="0"/>
                <w:sz w:val="24"/>
                <w:szCs w:val="24"/>
                <w:highlight w:val="none"/>
                <w:u w:val="none"/>
              </w:rPr>
              <w:t>.市级创业孵化基地（家）</w:t>
            </w:r>
          </w:p>
        </w:tc>
        <w:tc>
          <w:tcPr>
            <w:tcW w:w="1276"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w:t>
            </w:r>
          </w:p>
        </w:tc>
        <w:tc>
          <w:tcPr>
            <w:tcW w:w="1559"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eastAsia" w:eastAsia="方正仿宋_GBK" w:cs="Times New Roman"/>
                <w:b w:val="0"/>
                <w:bCs w:val="0"/>
                <w:color w:val="auto"/>
                <w:kern w:val="0"/>
                <w:sz w:val="24"/>
                <w:szCs w:val="24"/>
                <w:highlight w:val="none"/>
                <w:u w:val="none"/>
                <w:lang w:val="en-US" w:eastAsia="zh-CN"/>
              </w:rPr>
              <w:t>4</w:t>
            </w:r>
          </w:p>
        </w:tc>
        <w:tc>
          <w:tcPr>
            <w:tcW w:w="1276" w:type="dxa"/>
            <w:gridSpan w:val="2"/>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eastAsia" w:eastAsia="方正仿宋_GBK" w:cs="Times New Roman"/>
                <w:b w:val="0"/>
                <w:bCs w:val="0"/>
                <w:color w:val="auto"/>
                <w:kern w:val="0"/>
                <w:sz w:val="24"/>
                <w:szCs w:val="24"/>
                <w:highlight w:val="none"/>
                <w:u w:val="none"/>
                <w:lang w:val="en-US" w:eastAsia="zh-CN"/>
              </w:rPr>
              <w:t>2</w:t>
            </w:r>
          </w:p>
        </w:tc>
        <w:tc>
          <w:tcPr>
            <w:tcW w:w="1134"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eastAsia" w:eastAsia="方正仿宋_GBK" w:cs="Times New Roman"/>
                <w:b w:val="0"/>
                <w:bCs w:val="0"/>
                <w:color w:val="auto"/>
                <w:kern w:val="0"/>
                <w:sz w:val="24"/>
                <w:szCs w:val="24"/>
                <w:highlight w:val="none"/>
                <w:u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537"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eastAsia" w:eastAsia="方正仿宋_GBK" w:cs="Times New Roman"/>
                <w:b w:val="0"/>
                <w:bCs w:val="0"/>
                <w:color w:val="auto"/>
                <w:kern w:val="0"/>
                <w:sz w:val="24"/>
                <w:szCs w:val="24"/>
                <w:highlight w:val="none"/>
                <w:u w:val="none"/>
                <w:lang w:val="en-US" w:eastAsia="zh-CN"/>
              </w:rPr>
              <w:t>5</w:t>
            </w:r>
            <w:r>
              <w:rPr>
                <w:rFonts w:hint="default" w:ascii="Times New Roman" w:hAnsi="Times New Roman" w:eastAsia="方正仿宋_GBK" w:cs="Times New Roman"/>
                <w:b w:val="0"/>
                <w:bCs w:val="0"/>
                <w:color w:val="auto"/>
                <w:kern w:val="0"/>
                <w:sz w:val="24"/>
                <w:szCs w:val="24"/>
                <w:highlight w:val="none"/>
                <w:u w:val="none"/>
              </w:rPr>
              <w:t>.就业技能培训人数（万人）</w:t>
            </w:r>
          </w:p>
        </w:tc>
        <w:tc>
          <w:tcPr>
            <w:tcW w:w="1276"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w:t>
            </w:r>
          </w:p>
        </w:tc>
        <w:tc>
          <w:tcPr>
            <w:tcW w:w="1559"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w:t>
            </w:r>
            <w:r>
              <w:rPr>
                <w:rFonts w:hint="eastAsia" w:eastAsia="方正仿宋_GBK" w:cs="Times New Roman"/>
                <w:b w:val="0"/>
                <w:bCs w:val="0"/>
                <w:color w:val="auto"/>
                <w:kern w:val="0"/>
                <w:sz w:val="24"/>
                <w:szCs w:val="24"/>
                <w:highlight w:val="none"/>
                <w:u w:val="none"/>
                <w:lang w:val="en-US" w:eastAsia="zh-CN"/>
              </w:rPr>
              <w:t>1.3</w:t>
            </w:r>
            <w:r>
              <w:rPr>
                <w:rFonts w:hint="default" w:ascii="Times New Roman" w:hAnsi="Times New Roman" w:eastAsia="方正仿宋_GBK" w:cs="Times New Roman"/>
                <w:b w:val="0"/>
                <w:bCs w:val="0"/>
                <w:color w:val="auto"/>
                <w:kern w:val="0"/>
                <w:sz w:val="24"/>
                <w:szCs w:val="24"/>
                <w:highlight w:val="none"/>
                <w:u w:val="none"/>
              </w:rPr>
              <w:t>】</w:t>
            </w:r>
          </w:p>
        </w:tc>
        <w:tc>
          <w:tcPr>
            <w:tcW w:w="1276" w:type="dxa"/>
            <w:gridSpan w:val="2"/>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w:t>
            </w:r>
            <w:r>
              <w:rPr>
                <w:rFonts w:hint="eastAsia" w:eastAsia="方正仿宋_GBK" w:cs="Times New Roman"/>
                <w:b w:val="0"/>
                <w:bCs w:val="0"/>
                <w:color w:val="auto"/>
                <w:kern w:val="0"/>
                <w:sz w:val="24"/>
                <w:szCs w:val="24"/>
                <w:highlight w:val="none"/>
                <w:u w:val="none"/>
                <w:lang w:val="en-US" w:eastAsia="zh-CN"/>
              </w:rPr>
              <w:t>1.63</w:t>
            </w:r>
            <w:r>
              <w:rPr>
                <w:rFonts w:hint="default" w:ascii="Times New Roman" w:hAnsi="Times New Roman" w:eastAsia="方正仿宋_GBK" w:cs="Times New Roman"/>
                <w:b w:val="0"/>
                <w:bCs w:val="0"/>
                <w:color w:val="auto"/>
                <w:kern w:val="0"/>
                <w:sz w:val="24"/>
                <w:szCs w:val="24"/>
                <w:highlight w:val="none"/>
                <w:u w:val="none"/>
              </w:rPr>
              <w:t>】</w:t>
            </w:r>
          </w:p>
        </w:tc>
        <w:tc>
          <w:tcPr>
            <w:tcW w:w="1134"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val="en-US" w:eastAsia="zh-CN"/>
              </w:rPr>
            </w:pPr>
            <w:r>
              <w:rPr>
                <w:rFonts w:hint="eastAsia" w:eastAsia="方正仿宋_GBK" w:cs="Times New Roman"/>
                <w:b w:val="0"/>
                <w:bCs w:val="0"/>
                <w:color w:val="auto"/>
                <w:kern w:val="0"/>
                <w:sz w:val="24"/>
                <w:szCs w:val="24"/>
                <w:highlight w:val="none"/>
                <w:u w:val="none"/>
                <w:lang w:val="en-US" w:eastAsia="zh-CN"/>
              </w:rPr>
              <w:t>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82" w:type="dxa"/>
            <w:gridSpan w:val="6"/>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二、社会保障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537"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eastAsia" w:eastAsia="方正仿宋_GBK" w:cs="Times New Roman"/>
                <w:b w:val="0"/>
                <w:bCs w:val="0"/>
                <w:color w:val="auto"/>
                <w:kern w:val="0"/>
                <w:sz w:val="24"/>
                <w:szCs w:val="24"/>
                <w:highlight w:val="none"/>
                <w:u w:val="none"/>
                <w:lang w:val="en-US" w:eastAsia="zh-CN"/>
              </w:rPr>
              <w:t>6</w:t>
            </w:r>
            <w:r>
              <w:rPr>
                <w:rFonts w:hint="default" w:ascii="Times New Roman" w:hAnsi="Times New Roman" w:eastAsia="方正仿宋_GBK" w:cs="Times New Roman"/>
                <w:b w:val="0"/>
                <w:bCs w:val="0"/>
                <w:color w:val="auto"/>
                <w:kern w:val="0"/>
                <w:sz w:val="24"/>
                <w:szCs w:val="24"/>
                <w:highlight w:val="none"/>
                <w:u w:val="none"/>
              </w:rPr>
              <w:t>.城乡养老保险参保率（%）</w:t>
            </w:r>
          </w:p>
        </w:tc>
        <w:tc>
          <w:tcPr>
            <w:tcW w:w="1276"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&gt;95</w:t>
            </w:r>
          </w:p>
        </w:tc>
        <w:tc>
          <w:tcPr>
            <w:tcW w:w="1559"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&gt;95</w:t>
            </w:r>
          </w:p>
        </w:tc>
        <w:tc>
          <w:tcPr>
            <w:tcW w:w="1276" w:type="dxa"/>
            <w:gridSpan w:val="2"/>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&gt;95</w:t>
            </w:r>
          </w:p>
        </w:tc>
        <w:tc>
          <w:tcPr>
            <w:tcW w:w="1134"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537"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eastAsia" w:eastAsia="方正仿宋_GBK" w:cs="Times New Roman"/>
                <w:b w:val="0"/>
                <w:bCs w:val="0"/>
                <w:color w:val="auto"/>
                <w:kern w:val="0"/>
                <w:sz w:val="24"/>
                <w:szCs w:val="24"/>
                <w:highlight w:val="none"/>
                <w:u w:val="none"/>
                <w:lang w:val="en-US" w:eastAsia="zh-CN"/>
              </w:rPr>
              <w:t>7</w:t>
            </w:r>
            <w:r>
              <w:rPr>
                <w:rFonts w:hint="default" w:ascii="Times New Roman" w:hAnsi="Times New Roman" w:eastAsia="方正仿宋_GBK" w:cs="Times New Roman"/>
                <w:b w:val="0"/>
                <w:bCs w:val="0"/>
                <w:color w:val="auto"/>
                <w:kern w:val="0"/>
                <w:sz w:val="24"/>
                <w:szCs w:val="24"/>
                <w:highlight w:val="none"/>
                <w:u w:val="none"/>
              </w:rPr>
              <w:t>.城乡养老保险参保人数（万人）</w:t>
            </w:r>
          </w:p>
        </w:tc>
        <w:tc>
          <w:tcPr>
            <w:tcW w:w="1276"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lang w:val="en-US" w:eastAsia="zh-CN"/>
              </w:rPr>
            </w:pPr>
            <w:r>
              <w:rPr>
                <w:rFonts w:hint="eastAsia" w:eastAsia="方正仿宋_GBK" w:cs="Times New Roman"/>
                <w:b w:val="0"/>
                <w:bCs w:val="0"/>
                <w:color w:val="auto"/>
                <w:kern w:val="0"/>
                <w:sz w:val="24"/>
                <w:szCs w:val="24"/>
                <w:highlight w:val="none"/>
                <w:u w:val="none"/>
                <w:lang w:val="en-US" w:eastAsia="zh-CN"/>
              </w:rPr>
              <w:t>20.66</w:t>
            </w:r>
          </w:p>
        </w:tc>
        <w:tc>
          <w:tcPr>
            <w:tcW w:w="1559"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lang w:val="en-US" w:eastAsia="zh-CN"/>
              </w:rPr>
            </w:pPr>
            <w:r>
              <w:rPr>
                <w:rFonts w:hint="eastAsia" w:eastAsia="方正仿宋_GBK" w:cs="Times New Roman"/>
                <w:b w:val="0"/>
                <w:bCs w:val="0"/>
                <w:color w:val="auto"/>
                <w:kern w:val="0"/>
                <w:sz w:val="24"/>
                <w:szCs w:val="24"/>
                <w:highlight w:val="none"/>
                <w:u w:val="none"/>
                <w:lang w:val="en-US" w:eastAsia="zh-CN"/>
              </w:rPr>
              <w:t>20.95</w:t>
            </w:r>
          </w:p>
        </w:tc>
        <w:tc>
          <w:tcPr>
            <w:tcW w:w="1276" w:type="dxa"/>
            <w:gridSpan w:val="2"/>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eastAsia" w:eastAsia="方正仿宋_GBK" w:cs="Times New Roman"/>
                <w:b w:val="0"/>
                <w:bCs w:val="0"/>
                <w:color w:val="auto"/>
                <w:kern w:val="0"/>
                <w:sz w:val="24"/>
                <w:szCs w:val="24"/>
                <w:highlight w:val="none"/>
                <w:u w:val="none"/>
                <w:lang w:val="en-US" w:eastAsia="zh-CN"/>
              </w:rPr>
              <w:t>23.4</w:t>
            </w:r>
          </w:p>
        </w:tc>
        <w:tc>
          <w:tcPr>
            <w:tcW w:w="1134"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eastAsia" w:eastAsia="方正仿宋_GBK" w:cs="Times New Roman"/>
                <w:b w:val="0"/>
                <w:bCs w:val="0"/>
                <w:color w:val="auto"/>
                <w:kern w:val="0"/>
                <w:sz w:val="24"/>
                <w:szCs w:val="24"/>
                <w:highlight w:val="none"/>
                <w:u w:val="none"/>
                <w:lang w:val="en-US" w:eastAsia="zh-CN"/>
              </w:rPr>
              <w:t>2.74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537"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城乡</w:t>
            </w:r>
            <w:r>
              <w:rPr>
                <w:rFonts w:hint="eastAsia" w:eastAsia="方正仿宋_GBK" w:cs="Times New Roman"/>
                <w:b w:val="0"/>
                <w:bCs w:val="0"/>
                <w:color w:val="auto"/>
                <w:kern w:val="0"/>
                <w:sz w:val="24"/>
                <w:szCs w:val="24"/>
                <w:highlight w:val="none"/>
                <w:u w:val="none"/>
                <w:lang w:eastAsia="zh-CN"/>
              </w:rPr>
              <w:t>医疗</w:t>
            </w:r>
            <w:r>
              <w:rPr>
                <w:rFonts w:hint="default" w:ascii="Times New Roman" w:hAnsi="Times New Roman" w:eastAsia="方正仿宋_GBK" w:cs="Times New Roman"/>
                <w:b w:val="0"/>
                <w:bCs w:val="0"/>
                <w:color w:val="auto"/>
                <w:kern w:val="0"/>
                <w:sz w:val="24"/>
                <w:szCs w:val="24"/>
                <w:highlight w:val="none"/>
                <w:u w:val="none"/>
              </w:rPr>
              <w:t>保险参保率（%）</w:t>
            </w:r>
          </w:p>
        </w:tc>
        <w:tc>
          <w:tcPr>
            <w:tcW w:w="1276"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default" w:ascii="Times New Roman" w:hAnsi="Times New Roman" w:eastAsia="方正仿宋_GBK" w:cs="Times New Roman"/>
                <w:b w:val="0"/>
                <w:bCs w:val="0"/>
                <w:color w:val="auto"/>
                <w:kern w:val="0"/>
                <w:sz w:val="24"/>
                <w:szCs w:val="24"/>
                <w:highlight w:val="none"/>
                <w:u w:val="none"/>
              </w:rPr>
              <w:t>&gt;9</w:t>
            </w:r>
            <w:r>
              <w:rPr>
                <w:rFonts w:hint="eastAsia" w:eastAsia="方正仿宋_GBK" w:cs="Times New Roman"/>
                <w:b w:val="0"/>
                <w:bCs w:val="0"/>
                <w:color w:val="auto"/>
                <w:kern w:val="0"/>
                <w:sz w:val="24"/>
                <w:szCs w:val="24"/>
                <w:highlight w:val="none"/>
                <w:u w:val="none"/>
                <w:lang w:val="en-US" w:eastAsia="zh-CN"/>
              </w:rPr>
              <w:t>6</w:t>
            </w:r>
          </w:p>
        </w:tc>
        <w:tc>
          <w:tcPr>
            <w:tcW w:w="1559"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&gt;95</w:t>
            </w:r>
          </w:p>
        </w:tc>
        <w:tc>
          <w:tcPr>
            <w:tcW w:w="1276" w:type="dxa"/>
            <w:gridSpan w:val="2"/>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eastAsia="方正仿宋_GBK" w:cs="Times New Roman"/>
                <w:b w:val="0"/>
                <w:bCs w:val="0"/>
                <w:color w:val="auto"/>
                <w:kern w:val="0"/>
                <w:sz w:val="24"/>
                <w:szCs w:val="24"/>
                <w:highlight w:val="none"/>
                <w:u w:val="none"/>
                <w:lang w:val="en-US" w:eastAsia="zh-CN"/>
              </w:rPr>
            </w:pPr>
            <w:r>
              <w:rPr>
                <w:rFonts w:hint="eastAsia" w:eastAsia="方正仿宋_GBK" w:cs="Times New Roman"/>
                <w:b w:val="0"/>
                <w:bCs w:val="0"/>
                <w:color w:val="auto"/>
                <w:kern w:val="0"/>
                <w:sz w:val="24"/>
                <w:szCs w:val="24"/>
                <w:highlight w:val="none"/>
                <w:u w:val="none"/>
                <w:lang w:val="en-US" w:eastAsia="zh-CN"/>
              </w:rPr>
              <w:t>&gt;95</w:t>
            </w:r>
          </w:p>
        </w:tc>
        <w:tc>
          <w:tcPr>
            <w:tcW w:w="1134"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537"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城乡</w:t>
            </w:r>
            <w:r>
              <w:rPr>
                <w:rFonts w:hint="eastAsia" w:eastAsia="方正仿宋_GBK" w:cs="Times New Roman"/>
                <w:b w:val="0"/>
                <w:bCs w:val="0"/>
                <w:color w:val="auto"/>
                <w:kern w:val="0"/>
                <w:sz w:val="24"/>
                <w:szCs w:val="24"/>
                <w:highlight w:val="none"/>
                <w:u w:val="none"/>
                <w:lang w:eastAsia="zh-CN"/>
              </w:rPr>
              <w:t>医疗</w:t>
            </w:r>
            <w:r>
              <w:rPr>
                <w:rFonts w:hint="default" w:ascii="Times New Roman" w:hAnsi="Times New Roman" w:eastAsia="方正仿宋_GBK" w:cs="Times New Roman"/>
                <w:b w:val="0"/>
                <w:bCs w:val="0"/>
                <w:color w:val="auto"/>
                <w:kern w:val="0"/>
                <w:sz w:val="24"/>
                <w:szCs w:val="24"/>
                <w:highlight w:val="none"/>
                <w:u w:val="none"/>
              </w:rPr>
              <w:t>保险参保人数（万人）</w:t>
            </w:r>
          </w:p>
        </w:tc>
        <w:tc>
          <w:tcPr>
            <w:tcW w:w="1276"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lang w:val="en-US" w:eastAsia="zh-CN"/>
              </w:rPr>
            </w:pPr>
            <w:r>
              <w:rPr>
                <w:rFonts w:hint="eastAsia" w:eastAsia="方正仿宋_GBK" w:cs="Times New Roman"/>
                <w:b w:val="0"/>
                <w:bCs w:val="0"/>
                <w:color w:val="auto"/>
                <w:kern w:val="0"/>
                <w:sz w:val="24"/>
                <w:szCs w:val="24"/>
                <w:highlight w:val="none"/>
                <w:u w:val="none"/>
                <w:lang w:val="en-US" w:eastAsia="zh-CN"/>
              </w:rPr>
              <w:t>25.92</w:t>
            </w:r>
          </w:p>
        </w:tc>
        <w:tc>
          <w:tcPr>
            <w:tcW w:w="1559"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lang w:val="en-US" w:eastAsia="zh-CN"/>
              </w:rPr>
            </w:pPr>
            <w:r>
              <w:rPr>
                <w:rFonts w:hint="eastAsia" w:eastAsia="方正仿宋_GBK" w:cs="Times New Roman"/>
                <w:b w:val="0"/>
                <w:bCs w:val="0"/>
                <w:color w:val="auto"/>
                <w:kern w:val="0"/>
                <w:sz w:val="24"/>
                <w:szCs w:val="24"/>
                <w:highlight w:val="none"/>
                <w:u w:val="none"/>
                <w:lang w:val="en-US" w:eastAsia="zh-CN"/>
              </w:rPr>
              <w:t>25.98</w:t>
            </w:r>
          </w:p>
        </w:tc>
        <w:tc>
          <w:tcPr>
            <w:tcW w:w="1276" w:type="dxa"/>
            <w:gridSpan w:val="2"/>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eastAsia="方正仿宋_GBK" w:cs="Times New Roman"/>
                <w:b w:val="0"/>
                <w:bCs w:val="0"/>
                <w:color w:val="auto"/>
                <w:kern w:val="0"/>
                <w:sz w:val="24"/>
                <w:szCs w:val="24"/>
                <w:highlight w:val="none"/>
                <w:u w:val="none"/>
                <w:lang w:val="en-US" w:eastAsia="zh-CN"/>
              </w:rPr>
            </w:pPr>
            <w:r>
              <w:rPr>
                <w:rFonts w:hint="eastAsia" w:eastAsia="方正仿宋_GBK" w:cs="Times New Roman"/>
                <w:b w:val="0"/>
                <w:bCs w:val="0"/>
                <w:color w:val="auto"/>
                <w:kern w:val="0"/>
                <w:sz w:val="24"/>
                <w:szCs w:val="24"/>
                <w:highlight w:val="none"/>
                <w:u w:val="none"/>
                <w:lang w:val="en-US" w:eastAsia="zh-CN"/>
              </w:rPr>
              <w:t>26.41</w:t>
            </w:r>
          </w:p>
        </w:tc>
        <w:tc>
          <w:tcPr>
            <w:tcW w:w="1134"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val="en-US" w:eastAsia="zh-CN"/>
              </w:rPr>
            </w:pPr>
            <w:r>
              <w:rPr>
                <w:rFonts w:hint="eastAsia" w:eastAsia="方正仿宋_GBK" w:cs="Times New Roman"/>
                <w:b w:val="0"/>
                <w:bCs w:val="0"/>
                <w:color w:val="auto"/>
                <w:kern w:val="0"/>
                <w:sz w:val="24"/>
                <w:szCs w:val="24"/>
                <w:highlight w:val="none"/>
                <w:u w:val="none"/>
                <w:lang w:val="en-US" w:eastAsia="zh-CN"/>
              </w:rPr>
              <w:t>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82" w:type="dxa"/>
            <w:gridSpan w:val="6"/>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default" w:ascii="Times New Roman" w:hAnsi="Times New Roman" w:eastAsia="方正仿宋_GBK" w:cs="Times New Roman"/>
                <w:b w:val="0"/>
                <w:bCs w:val="0"/>
                <w:color w:val="auto"/>
                <w:kern w:val="2"/>
                <w:sz w:val="24"/>
                <w:szCs w:val="24"/>
                <w:highlight w:val="none"/>
                <w:u w:val="none"/>
                <w:lang w:val="en-US" w:eastAsia="zh-CN" w:bidi="ar-SA"/>
              </w:rPr>
            </w:pPr>
            <w:r>
              <w:rPr>
                <w:rFonts w:hint="eastAsia" w:ascii="Times New Roman" w:hAnsi="Times New Roman" w:eastAsia="方正仿宋_GBK" w:cs="Times New Roman"/>
                <w:b w:val="0"/>
                <w:bCs w:val="0"/>
                <w:color w:val="auto"/>
                <w:sz w:val="24"/>
                <w:szCs w:val="24"/>
                <w:highlight w:val="none"/>
                <w:u w:val="none"/>
                <w:lang w:eastAsia="zh-CN"/>
              </w:rPr>
              <w:t>三</w:t>
            </w:r>
            <w:r>
              <w:rPr>
                <w:rFonts w:hint="default" w:ascii="Times New Roman" w:hAnsi="Times New Roman" w:eastAsia="方正仿宋_GBK" w:cs="Times New Roman"/>
                <w:b w:val="0"/>
                <w:bCs w:val="0"/>
                <w:color w:val="auto"/>
                <w:sz w:val="24"/>
                <w:szCs w:val="24"/>
                <w:highlight w:val="none"/>
                <w:u w:val="none"/>
              </w:rPr>
              <w:t>、</w:t>
            </w:r>
            <w:r>
              <w:rPr>
                <w:rFonts w:hint="eastAsia" w:ascii="Times New Roman" w:hAnsi="Times New Roman" w:eastAsia="方正仿宋_GBK" w:cs="Times New Roman"/>
                <w:b w:val="0"/>
                <w:bCs w:val="0"/>
                <w:color w:val="auto"/>
                <w:sz w:val="24"/>
                <w:szCs w:val="24"/>
                <w:highlight w:val="none"/>
                <w:u w:val="none"/>
                <w:lang w:eastAsia="zh-CN"/>
              </w:rPr>
              <w:t>医疗保障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53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default" w:ascii="Times New Roman" w:hAnsi="Times New Roman" w:eastAsia="方正仿宋_GBK" w:cs="Times New Roman"/>
                <w:b w:val="0"/>
                <w:bCs w:val="0"/>
                <w:color w:val="auto"/>
                <w:kern w:val="2"/>
                <w:sz w:val="24"/>
                <w:szCs w:val="24"/>
                <w:highlight w:val="none"/>
                <w:u w:val="none"/>
                <w:lang w:val="en-US" w:eastAsia="zh-CN" w:bidi="ar-SA"/>
              </w:rPr>
            </w:pPr>
            <w:r>
              <w:rPr>
                <w:rFonts w:hint="eastAsia" w:ascii="Times New Roman" w:hAnsi="Times New Roman" w:eastAsia="方正仿宋_GBK" w:cs="Times New Roman"/>
                <w:b w:val="0"/>
                <w:bCs w:val="0"/>
                <w:color w:val="auto"/>
                <w:sz w:val="24"/>
                <w:szCs w:val="24"/>
                <w:highlight w:val="none"/>
                <w:u w:val="none"/>
                <w:lang w:val="en-US" w:eastAsia="zh-CN"/>
              </w:rPr>
              <w:t>1.</w:t>
            </w:r>
            <w:r>
              <w:rPr>
                <w:rFonts w:hint="eastAsia" w:ascii="Times New Roman" w:hAnsi="Times New Roman" w:eastAsia="方正仿宋_GBK" w:cs="Times New Roman"/>
                <w:b w:val="0"/>
                <w:bCs w:val="0"/>
                <w:color w:val="auto"/>
                <w:sz w:val="24"/>
                <w:szCs w:val="24"/>
                <w:highlight w:val="none"/>
                <w:u w:val="none"/>
                <w:lang w:eastAsia="zh-CN"/>
              </w:rPr>
              <w:t>基本医疗保险综合参保率</w:t>
            </w:r>
          </w:p>
        </w:tc>
        <w:tc>
          <w:tcPr>
            <w:tcW w:w="127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kern w:val="2"/>
                <w:sz w:val="24"/>
                <w:szCs w:val="24"/>
                <w:highlight w:val="none"/>
                <w:u w:val="none"/>
                <w:lang w:val="en-US" w:eastAsia="zh-CN" w:bidi="ar-SA"/>
              </w:rPr>
            </w:pPr>
            <w:r>
              <w:rPr>
                <w:rFonts w:hint="default" w:ascii="Times New Roman" w:hAnsi="Times New Roman" w:eastAsia="方正仿宋_GBK" w:cs="Times New Roman"/>
                <w:b w:val="0"/>
                <w:bCs w:val="0"/>
                <w:color w:val="auto"/>
                <w:sz w:val="24"/>
                <w:szCs w:val="24"/>
                <w:highlight w:val="none"/>
                <w:u w:val="none"/>
                <w:lang w:val="en-US" w:eastAsia="zh-CN"/>
              </w:rPr>
              <w:t>&gt;95</w:t>
            </w:r>
          </w:p>
        </w:tc>
        <w:tc>
          <w:tcPr>
            <w:tcW w:w="1559"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lang w:val="en-US" w:eastAsia="zh-CN"/>
              </w:rPr>
            </w:pPr>
            <w:r>
              <w:rPr>
                <w:rFonts w:hint="default" w:ascii="Times New Roman" w:hAnsi="Times New Roman" w:eastAsia="方正仿宋_GBK" w:cs="Times New Roman"/>
                <w:b w:val="0"/>
                <w:bCs w:val="0"/>
                <w:color w:val="auto"/>
                <w:sz w:val="24"/>
                <w:szCs w:val="24"/>
                <w:highlight w:val="none"/>
                <w:u w:val="none"/>
                <w:lang w:val="en-US" w:eastAsia="zh-CN"/>
              </w:rPr>
              <w:t>&gt;95</w:t>
            </w:r>
          </w:p>
        </w:tc>
        <w:tc>
          <w:tcPr>
            <w:tcW w:w="127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kern w:val="2"/>
                <w:sz w:val="24"/>
                <w:szCs w:val="24"/>
                <w:highlight w:val="none"/>
                <w:u w:val="none"/>
                <w:lang w:val="en-US" w:eastAsia="zh-CN" w:bidi="ar-SA"/>
              </w:rPr>
            </w:pPr>
            <w:r>
              <w:rPr>
                <w:rFonts w:hint="default" w:ascii="Times New Roman" w:hAnsi="Times New Roman" w:eastAsia="方正仿宋_GBK" w:cs="Times New Roman"/>
                <w:b w:val="0"/>
                <w:bCs w:val="0"/>
                <w:color w:val="auto"/>
                <w:sz w:val="24"/>
                <w:szCs w:val="24"/>
                <w:highlight w:val="none"/>
                <w:u w:val="none"/>
                <w:lang w:val="en-US" w:eastAsia="zh-CN"/>
              </w:rPr>
              <w:t>&gt;9</w:t>
            </w:r>
            <w:r>
              <w:rPr>
                <w:rFonts w:hint="eastAsia" w:ascii="Times New Roman" w:hAnsi="Times New Roman" w:eastAsia="方正仿宋_GBK" w:cs="Times New Roman"/>
                <w:b w:val="0"/>
                <w:bCs w:val="0"/>
                <w:color w:val="auto"/>
                <w:sz w:val="24"/>
                <w:szCs w:val="24"/>
                <w:highlight w:val="none"/>
                <w:u w:val="none"/>
                <w:lang w:val="en-US" w:eastAsia="zh-CN"/>
              </w:rPr>
              <w:t>5</w:t>
            </w:r>
          </w:p>
        </w:tc>
        <w:tc>
          <w:tcPr>
            <w:tcW w:w="1134"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kern w:val="2"/>
                <w:sz w:val="24"/>
                <w:szCs w:val="24"/>
                <w:highlight w:val="none"/>
                <w:u w:val="none"/>
                <w:lang w:val="en-US" w:eastAsia="zh-CN" w:bidi="ar-SA"/>
              </w:rPr>
            </w:pPr>
            <w:r>
              <w:rPr>
                <w:rFonts w:hint="default" w:ascii="Times New Roman" w:hAnsi="Times New Roman" w:eastAsia="方正仿宋_GBK" w:cs="Times New Roman"/>
                <w:b w:val="0"/>
                <w:bCs w:val="0"/>
                <w:color w:val="auto"/>
                <w:kern w:val="2"/>
                <w:sz w:val="24"/>
                <w:szCs w:val="24"/>
                <w:highlight w:val="none"/>
                <w:u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82" w:type="dxa"/>
            <w:gridSpan w:val="6"/>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eastAsia" w:eastAsia="方正仿宋_GBK" w:cs="Times New Roman"/>
                <w:b w:val="0"/>
                <w:bCs w:val="0"/>
                <w:color w:val="auto"/>
                <w:kern w:val="0"/>
                <w:sz w:val="24"/>
                <w:szCs w:val="24"/>
                <w:highlight w:val="none"/>
                <w:u w:val="none"/>
                <w:lang w:eastAsia="zh-CN"/>
              </w:rPr>
              <w:t>四</w:t>
            </w:r>
            <w:r>
              <w:rPr>
                <w:rFonts w:hint="default" w:ascii="Times New Roman" w:hAnsi="Times New Roman" w:eastAsia="方正仿宋_GBK" w:cs="Times New Roman"/>
                <w:b w:val="0"/>
                <w:bCs w:val="0"/>
                <w:color w:val="auto"/>
                <w:kern w:val="0"/>
                <w:sz w:val="24"/>
                <w:szCs w:val="24"/>
                <w:highlight w:val="none"/>
                <w:u w:val="none"/>
              </w:rPr>
              <w:t>、人才队伍建设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537"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eastAsia" w:eastAsia="方正仿宋_GBK" w:cs="Times New Roman"/>
                <w:b w:val="0"/>
                <w:bCs w:val="0"/>
                <w:color w:val="auto"/>
                <w:kern w:val="0"/>
                <w:sz w:val="24"/>
                <w:szCs w:val="24"/>
                <w:highlight w:val="none"/>
                <w:u w:val="none"/>
                <w:lang w:val="en-US" w:eastAsia="zh-CN"/>
              </w:rPr>
              <w:t>8</w:t>
            </w:r>
            <w:r>
              <w:rPr>
                <w:rFonts w:hint="default" w:ascii="Times New Roman" w:hAnsi="Times New Roman" w:eastAsia="方正仿宋_GBK" w:cs="Times New Roman"/>
                <w:b w:val="0"/>
                <w:bCs w:val="0"/>
                <w:color w:val="auto"/>
                <w:kern w:val="0"/>
                <w:sz w:val="24"/>
                <w:szCs w:val="24"/>
                <w:highlight w:val="none"/>
                <w:u w:val="none"/>
              </w:rPr>
              <w:t>.专业技术人才总量（万人）</w:t>
            </w:r>
          </w:p>
        </w:tc>
        <w:tc>
          <w:tcPr>
            <w:tcW w:w="1276"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lang w:val="en-US" w:eastAsia="zh-CN"/>
              </w:rPr>
            </w:pPr>
            <w:r>
              <w:rPr>
                <w:rFonts w:hint="eastAsia" w:eastAsia="方正仿宋_GBK" w:cs="Times New Roman"/>
                <w:b w:val="0"/>
                <w:bCs w:val="0"/>
                <w:color w:val="auto"/>
                <w:kern w:val="0"/>
                <w:sz w:val="24"/>
                <w:szCs w:val="24"/>
                <w:highlight w:val="none"/>
                <w:u w:val="none"/>
                <w:lang w:val="en-US" w:eastAsia="zh-CN"/>
              </w:rPr>
              <w:t>0.88</w:t>
            </w:r>
          </w:p>
        </w:tc>
        <w:tc>
          <w:tcPr>
            <w:tcW w:w="1559"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lang w:val="en-US" w:eastAsia="zh-CN"/>
              </w:rPr>
            </w:pPr>
            <w:r>
              <w:rPr>
                <w:rFonts w:hint="eastAsia" w:eastAsia="方正仿宋_GBK" w:cs="Times New Roman"/>
                <w:b w:val="0"/>
                <w:bCs w:val="0"/>
                <w:color w:val="auto"/>
                <w:kern w:val="0"/>
                <w:sz w:val="24"/>
                <w:szCs w:val="24"/>
                <w:highlight w:val="none"/>
                <w:u w:val="none"/>
                <w:lang w:val="en-US" w:eastAsia="zh-CN"/>
              </w:rPr>
              <w:t>1.6</w:t>
            </w:r>
          </w:p>
        </w:tc>
        <w:tc>
          <w:tcPr>
            <w:tcW w:w="1276" w:type="dxa"/>
            <w:gridSpan w:val="2"/>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eastAsia" w:eastAsia="方正仿宋_GBK" w:cs="Times New Roman"/>
                <w:b w:val="0"/>
                <w:bCs w:val="0"/>
                <w:color w:val="auto"/>
                <w:kern w:val="0"/>
                <w:sz w:val="24"/>
                <w:szCs w:val="24"/>
                <w:highlight w:val="none"/>
                <w:u w:val="none"/>
                <w:lang w:val="en-US" w:eastAsia="zh-CN"/>
              </w:rPr>
              <w:t>1.6</w:t>
            </w:r>
          </w:p>
        </w:tc>
        <w:tc>
          <w:tcPr>
            <w:tcW w:w="1134"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eastAsia" w:eastAsia="方正仿宋_GBK" w:cs="Times New Roman"/>
                <w:b w:val="0"/>
                <w:bCs w:val="0"/>
                <w:color w:val="auto"/>
                <w:kern w:val="0"/>
                <w:sz w:val="24"/>
                <w:szCs w:val="24"/>
                <w:highlight w:val="none"/>
                <w:u w:val="none"/>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537"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eastAsia" w:eastAsia="方正仿宋_GBK" w:cs="Times New Roman"/>
                <w:b w:val="0"/>
                <w:bCs w:val="0"/>
                <w:color w:val="auto"/>
                <w:kern w:val="0"/>
                <w:sz w:val="24"/>
                <w:szCs w:val="24"/>
                <w:highlight w:val="none"/>
                <w:u w:val="none"/>
                <w:lang w:val="en-US" w:eastAsia="zh-CN"/>
              </w:rPr>
              <w:t>9</w:t>
            </w:r>
            <w:r>
              <w:rPr>
                <w:rFonts w:hint="default" w:ascii="Times New Roman" w:hAnsi="Times New Roman" w:eastAsia="方正仿宋_GBK" w:cs="Times New Roman"/>
                <w:b w:val="0"/>
                <w:bCs w:val="0"/>
                <w:color w:val="auto"/>
                <w:kern w:val="0"/>
                <w:sz w:val="24"/>
                <w:szCs w:val="24"/>
                <w:highlight w:val="none"/>
                <w:u w:val="none"/>
              </w:rPr>
              <w:t>.高、中、初级专业技术人才比例</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spacing w:val="-20"/>
                <w:kern w:val="0"/>
                <w:sz w:val="24"/>
                <w:szCs w:val="24"/>
                <w:highlight w:val="none"/>
                <w:u w:val="none"/>
                <w:lang w:val="en-US" w:eastAsia="zh-CN"/>
              </w:rPr>
            </w:pPr>
            <w:r>
              <w:rPr>
                <w:rFonts w:hint="eastAsia" w:eastAsia="方正仿宋_GBK" w:cs="Times New Roman"/>
                <w:b w:val="0"/>
                <w:bCs w:val="0"/>
                <w:color w:val="auto"/>
                <w:spacing w:val="-20"/>
                <w:kern w:val="0"/>
                <w:sz w:val="24"/>
                <w:szCs w:val="24"/>
                <w:highlight w:val="none"/>
                <w:u w:val="none"/>
                <w:lang w:val="en-US" w:eastAsia="zh-CN"/>
              </w:rPr>
              <w:t>8</w:t>
            </w:r>
            <w:r>
              <w:rPr>
                <w:rFonts w:hint="default" w:ascii="Times New Roman" w:hAnsi="Times New Roman" w:eastAsia="方正仿宋_GBK" w:cs="Times New Roman"/>
                <w:b w:val="0"/>
                <w:bCs w:val="0"/>
                <w:color w:val="auto"/>
                <w:spacing w:val="-20"/>
                <w:kern w:val="0"/>
                <w:sz w:val="24"/>
                <w:szCs w:val="24"/>
                <w:highlight w:val="none"/>
                <w:u w:val="none"/>
              </w:rPr>
              <w:t>:3</w:t>
            </w:r>
            <w:r>
              <w:rPr>
                <w:rFonts w:hint="eastAsia" w:eastAsia="方正仿宋_GBK" w:cs="Times New Roman"/>
                <w:b w:val="0"/>
                <w:bCs w:val="0"/>
                <w:color w:val="auto"/>
                <w:spacing w:val="-20"/>
                <w:kern w:val="0"/>
                <w:sz w:val="24"/>
                <w:szCs w:val="24"/>
                <w:highlight w:val="none"/>
                <w:u w:val="none"/>
                <w:lang w:val="en-US" w:eastAsia="zh-CN"/>
              </w:rPr>
              <w:t>4</w:t>
            </w:r>
            <w:r>
              <w:rPr>
                <w:rFonts w:hint="default" w:ascii="Times New Roman" w:hAnsi="Times New Roman" w:eastAsia="方正仿宋_GBK" w:cs="Times New Roman"/>
                <w:b w:val="0"/>
                <w:bCs w:val="0"/>
                <w:color w:val="auto"/>
                <w:spacing w:val="-20"/>
                <w:kern w:val="0"/>
                <w:sz w:val="24"/>
                <w:szCs w:val="24"/>
                <w:highlight w:val="none"/>
                <w:u w:val="none"/>
              </w:rPr>
              <w:t>:5</w:t>
            </w:r>
            <w:r>
              <w:rPr>
                <w:rFonts w:hint="eastAsia" w:eastAsia="方正仿宋_GBK" w:cs="Times New Roman"/>
                <w:b w:val="0"/>
                <w:bCs w:val="0"/>
                <w:color w:val="auto"/>
                <w:spacing w:val="-20"/>
                <w:kern w:val="0"/>
                <w:sz w:val="24"/>
                <w:szCs w:val="24"/>
                <w:highlight w:val="none"/>
                <w:u w:val="none"/>
                <w:lang w:val="en-US" w:eastAsia="zh-CN"/>
              </w:rPr>
              <w:t>8</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10:40:50</w:t>
            </w:r>
          </w:p>
        </w:tc>
        <w:tc>
          <w:tcPr>
            <w:tcW w:w="127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eastAsia" w:eastAsia="方正仿宋_GBK" w:cs="Times New Roman"/>
                <w:b w:val="0"/>
                <w:bCs w:val="0"/>
                <w:color w:val="auto"/>
                <w:kern w:val="0"/>
                <w:sz w:val="24"/>
                <w:szCs w:val="24"/>
                <w:highlight w:val="none"/>
                <w:u w:val="none"/>
                <w:lang w:val="en-US" w:eastAsia="zh-CN"/>
              </w:rPr>
              <w:t>10:40:50</w:t>
            </w:r>
          </w:p>
        </w:tc>
        <w:tc>
          <w:tcPr>
            <w:tcW w:w="1134"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eastAsia" w:eastAsia="方正仿宋_GBK" w:cs="Times New Roman"/>
                <w:b w:val="0"/>
                <w:bCs w:val="0"/>
                <w:color w:val="auto"/>
                <w:kern w:val="0"/>
                <w:sz w:val="24"/>
                <w:szCs w:val="24"/>
                <w:highlight w:val="none"/>
                <w:u w:val="none"/>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537"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eastAsia" w:eastAsia="方正仿宋_GBK" w:cs="Times New Roman"/>
                <w:b w:val="0"/>
                <w:bCs w:val="0"/>
                <w:color w:val="auto"/>
                <w:kern w:val="0"/>
                <w:sz w:val="24"/>
                <w:szCs w:val="24"/>
                <w:highlight w:val="none"/>
                <w:u w:val="none"/>
                <w:lang w:val="en-US" w:eastAsia="zh-CN"/>
              </w:rPr>
              <w:t>10</w:t>
            </w:r>
            <w:r>
              <w:rPr>
                <w:rFonts w:hint="default" w:ascii="Times New Roman" w:hAnsi="Times New Roman" w:eastAsia="方正仿宋_GBK" w:cs="Times New Roman"/>
                <w:b w:val="0"/>
                <w:bCs w:val="0"/>
                <w:color w:val="auto"/>
                <w:kern w:val="0"/>
                <w:sz w:val="24"/>
                <w:szCs w:val="24"/>
                <w:highlight w:val="none"/>
                <w:u w:val="none"/>
              </w:rPr>
              <w:t>.高技能人才总量（万人）</w:t>
            </w:r>
          </w:p>
        </w:tc>
        <w:tc>
          <w:tcPr>
            <w:tcW w:w="1276"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eastAsia" w:eastAsia="方正仿宋_GBK" w:cs="Times New Roman"/>
                <w:b w:val="0"/>
                <w:bCs w:val="0"/>
                <w:color w:val="auto"/>
                <w:kern w:val="0"/>
                <w:sz w:val="24"/>
                <w:szCs w:val="24"/>
                <w:highlight w:val="none"/>
                <w:u w:val="none"/>
                <w:lang w:val="en-US" w:eastAsia="zh-CN"/>
              </w:rPr>
              <w:t>0.12</w:t>
            </w:r>
          </w:p>
        </w:tc>
        <w:tc>
          <w:tcPr>
            <w:tcW w:w="1559"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lang w:val="en-US" w:eastAsia="zh-CN"/>
              </w:rPr>
            </w:pPr>
            <w:r>
              <w:rPr>
                <w:rFonts w:hint="eastAsia" w:eastAsia="方正仿宋_GBK" w:cs="Times New Roman"/>
                <w:b w:val="0"/>
                <w:bCs w:val="0"/>
                <w:color w:val="auto"/>
                <w:kern w:val="0"/>
                <w:sz w:val="24"/>
                <w:szCs w:val="24"/>
                <w:highlight w:val="none"/>
                <w:u w:val="none"/>
                <w:lang w:val="en-US" w:eastAsia="zh-CN"/>
              </w:rPr>
              <w:t>0.14</w:t>
            </w:r>
          </w:p>
        </w:tc>
        <w:tc>
          <w:tcPr>
            <w:tcW w:w="1276" w:type="dxa"/>
            <w:gridSpan w:val="2"/>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eastAsia" w:eastAsia="方正仿宋_GBK" w:cs="Times New Roman"/>
                <w:b w:val="0"/>
                <w:bCs w:val="0"/>
                <w:color w:val="auto"/>
                <w:kern w:val="0"/>
                <w:sz w:val="24"/>
                <w:szCs w:val="24"/>
                <w:highlight w:val="none"/>
                <w:u w:val="none"/>
                <w:lang w:val="en-US" w:eastAsia="zh-CN"/>
              </w:rPr>
              <w:t>0.18</w:t>
            </w:r>
          </w:p>
        </w:tc>
        <w:tc>
          <w:tcPr>
            <w:tcW w:w="1134"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eastAsia" w:eastAsia="方正仿宋_GBK" w:cs="Times New Roman"/>
                <w:b w:val="0"/>
                <w:bCs w:val="0"/>
                <w:color w:val="auto"/>
                <w:kern w:val="0"/>
                <w:sz w:val="24"/>
                <w:szCs w:val="24"/>
                <w:highlight w:val="none"/>
                <w:u w:val="none"/>
                <w:lang w:val="en-US" w:eastAsia="zh-CN"/>
              </w:rPr>
              <w:t>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82" w:type="dxa"/>
            <w:gridSpan w:val="6"/>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eastAsia" w:eastAsia="方正仿宋_GBK" w:cs="Times New Roman"/>
                <w:b w:val="0"/>
                <w:bCs w:val="0"/>
                <w:color w:val="auto"/>
                <w:kern w:val="0"/>
                <w:sz w:val="24"/>
                <w:szCs w:val="24"/>
                <w:highlight w:val="none"/>
                <w:u w:val="none"/>
                <w:lang w:eastAsia="zh-CN"/>
              </w:rPr>
              <w:t>五</w:t>
            </w:r>
            <w:r>
              <w:rPr>
                <w:rFonts w:hint="default" w:ascii="Times New Roman" w:hAnsi="Times New Roman" w:eastAsia="方正仿宋_GBK" w:cs="Times New Roman"/>
                <w:b w:val="0"/>
                <w:bCs w:val="0"/>
                <w:color w:val="auto"/>
                <w:kern w:val="0"/>
                <w:sz w:val="24"/>
                <w:szCs w:val="24"/>
                <w:highlight w:val="none"/>
                <w:u w:val="none"/>
              </w:rPr>
              <w:t>、劳动关系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537"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1</w:t>
            </w:r>
            <w:r>
              <w:rPr>
                <w:rFonts w:hint="eastAsia" w:eastAsia="方正仿宋_GBK" w:cs="Times New Roman"/>
                <w:b w:val="0"/>
                <w:bCs w:val="0"/>
                <w:color w:val="auto"/>
                <w:kern w:val="0"/>
                <w:sz w:val="24"/>
                <w:szCs w:val="24"/>
                <w:highlight w:val="none"/>
                <w:u w:val="none"/>
                <w:lang w:val="en-US" w:eastAsia="zh-CN"/>
              </w:rPr>
              <w:t>1</w:t>
            </w:r>
            <w:r>
              <w:rPr>
                <w:rFonts w:hint="default" w:ascii="Times New Roman" w:hAnsi="Times New Roman" w:eastAsia="方正仿宋_GBK" w:cs="Times New Roman"/>
                <w:b w:val="0"/>
                <w:bCs w:val="0"/>
                <w:color w:val="auto"/>
                <w:kern w:val="0"/>
                <w:sz w:val="24"/>
                <w:szCs w:val="24"/>
                <w:highlight w:val="none"/>
                <w:u w:val="none"/>
              </w:rPr>
              <w:t>.企业劳动合同签订率（%）</w:t>
            </w:r>
          </w:p>
        </w:tc>
        <w:tc>
          <w:tcPr>
            <w:tcW w:w="1276"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lang w:val="en-US" w:eastAsia="zh-CN"/>
              </w:rPr>
            </w:pPr>
            <w:r>
              <w:rPr>
                <w:rFonts w:hint="eastAsia" w:eastAsia="方正仿宋_GBK" w:cs="Times New Roman"/>
                <w:b w:val="0"/>
                <w:bCs w:val="0"/>
                <w:color w:val="auto"/>
                <w:kern w:val="0"/>
                <w:sz w:val="24"/>
                <w:szCs w:val="24"/>
                <w:highlight w:val="none"/>
                <w:u w:val="none"/>
                <w:lang w:val="en-US" w:eastAsia="zh-CN"/>
              </w:rPr>
              <w:t>90</w:t>
            </w:r>
          </w:p>
        </w:tc>
        <w:tc>
          <w:tcPr>
            <w:tcW w:w="1559"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&gt;90</w:t>
            </w:r>
          </w:p>
        </w:tc>
        <w:tc>
          <w:tcPr>
            <w:tcW w:w="1276" w:type="dxa"/>
            <w:gridSpan w:val="2"/>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eastAsia" w:eastAsia="方正仿宋_GBK" w:cs="Times New Roman"/>
                <w:b w:val="0"/>
                <w:bCs w:val="0"/>
                <w:color w:val="auto"/>
                <w:kern w:val="0"/>
                <w:sz w:val="24"/>
                <w:szCs w:val="24"/>
                <w:highlight w:val="none"/>
                <w:u w:val="none"/>
                <w:lang w:val="en-US" w:eastAsia="zh-CN"/>
              </w:rPr>
              <w:t>98</w:t>
            </w:r>
          </w:p>
        </w:tc>
        <w:tc>
          <w:tcPr>
            <w:tcW w:w="1134"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eastAsia" w:eastAsia="方正仿宋_GBK" w:cs="Times New Roman"/>
                <w:b w:val="0"/>
                <w:bCs w:val="0"/>
                <w:color w:val="auto"/>
                <w:kern w:val="0"/>
                <w:sz w:val="24"/>
                <w:szCs w:val="24"/>
                <w:highlight w:val="none"/>
                <w:u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537"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1</w:t>
            </w:r>
            <w:r>
              <w:rPr>
                <w:rFonts w:hint="eastAsia" w:eastAsia="方正仿宋_GBK" w:cs="Times New Roman"/>
                <w:b w:val="0"/>
                <w:bCs w:val="0"/>
                <w:color w:val="auto"/>
                <w:kern w:val="0"/>
                <w:sz w:val="24"/>
                <w:szCs w:val="24"/>
                <w:highlight w:val="none"/>
                <w:u w:val="none"/>
                <w:lang w:val="en-US" w:eastAsia="zh-CN"/>
              </w:rPr>
              <w:t>2</w:t>
            </w:r>
            <w:r>
              <w:rPr>
                <w:rFonts w:hint="default" w:ascii="Times New Roman" w:hAnsi="Times New Roman" w:eastAsia="方正仿宋_GBK" w:cs="Times New Roman"/>
                <w:b w:val="0"/>
                <w:bCs w:val="0"/>
                <w:color w:val="auto"/>
                <w:kern w:val="0"/>
                <w:sz w:val="24"/>
                <w:szCs w:val="24"/>
                <w:highlight w:val="none"/>
                <w:u w:val="none"/>
              </w:rPr>
              <w:t>.劳动人事争议仲裁结案率（%）</w:t>
            </w:r>
          </w:p>
        </w:tc>
        <w:tc>
          <w:tcPr>
            <w:tcW w:w="1276"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lang w:val="en-US" w:eastAsia="zh-CN"/>
              </w:rPr>
            </w:pPr>
            <w:r>
              <w:rPr>
                <w:rFonts w:hint="eastAsia" w:eastAsia="方正仿宋_GBK" w:cs="Times New Roman"/>
                <w:b w:val="0"/>
                <w:bCs w:val="0"/>
                <w:color w:val="auto"/>
                <w:kern w:val="0"/>
                <w:sz w:val="24"/>
                <w:szCs w:val="24"/>
                <w:highlight w:val="none"/>
                <w:u w:val="none"/>
                <w:lang w:val="en-US" w:eastAsia="zh-CN"/>
              </w:rPr>
              <w:t>98</w:t>
            </w:r>
          </w:p>
        </w:tc>
        <w:tc>
          <w:tcPr>
            <w:tcW w:w="1559"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default" w:ascii="Times New Roman" w:hAnsi="Times New Roman" w:eastAsia="方正仿宋_GBK" w:cs="Times New Roman"/>
                <w:b w:val="0"/>
                <w:bCs w:val="0"/>
                <w:color w:val="auto"/>
                <w:kern w:val="0"/>
                <w:sz w:val="24"/>
                <w:szCs w:val="24"/>
                <w:highlight w:val="none"/>
                <w:u w:val="none"/>
              </w:rPr>
              <w:t>&gt;9</w:t>
            </w:r>
            <w:r>
              <w:rPr>
                <w:rFonts w:hint="eastAsia" w:eastAsia="方正仿宋_GBK" w:cs="Times New Roman"/>
                <w:b w:val="0"/>
                <w:bCs w:val="0"/>
                <w:color w:val="auto"/>
                <w:kern w:val="0"/>
                <w:sz w:val="24"/>
                <w:szCs w:val="24"/>
                <w:highlight w:val="none"/>
                <w:u w:val="none"/>
                <w:lang w:val="en-US" w:eastAsia="zh-CN"/>
              </w:rPr>
              <w:t>5</w:t>
            </w:r>
          </w:p>
        </w:tc>
        <w:tc>
          <w:tcPr>
            <w:tcW w:w="1276" w:type="dxa"/>
            <w:gridSpan w:val="2"/>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eastAsia" w:eastAsia="方正仿宋_GBK" w:cs="Times New Roman"/>
                <w:b w:val="0"/>
                <w:bCs w:val="0"/>
                <w:color w:val="auto"/>
                <w:kern w:val="0"/>
                <w:sz w:val="24"/>
                <w:szCs w:val="24"/>
                <w:highlight w:val="none"/>
                <w:u w:val="none"/>
                <w:lang w:val="en-US" w:eastAsia="zh-CN"/>
              </w:rPr>
              <w:t>98</w:t>
            </w:r>
          </w:p>
        </w:tc>
        <w:tc>
          <w:tcPr>
            <w:tcW w:w="1134"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val="en-US" w:eastAsia="zh-CN"/>
              </w:rPr>
            </w:pPr>
            <w:r>
              <w:rPr>
                <w:rFonts w:hint="eastAsia" w:eastAsia="方正仿宋_GBK" w:cs="Times New Roman"/>
                <w:b w:val="0"/>
                <w:bCs w:val="0"/>
                <w:color w:val="auto"/>
                <w:kern w:val="0"/>
                <w:sz w:val="24"/>
                <w:szCs w:val="24"/>
                <w:highlight w:val="none"/>
                <w:u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537"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1</w:t>
            </w:r>
            <w:r>
              <w:rPr>
                <w:rFonts w:hint="eastAsia" w:eastAsia="方正仿宋_GBK" w:cs="Times New Roman"/>
                <w:b w:val="0"/>
                <w:bCs w:val="0"/>
                <w:color w:val="auto"/>
                <w:kern w:val="0"/>
                <w:sz w:val="24"/>
                <w:szCs w:val="24"/>
                <w:highlight w:val="none"/>
                <w:u w:val="none"/>
                <w:lang w:val="en-US" w:eastAsia="zh-CN"/>
              </w:rPr>
              <w:t>3</w:t>
            </w:r>
            <w:r>
              <w:rPr>
                <w:rFonts w:hint="default" w:ascii="Times New Roman" w:hAnsi="Times New Roman" w:eastAsia="方正仿宋_GBK" w:cs="Times New Roman"/>
                <w:b w:val="0"/>
                <w:bCs w:val="0"/>
                <w:color w:val="auto"/>
                <w:kern w:val="0"/>
                <w:sz w:val="24"/>
                <w:szCs w:val="24"/>
                <w:highlight w:val="none"/>
                <w:u w:val="none"/>
              </w:rPr>
              <w:t>.</w:t>
            </w:r>
            <w:r>
              <w:rPr>
                <w:rFonts w:hint="default" w:ascii="Times New Roman" w:hAnsi="Times New Roman" w:eastAsia="方正仿宋_GBK" w:cs="Times New Roman"/>
                <w:b w:val="0"/>
                <w:bCs w:val="0"/>
                <w:color w:val="auto"/>
                <w:spacing w:val="-6"/>
                <w:kern w:val="0"/>
                <w:sz w:val="24"/>
                <w:szCs w:val="24"/>
                <w:highlight w:val="none"/>
                <w:u w:val="none"/>
              </w:rPr>
              <w:t>劳动保障监察举报投诉案件结案率（%）</w:t>
            </w:r>
          </w:p>
        </w:tc>
        <w:tc>
          <w:tcPr>
            <w:tcW w:w="1276"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lang w:val="en-US" w:eastAsia="zh-CN"/>
              </w:rPr>
            </w:pPr>
            <w:r>
              <w:rPr>
                <w:rFonts w:hint="eastAsia" w:eastAsia="方正仿宋_GBK" w:cs="Times New Roman"/>
                <w:b w:val="0"/>
                <w:bCs w:val="0"/>
                <w:color w:val="auto"/>
                <w:kern w:val="0"/>
                <w:sz w:val="24"/>
                <w:szCs w:val="24"/>
                <w:highlight w:val="none"/>
                <w:u w:val="none"/>
                <w:lang w:val="en-US" w:eastAsia="zh-CN"/>
              </w:rPr>
              <w:t>98</w:t>
            </w:r>
          </w:p>
        </w:tc>
        <w:tc>
          <w:tcPr>
            <w:tcW w:w="1559"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&gt;95</w:t>
            </w:r>
          </w:p>
        </w:tc>
        <w:tc>
          <w:tcPr>
            <w:tcW w:w="1276" w:type="dxa"/>
            <w:gridSpan w:val="2"/>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eastAsia" w:eastAsia="方正仿宋_GBK" w:cs="Times New Roman"/>
                <w:b w:val="0"/>
                <w:bCs w:val="0"/>
                <w:color w:val="auto"/>
                <w:kern w:val="0"/>
                <w:sz w:val="24"/>
                <w:szCs w:val="24"/>
                <w:highlight w:val="none"/>
                <w:u w:val="none"/>
                <w:lang w:val="en-US" w:eastAsia="zh-CN"/>
              </w:rPr>
              <w:t>98</w:t>
            </w:r>
          </w:p>
        </w:tc>
        <w:tc>
          <w:tcPr>
            <w:tcW w:w="1134" w:type="dxa"/>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eastAsia" w:eastAsia="方正仿宋_GBK" w:cs="Times New Roman"/>
                <w:b w:val="0"/>
                <w:bCs w:val="0"/>
                <w:color w:val="auto"/>
                <w:kern w:val="0"/>
                <w:sz w:val="24"/>
                <w:szCs w:val="24"/>
                <w:highlight w:val="none"/>
                <w:u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82" w:type="dxa"/>
            <w:gridSpan w:val="6"/>
            <w:tcBorders>
              <w:bottom w:val="single" w:color="auto" w:sz="4" w:space="0"/>
            </w:tcBorders>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eastAsia" w:eastAsia="方正仿宋_GBK" w:cs="Times New Roman"/>
                <w:b w:val="0"/>
                <w:bCs w:val="0"/>
                <w:color w:val="auto"/>
                <w:kern w:val="0"/>
                <w:sz w:val="24"/>
                <w:szCs w:val="24"/>
                <w:highlight w:val="none"/>
                <w:u w:val="none"/>
                <w:lang w:eastAsia="zh-CN"/>
              </w:rPr>
              <w:t>六</w:t>
            </w:r>
            <w:r>
              <w:rPr>
                <w:rFonts w:hint="default" w:ascii="Times New Roman" w:hAnsi="Times New Roman" w:eastAsia="方正仿宋_GBK" w:cs="Times New Roman"/>
                <w:b w:val="0"/>
                <w:bCs w:val="0"/>
                <w:color w:val="auto"/>
                <w:kern w:val="0"/>
                <w:sz w:val="24"/>
                <w:szCs w:val="24"/>
                <w:highlight w:val="none"/>
                <w:u w:val="none"/>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5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eastAsia" w:eastAsia="方正仿宋_GBK" w:cs="Times New Roman"/>
                <w:b w:val="0"/>
                <w:bCs w:val="0"/>
                <w:color w:val="auto"/>
                <w:kern w:val="0"/>
                <w:sz w:val="24"/>
                <w:szCs w:val="24"/>
                <w:highlight w:val="none"/>
                <w:u w:val="none"/>
                <w:lang w:val="en-US" w:eastAsia="zh-CN"/>
              </w:rPr>
              <w:t>14</w:t>
            </w:r>
            <w:r>
              <w:rPr>
                <w:rFonts w:hint="default" w:ascii="Times New Roman" w:hAnsi="Times New Roman" w:eastAsia="方正仿宋_GBK" w:cs="Times New Roman"/>
                <w:b w:val="0"/>
                <w:bCs w:val="0"/>
                <w:color w:val="auto"/>
                <w:kern w:val="0"/>
                <w:sz w:val="24"/>
                <w:szCs w:val="24"/>
                <w:highlight w:val="none"/>
                <w:u w:val="none"/>
              </w:rPr>
              <w:t>.社会保障卡应用功能实现率（%）</w:t>
            </w: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default" w:ascii="Times New Roman" w:hAnsi="Times New Roman" w:eastAsia="方正仿宋_GBK" w:cs="Times New Roman"/>
                <w:b w:val="0"/>
                <w:bCs w:val="0"/>
                <w:color w:val="auto"/>
                <w:kern w:val="0"/>
                <w:sz w:val="24"/>
                <w:szCs w:val="24"/>
                <w:highlight w:val="none"/>
                <w:u w:val="none"/>
              </w:rPr>
              <w:t>&gt;9</w:t>
            </w:r>
            <w:r>
              <w:rPr>
                <w:rFonts w:hint="eastAsia" w:eastAsia="方正仿宋_GBK" w:cs="Times New Roman"/>
                <w:b w:val="0"/>
                <w:bCs w:val="0"/>
                <w:color w:val="auto"/>
                <w:kern w:val="0"/>
                <w:sz w:val="24"/>
                <w:szCs w:val="24"/>
                <w:highlight w:val="none"/>
                <w:u w:val="none"/>
                <w:lang w:val="en-US" w:eastAsia="zh-CN"/>
              </w:rPr>
              <w:t>9</w:t>
            </w: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lang w:val="en-US" w:eastAsia="zh-CN"/>
              </w:rPr>
            </w:pPr>
            <w:r>
              <w:rPr>
                <w:rFonts w:hint="eastAsia" w:eastAsia="方正仿宋_GBK" w:cs="Times New Roman"/>
                <w:b w:val="0"/>
                <w:bCs w:val="0"/>
                <w:color w:val="auto"/>
                <w:kern w:val="0"/>
                <w:sz w:val="24"/>
                <w:szCs w:val="24"/>
                <w:highlight w:val="none"/>
                <w:u w:val="none"/>
                <w:lang w:val="en-US" w:eastAsia="zh-CN"/>
              </w:rPr>
              <w:t>99</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kern w:val="0"/>
                <w:sz w:val="24"/>
                <w:szCs w:val="24"/>
                <w:highlight w:val="none"/>
                <w:u w:val="none"/>
                <w:lang w:eastAsia="zh-CN"/>
              </w:rPr>
            </w:pPr>
            <w:r>
              <w:rPr>
                <w:rFonts w:hint="eastAsia" w:eastAsia="方正仿宋_GBK" w:cs="Times New Roman"/>
                <w:b w:val="0"/>
                <w:bCs w:val="0"/>
                <w:color w:val="auto"/>
                <w:kern w:val="0"/>
                <w:sz w:val="24"/>
                <w:szCs w:val="24"/>
                <w:highlight w:val="none"/>
                <w:u w:val="none"/>
                <w:lang w:val="en-US" w:eastAsia="zh-CN"/>
              </w:rPr>
              <w:t>0</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注：【】内为五年累计数。</w:t>
      </w:r>
    </w:p>
    <w:p>
      <w:pPr>
        <w:pStyle w:val="5"/>
        <w:rPr>
          <w:b w:val="0"/>
          <w:bCs w:val="0"/>
          <w:color w:val="auto"/>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“十四五”时期，全国</w:t>
      </w:r>
      <w:r>
        <w:rPr>
          <w:rFonts w:hint="eastAsia" w:ascii="方正仿宋_GBK" w:hAnsi="方正仿宋_GBK" w:eastAsia="方正仿宋_GBK" w:cs="方正仿宋_GBK"/>
          <w:b w:val="0"/>
          <w:bCs w:val="0"/>
          <w:color w:val="auto"/>
          <w:sz w:val="32"/>
          <w:szCs w:val="32"/>
          <w:highlight w:val="none"/>
          <w:u w:val="none"/>
          <w:lang w:eastAsia="zh-CN"/>
        </w:rPr>
        <w:t>、全市及</w:t>
      </w:r>
      <w:r>
        <w:rPr>
          <w:rFonts w:hint="eastAsia" w:ascii="方正仿宋_GBK" w:hAnsi="方正仿宋_GBK" w:eastAsia="方正仿宋_GBK" w:cs="方正仿宋_GBK"/>
          <w:b w:val="0"/>
          <w:bCs w:val="0"/>
          <w:color w:val="auto"/>
          <w:sz w:val="32"/>
          <w:szCs w:val="32"/>
          <w:highlight w:val="none"/>
          <w:u w:val="none"/>
        </w:rPr>
        <w:t>我</w:t>
      </w:r>
      <w:r>
        <w:rPr>
          <w:rFonts w:hint="eastAsia" w:ascii="方正仿宋_GBK" w:hAnsi="方正仿宋_GBK" w:eastAsia="方正仿宋_GBK" w:cs="方正仿宋_GBK"/>
          <w:b w:val="0"/>
          <w:bCs w:val="0"/>
          <w:color w:val="auto"/>
          <w:sz w:val="32"/>
          <w:szCs w:val="32"/>
          <w:highlight w:val="none"/>
          <w:u w:val="none"/>
          <w:lang w:eastAsia="zh-CN"/>
        </w:rPr>
        <w:t>区</w:t>
      </w:r>
      <w:r>
        <w:rPr>
          <w:rFonts w:hint="eastAsia" w:ascii="方正仿宋_GBK" w:hAnsi="方正仿宋_GBK" w:eastAsia="方正仿宋_GBK" w:cs="方正仿宋_GBK"/>
          <w:b w:val="0"/>
          <w:bCs w:val="0"/>
          <w:color w:val="auto"/>
          <w:sz w:val="32"/>
          <w:szCs w:val="32"/>
          <w:highlight w:val="none"/>
          <w:u w:val="none"/>
        </w:rPr>
        <w:t>发展仍然处于重要战略机遇期，制度优势显著，经济长期向好，继续发展具有多方面优势和条件。习近平总书记对重庆的重要指示要求，为做好人社各项工作提供了科学指引和行动指南。共建“一带一路”、长江经济带发展等国家重大战略的交汇叠加，尤其是党中央作出推动成渝地区双城经济圈建设的重大战略部署，为人社事业实现高质量发展提供了良好的外部环境。同时，也需要清醒认识到，国内外环境的复杂多变、长期短期矛盾的相互碰撞，都将给人力社保工作带来诸多新挑战。就业总量压力特别是青年就业压力不容忽视，就业结构性矛盾突出；</w:t>
      </w:r>
      <w:r>
        <w:rPr>
          <w:rFonts w:hint="eastAsia" w:ascii="方正仿宋_GBK" w:hAnsi="方正仿宋_GBK" w:eastAsia="方正仿宋_GBK" w:cs="方正仿宋_GBK"/>
          <w:b w:val="0"/>
          <w:bCs w:val="0"/>
          <w:color w:val="auto"/>
          <w:sz w:val="32"/>
          <w:szCs w:val="32"/>
          <w:highlight w:val="none"/>
          <w:u w:val="none"/>
          <w:lang w:eastAsia="zh-CN"/>
        </w:rPr>
        <w:t>人口</w:t>
      </w:r>
      <w:r>
        <w:rPr>
          <w:rFonts w:hint="eastAsia" w:ascii="方正仿宋_GBK" w:hAnsi="方正仿宋_GBK" w:eastAsia="方正仿宋_GBK" w:cs="方正仿宋_GBK"/>
          <w:b w:val="0"/>
          <w:bCs w:val="0"/>
          <w:color w:val="auto"/>
          <w:sz w:val="32"/>
          <w:szCs w:val="32"/>
          <w:highlight w:val="none"/>
          <w:u w:val="none"/>
        </w:rPr>
        <w:t>老龄化程度持续加深，社保基金收支平衡压力加大，社会保障制度的可持续发展面临挑战；制约和影响人才发展的体制机制障碍尚未根除，高层次、高技能人才短缺；劳资关系的紧张程度进一步加剧，影响和谐劳动关系的不稳定因素增多；人社公共服务与人民群众的期待尚有差距。面对发展的重大机遇和严峻挑战，必须坚决把思想和行动统一到党中央国务院</w:t>
      </w:r>
      <w:r>
        <w:rPr>
          <w:rFonts w:hint="eastAsia" w:ascii="方正仿宋_GBK" w:hAnsi="方正仿宋_GBK" w:eastAsia="方正仿宋_GBK" w:cs="方正仿宋_GBK"/>
          <w:b w:val="0"/>
          <w:bCs w:val="0"/>
          <w:color w:val="auto"/>
          <w:sz w:val="32"/>
          <w:szCs w:val="32"/>
          <w:highlight w:val="none"/>
          <w:u w:val="none"/>
          <w:lang w:eastAsia="zh-CN"/>
        </w:rPr>
        <w:t>、</w:t>
      </w:r>
      <w:r>
        <w:rPr>
          <w:rFonts w:hint="eastAsia" w:ascii="方正仿宋_GBK" w:hAnsi="方正仿宋_GBK" w:eastAsia="方正仿宋_GBK" w:cs="方正仿宋_GBK"/>
          <w:b w:val="0"/>
          <w:bCs w:val="0"/>
          <w:color w:val="auto"/>
          <w:sz w:val="32"/>
          <w:szCs w:val="32"/>
          <w:highlight w:val="none"/>
          <w:u w:val="none"/>
        </w:rPr>
        <w:t>市委市政府</w:t>
      </w:r>
      <w:r>
        <w:rPr>
          <w:rFonts w:hint="eastAsia" w:ascii="方正仿宋_GBK" w:hAnsi="方正仿宋_GBK" w:eastAsia="方正仿宋_GBK" w:cs="方正仿宋_GBK"/>
          <w:b w:val="0"/>
          <w:bCs w:val="0"/>
          <w:color w:val="auto"/>
          <w:sz w:val="32"/>
          <w:szCs w:val="32"/>
          <w:highlight w:val="none"/>
          <w:u w:val="none"/>
          <w:lang w:eastAsia="zh-CN"/>
        </w:rPr>
        <w:t>和党工委管委会</w:t>
      </w:r>
      <w:r>
        <w:rPr>
          <w:rFonts w:hint="eastAsia" w:ascii="方正仿宋_GBK" w:hAnsi="方正仿宋_GBK" w:eastAsia="方正仿宋_GBK" w:cs="方正仿宋_GBK"/>
          <w:b w:val="0"/>
          <w:bCs w:val="0"/>
          <w:color w:val="auto"/>
          <w:sz w:val="32"/>
          <w:szCs w:val="32"/>
          <w:highlight w:val="none"/>
          <w:u w:val="none"/>
        </w:rPr>
        <w:t>的决策部署上来，在危机中育新机、于变局中开新局，积极通过改革破除事业发展面临的体制机制障碍，开创人力社保事业发展的新局面。</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bookmarkStart w:id="5" w:name="_Toc61283953"/>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第二节  指导思想</w:t>
      </w:r>
      <w:bookmarkEnd w:id="4"/>
      <w:bookmarkEnd w:id="5"/>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高举中国特色社会主义伟大旗帜，深入贯彻党的十九大</w:t>
      </w:r>
      <w:r>
        <w:rPr>
          <w:rFonts w:hint="eastAsia" w:ascii="方正仿宋_GBK" w:hAnsi="方正仿宋_GBK" w:eastAsia="方正仿宋_GBK" w:cs="方正仿宋_GBK"/>
          <w:b w:val="0"/>
          <w:bCs w:val="0"/>
          <w:color w:val="auto"/>
          <w:sz w:val="32"/>
          <w:szCs w:val="32"/>
          <w:highlight w:val="none"/>
          <w:u w:val="none"/>
          <w:lang w:eastAsia="zh-CN"/>
        </w:rPr>
        <w:t>和十九届历次</w:t>
      </w:r>
      <w:r>
        <w:rPr>
          <w:rFonts w:hint="eastAsia" w:ascii="方正仿宋_GBK" w:hAnsi="方正仿宋_GBK" w:eastAsia="方正仿宋_GBK" w:cs="方正仿宋_GBK"/>
          <w:b w:val="0"/>
          <w:bCs w:val="0"/>
          <w:color w:val="auto"/>
          <w:sz w:val="32"/>
          <w:szCs w:val="32"/>
          <w:highlight w:val="none"/>
          <w:u w:val="none"/>
        </w:rPr>
        <w:t>全会精神，坚持以马克思列宁主义、毛泽东思想、邓小平理论、“三个代表”重要思想、科学发展观、习近平新时代中国特色社会主义思想为指导，全面贯彻党的基本理论、基本路线、基本方略，统筹推进“五位一体”总体布局，协调推进“四个全面”战略布局，深入贯彻习近平总书记对重庆提出的营造良好政治生态，坚持“两点”定位、“两地”“两高”目标，发挥“三个作用”</w:t>
      </w:r>
      <w:r>
        <w:rPr>
          <w:rFonts w:hint="eastAsia" w:ascii="方正仿宋_GBK" w:hAnsi="方正仿宋_GBK" w:eastAsia="方正仿宋_GBK" w:cs="方正仿宋_GBK"/>
          <w:b w:val="0"/>
          <w:bCs w:val="0"/>
          <w:color w:val="auto"/>
          <w:sz w:val="32"/>
          <w:szCs w:val="32"/>
          <w:highlight w:val="none"/>
          <w:u w:val="none"/>
          <w:lang w:eastAsia="zh-CN"/>
        </w:rPr>
        <w:t>和</w:t>
      </w:r>
      <w:r>
        <w:rPr>
          <w:rFonts w:hint="eastAsia" w:ascii="方正仿宋_GBK" w:hAnsi="方正仿宋_GBK" w:eastAsia="方正仿宋_GBK" w:cs="方正仿宋_GBK"/>
          <w:b w:val="0"/>
          <w:bCs w:val="0"/>
          <w:color w:val="auto"/>
          <w:sz w:val="32"/>
          <w:szCs w:val="32"/>
          <w:highlight w:val="none"/>
          <w:u w:val="none"/>
        </w:rPr>
        <w:t>推动成渝地区双城经济圈建设等重要指示要求，</w:t>
      </w:r>
      <w:r>
        <w:rPr>
          <w:rFonts w:hint="eastAsia" w:ascii="方正仿宋_GBK" w:hAnsi="方正仿宋_GBK" w:eastAsia="方正仿宋_GBK" w:cs="方正仿宋_GBK"/>
          <w:b w:val="0"/>
          <w:bCs w:val="0"/>
          <w:color w:val="auto"/>
          <w:sz w:val="32"/>
          <w:szCs w:val="32"/>
          <w:highlight w:val="none"/>
          <w:u w:val="none"/>
          <w:lang w:eastAsia="zh-CN"/>
        </w:rPr>
        <w:t>落实市委、市政府关于推进綦万“三化”发展，打造主城都市区重要支点城市的</w:t>
      </w:r>
      <w:r>
        <w:rPr>
          <w:rFonts w:hint="eastAsia" w:ascii="方正仿宋_GBK" w:hAnsi="方正仿宋_GBK" w:eastAsia="方正仿宋_GBK" w:cs="方正仿宋_GBK"/>
          <w:b w:val="0"/>
          <w:bCs w:val="0"/>
          <w:color w:val="auto"/>
          <w:sz w:val="32"/>
          <w:szCs w:val="32"/>
          <w:highlight w:val="none"/>
          <w:u w:val="none"/>
          <w:lang w:val="en-US" w:eastAsia="zh-CN"/>
        </w:rPr>
        <w:t>要求</w:t>
      </w:r>
      <w:r>
        <w:rPr>
          <w:rFonts w:hint="eastAsia" w:ascii="方正仿宋_GBK" w:hAnsi="方正仿宋_GBK" w:eastAsia="方正仿宋_GBK" w:cs="方正仿宋_GBK"/>
          <w:b w:val="0"/>
          <w:bCs w:val="0"/>
          <w:color w:val="auto"/>
          <w:sz w:val="32"/>
          <w:szCs w:val="32"/>
          <w:highlight w:val="none"/>
          <w:u w:val="none"/>
          <w:lang w:eastAsia="zh-CN"/>
        </w:rPr>
        <w:t>部署，</w:t>
      </w:r>
      <w:r>
        <w:rPr>
          <w:rFonts w:hint="eastAsia" w:ascii="方正仿宋_GBK" w:hAnsi="方正仿宋_GBK" w:eastAsia="方正仿宋_GBK" w:cs="方正仿宋_GBK"/>
          <w:b w:val="0"/>
          <w:bCs w:val="0"/>
          <w:color w:val="auto"/>
          <w:sz w:val="32"/>
          <w:szCs w:val="32"/>
          <w:highlight w:val="none"/>
          <w:u w:val="none"/>
        </w:rPr>
        <w:t>准确把握新发展阶段，深入践行新发展理念，积极融入新发展格局，切实担当新发展使命，</w:t>
      </w:r>
      <w:r>
        <w:rPr>
          <w:rFonts w:hint="eastAsia" w:ascii="方正仿宋_GBK" w:hAnsi="方正仿宋_GBK" w:eastAsia="方正仿宋_GBK" w:cs="方正仿宋_GBK"/>
          <w:b w:val="0"/>
          <w:bCs w:val="0"/>
          <w:color w:val="auto"/>
          <w:sz w:val="32"/>
          <w:szCs w:val="32"/>
          <w:highlight w:val="none"/>
          <w:u w:val="none"/>
          <w:lang w:eastAsia="zh-CN"/>
        </w:rPr>
        <w:t>立足万盛经开区</w:t>
      </w:r>
      <w:r>
        <w:rPr>
          <w:rFonts w:hint="eastAsia" w:ascii="方正仿宋_GBK" w:hAnsi="方正仿宋_GBK" w:eastAsia="方正仿宋_GBK" w:cs="方正仿宋_GBK"/>
          <w:b w:val="0"/>
          <w:bCs w:val="0"/>
          <w:color w:val="auto"/>
          <w:sz w:val="32"/>
          <w:szCs w:val="32"/>
          <w:highlight w:val="none"/>
          <w:u w:val="none"/>
        </w:rPr>
        <w:t>“一城三区一极”</w:t>
      </w:r>
      <w:r>
        <w:rPr>
          <w:rFonts w:hint="eastAsia" w:ascii="方正仿宋_GBK" w:hAnsi="方正仿宋_GBK" w:eastAsia="方正仿宋_GBK" w:cs="方正仿宋_GBK"/>
          <w:b w:val="0"/>
          <w:bCs w:val="0"/>
          <w:color w:val="auto"/>
          <w:sz w:val="32"/>
          <w:szCs w:val="32"/>
          <w:highlight w:val="none"/>
          <w:u w:val="none"/>
          <w:lang w:eastAsia="zh-CN"/>
        </w:rPr>
        <w:t>发展</w:t>
      </w:r>
      <w:r>
        <w:rPr>
          <w:rFonts w:hint="eastAsia" w:ascii="方正仿宋_GBK" w:hAnsi="方正仿宋_GBK" w:eastAsia="方正仿宋_GBK" w:cs="方正仿宋_GBK"/>
          <w:b w:val="0"/>
          <w:bCs w:val="0"/>
          <w:color w:val="auto"/>
          <w:sz w:val="32"/>
          <w:szCs w:val="32"/>
          <w:highlight w:val="none"/>
          <w:u w:val="none"/>
        </w:rPr>
        <w:t>定位，坚持稳中求进工作总基调，以推动高质量发展为主题，以深化供给侧结构性改革为主线，以改革创新为根本动力，以满足人民日益增长的美好生活需要为根本目的，</w:t>
      </w:r>
      <w:r>
        <w:rPr>
          <w:rFonts w:hint="eastAsia" w:ascii="方正仿宋_GBK" w:hAnsi="方正仿宋_GBK" w:eastAsia="方正仿宋_GBK" w:cs="方正仿宋_GBK"/>
          <w:b w:val="0"/>
          <w:bCs w:val="0"/>
          <w:color w:val="auto"/>
          <w:sz w:val="32"/>
          <w:szCs w:val="32"/>
          <w:highlight w:val="none"/>
          <w:u w:val="none"/>
          <w:lang w:eastAsia="zh-CN"/>
        </w:rPr>
        <w:t>以中央、市委和党工委人才工作会议精神为指引，</w:t>
      </w:r>
      <w:r>
        <w:rPr>
          <w:rFonts w:hint="eastAsia" w:ascii="方正仿宋_GBK" w:hAnsi="方正仿宋_GBK" w:eastAsia="方正仿宋_GBK" w:cs="方正仿宋_GBK"/>
          <w:b w:val="0"/>
          <w:bCs w:val="0"/>
          <w:color w:val="auto"/>
          <w:sz w:val="32"/>
          <w:szCs w:val="32"/>
          <w:highlight w:val="none"/>
          <w:u w:val="none"/>
        </w:rPr>
        <w:t>统筹推进就业创业、社会保障、人才人事、劳动关系等工作，着力促改革、惠民生、防风险、保稳定，</w:t>
      </w:r>
      <w:r>
        <w:rPr>
          <w:rFonts w:hint="eastAsia" w:ascii="方正仿宋_GBK" w:hAnsi="方正仿宋_GBK" w:eastAsia="方正仿宋_GBK" w:cs="方正仿宋_GBK"/>
          <w:b w:val="0"/>
          <w:bCs w:val="0"/>
          <w:color w:val="auto"/>
          <w:sz w:val="32"/>
          <w:szCs w:val="32"/>
          <w:highlight w:val="none"/>
          <w:u w:val="none"/>
          <w:lang w:eastAsia="zh-CN"/>
        </w:rPr>
        <w:t>切实增强人民群众获得感、幸福感、安全感，</w:t>
      </w:r>
      <w:r>
        <w:rPr>
          <w:rFonts w:hint="eastAsia" w:ascii="方正仿宋_GBK" w:hAnsi="方正仿宋_GBK" w:eastAsia="方正仿宋_GBK" w:cs="方正仿宋_GBK"/>
          <w:b w:val="0"/>
          <w:bCs w:val="0"/>
          <w:color w:val="auto"/>
          <w:sz w:val="32"/>
          <w:szCs w:val="32"/>
          <w:highlight w:val="none"/>
          <w:u w:val="none"/>
        </w:rPr>
        <w:t>为推动全</w:t>
      </w:r>
      <w:r>
        <w:rPr>
          <w:rFonts w:hint="eastAsia" w:ascii="方正仿宋_GBK" w:hAnsi="方正仿宋_GBK" w:eastAsia="方正仿宋_GBK" w:cs="方正仿宋_GBK"/>
          <w:b w:val="0"/>
          <w:bCs w:val="0"/>
          <w:color w:val="auto"/>
          <w:sz w:val="32"/>
          <w:szCs w:val="32"/>
          <w:highlight w:val="none"/>
          <w:u w:val="none"/>
          <w:lang w:eastAsia="zh-CN"/>
        </w:rPr>
        <w:t>区</w:t>
      </w:r>
      <w:r>
        <w:rPr>
          <w:rFonts w:hint="eastAsia" w:ascii="方正仿宋_GBK" w:hAnsi="方正仿宋_GBK" w:eastAsia="方正仿宋_GBK" w:cs="方正仿宋_GBK"/>
          <w:b w:val="0"/>
          <w:bCs w:val="0"/>
          <w:color w:val="auto"/>
          <w:sz w:val="32"/>
          <w:szCs w:val="32"/>
          <w:highlight w:val="none"/>
          <w:u w:val="none"/>
        </w:rPr>
        <w:t>经济高质量发展、维护社会大局稳定、全面开启社会主义现代化国家建设新征程作出贡献。</w:t>
      </w:r>
      <w:bookmarkStart w:id="6" w:name="_Toc61283954"/>
      <w:bookmarkStart w:id="7" w:name="_Toc54345650"/>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第三节  基本原则</w:t>
      </w:r>
      <w:bookmarkEnd w:id="6"/>
      <w:bookmarkEnd w:id="7"/>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lang w:eastAsia="zh-CN"/>
        </w:rPr>
        <w:t>——坚持党的领导。</w:t>
      </w:r>
      <w:r>
        <w:rPr>
          <w:rFonts w:hint="eastAsia" w:ascii="方正仿宋_GBK" w:hAnsi="方正仿宋_GBK" w:eastAsia="方正仿宋_GBK" w:cs="方正仿宋_GBK"/>
          <w:b w:val="0"/>
          <w:bCs w:val="0"/>
          <w:color w:val="auto"/>
          <w:sz w:val="32"/>
          <w:szCs w:val="32"/>
          <w:highlight w:val="none"/>
          <w:u w:val="none"/>
        </w:rPr>
        <w:t>始终在思想上政治上行动上同以习近平同志为核心的党中央保持高度一致，不断提高贯彻新发展理念、构建新发展格局的能力和水平，为实现高质量发展提供根本保证。</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lang w:eastAsia="zh-CN"/>
        </w:rPr>
        <w:t>——</w:t>
      </w:r>
      <w:r>
        <w:rPr>
          <w:rFonts w:hint="eastAsia" w:ascii="方正楷体_GBK" w:hAnsi="方正楷体_GBK" w:eastAsia="方正楷体_GBK" w:cs="方正楷体_GBK"/>
          <w:b w:val="0"/>
          <w:bCs w:val="0"/>
          <w:color w:val="auto"/>
          <w:sz w:val="32"/>
          <w:szCs w:val="32"/>
          <w:highlight w:val="none"/>
          <w:u w:val="none"/>
        </w:rPr>
        <w:t>坚持</w:t>
      </w:r>
      <w:r>
        <w:rPr>
          <w:rFonts w:hint="eastAsia" w:ascii="方正楷体_GBK" w:hAnsi="方正楷体_GBK" w:eastAsia="方正楷体_GBK" w:cs="方正楷体_GBK"/>
          <w:b w:val="0"/>
          <w:bCs w:val="0"/>
          <w:color w:val="auto"/>
          <w:sz w:val="32"/>
          <w:szCs w:val="32"/>
          <w:highlight w:val="none"/>
          <w:u w:val="none"/>
          <w:lang w:eastAsia="zh-CN"/>
        </w:rPr>
        <w:t>民生导向。</w:t>
      </w:r>
      <w:r>
        <w:rPr>
          <w:rFonts w:hint="eastAsia" w:ascii="方正仿宋_GBK" w:hAnsi="方正仿宋_GBK" w:eastAsia="方正仿宋_GBK" w:cs="方正仿宋_GBK"/>
          <w:b w:val="0"/>
          <w:bCs w:val="0"/>
          <w:color w:val="auto"/>
          <w:sz w:val="32"/>
          <w:szCs w:val="32"/>
          <w:highlight w:val="none"/>
          <w:u w:val="none"/>
          <w:lang w:eastAsia="zh-CN"/>
        </w:rPr>
        <w:t>践行以人民</w:t>
      </w:r>
      <w:r>
        <w:rPr>
          <w:rFonts w:hint="eastAsia" w:ascii="方正仿宋_GBK" w:hAnsi="方正仿宋_GBK" w:eastAsia="方正仿宋_GBK" w:cs="方正仿宋_GBK"/>
          <w:b w:val="0"/>
          <w:bCs w:val="0"/>
          <w:color w:val="auto"/>
          <w:sz w:val="32"/>
          <w:szCs w:val="32"/>
          <w:highlight w:val="none"/>
          <w:u w:val="none"/>
        </w:rPr>
        <w:t>为中心的发展思想，紧扣群众的需求和期盼，在保障和改善民生工作中发挥重要作用，既做到量力而行，又做到尽力而为</w:t>
      </w:r>
      <w:r>
        <w:rPr>
          <w:rFonts w:hint="eastAsia" w:ascii="方正仿宋_GBK" w:hAnsi="方正仿宋_GBK" w:eastAsia="方正仿宋_GBK" w:cs="方正仿宋_GBK"/>
          <w:b w:val="0"/>
          <w:bCs w:val="0"/>
          <w:color w:val="auto"/>
          <w:sz w:val="32"/>
          <w:szCs w:val="32"/>
          <w:highlight w:val="none"/>
          <w:u w:val="none"/>
          <w:lang w:eastAsia="zh-CN"/>
        </w:rPr>
        <w:t>。</w:t>
      </w:r>
      <w:r>
        <w:rPr>
          <w:rFonts w:hint="eastAsia" w:ascii="方正仿宋_GBK" w:hAnsi="方正仿宋_GBK" w:eastAsia="方正仿宋_GBK" w:cs="方正仿宋_GBK"/>
          <w:b w:val="0"/>
          <w:bCs w:val="0"/>
          <w:color w:val="auto"/>
          <w:sz w:val="32"/>
          <w:szCs w:val="32"/>
          <w:highlight w:val="none"/>
          <w:u w:val="none"/>
        </w:rPr>
        <w:t>聚焦</w:t>
      </w:r>
      <w:r>
        <w:rPr>
          <w:rFonts w:hint="eastAsia" w:ascii="方正仿宋_GBK" w:hAnsi="方正仿宋_GBK" w:eastAsia="方正仿宋_GBK" w:cs="方正仿宋_GBK"/>
          <w:b w:val="0"/>
          <w:bCs w:val="0"/>
          <w:color w:val="auto"/>
          <w:sz w:val="32"/>
          <w:szCs w:val="32"/>
          <w:highlight w:val="none"/>
          <w:u w:val="none"/>
          <w:lang w:eastAsia="zh-CN"/>
        </w:rPr>
        <w:t>社会反响强烈的</w:t>
      </w:r>
      <w:r>
        <w:rPr>
          <w:rFonts w:hint="eastAsia" w:ascii="方正仿宋_GBK" w:hAnsi="方正仿宋_GBK" w:eastAsia="方正仿宋_GBK" w:cs="方正仿宋_GBK"/>
          <w:b w:val="0"/>
          <w:bCs w:val="0"/>
          <w:color w:val="auto"/>
          <w:sz w:val="32"/>
          <w:szCs w:val="32"/>
          <w:highlight w:val="none"/>
          <w:u w:val="none"/>
        </w:rPr>
        <w:t>突出短板和薄弱环节</w:t>
      </w:r>
      <w:r>
        <w:rPr>
          <w:rFonts w:hint="eastAsia" w:ascii="方正仿宋_GBK" w:hAnsi="方正仿宋_GBK" w:eastAsia="方正仿宋_GBK" w:cs="方正仿宋_GBK"/>
          <w:b w:val="0"/>
          <w:bCs w:val="0"/>
          <w:color w:val="auto"/>
          <w:sz w:val="32"/>
          <w:szCs w:val="32"/>
          <w:highlight w:val="none"/>
          <w:u w:val="none"/>
          <w:lang w:eastAsia="zh-CN"/>
        </w:rPr>
        <w:t>，</w:t>
      </w:r>
      <w:r>
        <w:rPr>
          <w:rFonts w:hint="eastAsia" w:ascii="方正仿宋_GBK" w:hAnsi="方正仿宋_GBK" w:eastAsia="方正仿宋_GBK" w:cs="方正仿宋_GBK"/>
          <w:b w:val="0"/>
          <w:bCs w:val="0"/>
          <w:color w:val="auto"/>
          <w:sz w:val="32"/>
          <w:szCs w:val="32"/>
          <w:highlight w:val="none"/>
          <w:u w:val="none"/>
        </w:rPr>
        <w:t>对照人民群众新期盼，着力解决群众最关心最直接最现实的利益问题，持续在发展中保障和改善民生，不断满足人民美好生活的需要。</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lang w:eastAsia="zh-CN"/>
        </w:rPr>
        <w:t>——</w:t>
      </w:r>
      <w:r>
        <w:rPr>
          <w:rFonts w:hint="eastAsia" w:ascii="方正楷体_GBK" w:hAnsi="方正楷体_GBK" w:eastAsia="方正楷体_GBK" w:cs="方正楷体_GBK"/>
          <w:b w:val="0"/>
          <w:bCs w:val="0"/>
          <w:color w:val="auto"/>
          <w:sz w:val="32"/>
          <w:szCs w:val="32"/>
          <w:highlight w:val="none"/>
          <w:u w:val="none"/>
        </w:rPr>
        <w:t>坚持</w:t>
      </w:r>
      <w:r>
        <w:rPr>
          <w:rFonts w:hint="eastAsia" w:ascii="方正楷体_GBK" w:hAnsi="方正楷体_GBK" w:eastAsia="方正楷体_GBK" w:cs="方正楷体_GBK"/>
          <w:b w:val="0"/>
          <w:bCs w:val="0"/>
          <w:color w:val="auto"/>
          <w:sz w:val="32"/>
          <w:szCs w:val="32"/>
          <w:highlight w:val="none"/>
          <w:u w:val="none"/>
          <w:lang w:eastAsia="zh-CN"/>
        </w:rPr>
        <w:t>创新发展</w:t>
      </w:r>
      <w:r>
        <w:rPr>
          <w:rFonts w:hint="eastAsia" w:ascii="方正楷体_GBK" w:hAnsi="方正楷体_GBK" w:eastAsia="方正楷体_GBK" w:cs="方正楷体_GBK"/>
          <w:b w:val="0"/>
          <w:bCs w:val="0"/>
          <w:color w:val="auto"/>
          <w:sz w:val="32"/>
          <w:szCs w:val="32"/>
          <w:highlight w:val="none"/>
          <w:u w:val="none"/>
        </w:rPr>
        <w:t>。</w:t>
      </w:r>
      <w:r>
        <w:rPr>
          <w:rFonts w:hint="eastAsia" w:ascii="方正仿宋_GBK" w:hAnsi="方正仿宋_GBK" w:eastAsia="方正仿宋_GBK" w:cs="方正仿宋_GBK"/>
          <w:b w:val="0"/>
          <w:bCs w:val="0"/>
          <w:color w:val="auto"/>
          <w:sz w:val="32"/>
          <w:szCs w:val="32"/>
          <w:highlight w:val="none"/>
          <w:u w:val="none"/>
        </w:rPr>
        <w:t>将新发展理念贯穿到人社事业发展的全过程，深刻把握以国内大循环为主体、国内国际双循环相互促进的新发展格局，统筹人社事业实现更高质量、更有效率、更加公平、更可持续、更为安全的发展。深化</w:t>
      </w:r>
      <w:r>
        <w:rPr>
          <w:rFonts w:hint="eastAsia" w:ascii="方正仿宋_GBK" w:hAnsi="方正仿宋_GBK" w:eastAsia="方正仿宋_GBK" w:cs="方正仿宋_GBK"/>
          <w:b w:val="0"/>
          <w:bCs w:val="0"/>
          <w:color w:val="auto"/>
          <w:sz w:val="32"/>
          <w:szCs w:val="32"/>
          <w:highlight w:val="none"/>
          <w:u w:val="none"/>
          <w:lang w:eastAsia="zh-CN"/>
        </w:rPr>
        <w:t>人力社保领域</w:t>
      </w:r>
      <w:r>
        <w:rPr>
          <w:rFonts w:hint="eastAsia" w:ascii="方正仿宋_GBK" w:hAnsi="方正仿宋_GBK" w:eastAsia="方正仿宋_GBK" w:cs="方正仿宋_GBK"/>
          <w:b w:val="0"/>
          <w:bCs w:val="0"/>
          <w:color w:val="auto"/>
          <w:sz w:val="32"/>
          <w:szCs w:val="32"/>
          <w:highlight w:val="none"/>
          <w:u w:val="none"/>
        </w:rPr>
        <w:t>改革，破除制约高质量发展、高品质生活的体制机制障碍。</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b w:val="0"/>
          <w:bCs w:val="0"/>
          <w:color w:val="auto"/>
          <w:u w:val="none"/>
        </w:rPr>
      </w:pPr>
      <w:bookmarkStart w:id="8" w:name="_Toc54345651"/>
      <w:bookmarkStart w:id="9" w:name="_Toc61283955"/>
      <w:r>
        <w:rPr>
          <w:rFonts w:hint="eastAsia" w:ascii="方正楷体_GBK" w:hAnsi="方正楷体_GBK" w:eastAsia="方正楷体_GBK" w:cs="方正楷体_GBK"/>
          <w:b w:val="0"/>
          <w:bCs w:val="0"/>
          <w:color w:val="auto"/>
          <w:sz w:val="32"/>
          <w:szCs w:val="32"/>
          <w:highlight w:val="none"/>
          <w:u w:val="none"/>
          <w:lang w:eastAsia="zh-CN"/>
        </w:rPr>
        <w:t>——</w:t>
      </w:r>
      <w:r>
        <w:rPr>
          <w:rFonts w:hint="eastAsia" w:ascii="方正楷体_GBK" w:hAnsi="方正楷体_GBK" w:eastAsia="方正楷体_GBK" w:cs="方正楷体_GBK"/>
          <w:b w:val="0"/>
          <w:bCs w:val="0"/>
          <w:color w:val="auto"/>
          <w:sz w:val="32"/>
          <w:szCs w:val="32"/>
          <w:highlight w:val="none"/>
          <w:u w:val="none"/>
        </w:rPr>
        <w:t>坚持</w:t>
      </w:r>
      <w:r>
        <w:rPr>
          <w:rFonts w:hint="eastAsia" w:ascii="方正楷体_GBK" w:hAnsi="方正楷体_GBK" w:eastAsia="方正楷体_GBK" w:cs="方正楷体_GBK"/>
          <w:b w:val="0"/>
          <w:bCs w:val="0"/>
          <w:color w:val="auto"/>
          <w:sz w:val="32"/>
          <w:szCs w:val="32"/>
          <w:highlight w:val="none"/>
          <w:u w:val="none"/>
          <w:lang w:eastAsia="zh-CN"/>
        </w:rPr>
        <w:t>系统发展。</w:t>
      </w:r>
      <w:r>
        <w:rPr>
          <w:rFonts w:hint="eastAsia" w:ascii="方正仿宋_GBK" w:hAnsi="方正仿宋_GBK" w:eastAsia="方正仿宋_GBK" w:cs="方正仿宋_GBK"/>
          <w:b w:val="0"/>
          <w:bCs w:val="0"/>
          <w:color w:val="auto"/>
          <w:sz w:val="32"/>
          <w:szCs w:val="32"/>
          <w:highlight w:val="none"/>
          <w:u w:val="none"/>
        </w:rPr>
        <w:t>深入贯彻落实党中央国务院</w:t>
      </w:r>
      <w:r>
        <w:rPr>
          <w:rFonts w:hint="eastAsia" w:ascii="方正仿宋_GBK" w:hAnsi="方正仿宋_GBK" w:eastAsia="方正仿宋_GBK" w:cs="方正仿宋_GBK"/>
          <w:b w:val="0"/>
          <w:bCs w:val="0"/>
          <w:color w:val="auto"/>
          <w:sz w:val="32"/>
          <w:szCs w:val="32"/>
          <w:highlight w:val="none"/>
          <w:u w:val="none"/>
          <w:lang w:eastAsia="zh-CN"/>
        </w:rPr>
        <w:t>、</w:t>
      </w:r>
      <w:r>
        <w:rPr>
          <w:rFonts w:hint="eastAsia" w:ascii="方正仿宋_GBK" w:hAnsi="方正仿宋_GBK" w:eastAsia="方正仿宋_GBK" w:cs="方正仿宋_GBK"/>
          <w:b w:val="0"/>
          <w:bCs w:val="0"/>
          <w:color w:val="auto"/>
          <w:sz w:val="32"/>
          <w:szCs w:val="32"/>
          <w:highlight w:val="none"/>
          <w:u w:val="none"/>
        </w:rPr>
        <w:t>市委市政府</w:t>
      </w:r>
      <w:r>
        <w:rPr>
          <w:rFonts w:hint="eastAsia" w:ascii="方正仿宋_GBK" w:hAnsi="方正仿宋_GBK" w:eastAsia="方正仿宋_GBK" w:cs="方正仿宋_GBK"/>
          <w:b w:val="0"/>
          <w:bCs w:val="0"/>
          <w:color w:val="auto"/>
          <w:sz w:val="32"/>
          <w:szCs w:val="32"/>
          <w:highlight w:val="none"/>
          <w:u w:val="none"/>
          <w:lang w:eastAsia="zh-CN"/>
        </w:rPr>
        <w:t>和党工委管委会</w:t>
      </w:r>
      <w:r>
        <w:rPr>
          <w:rFonts w:hint="eastAsia" w:ascii="方正仿宋_GBK" w:hAnsi="方正仿宋_GBK" w:eastAsia="方正仿宋_GBK" w:cs="方正仿宋_GBK"/>
          <w:b w:val="0"/>
          <w:bCs w:val="0"/>
          <w:color w:val="auto"/>
          <w:sz w:val="32"/>
          <w:szCs w:val="32"/>
          <w:highlight w:val="none"/>
          <w:u w:val="none"/>
        </w:rPr>
        <w:t>的决策部署，更加注重从全局谋划一域、以一域服务全局，将人力社保</w:t>
      </w:r>
      <w:r>
        <w:rPr>
          <w:rFonts w:hint="eastAsia" w:ascii="方正仿宋_GBK" w:hAnsi="方正仿宋_GBK" w:eastAsia="方正仿宋_GBK" w:cs="方正仿宋_GBK"/>
          <w:b w:val="0"/>
          <w:bCs w:val="0"/>
          <w:color w:val="auto"/>
          <w:sz w:val="32"/>
          <w:szCs w:val="32"/>
          <w:highlight w:val="none"/>
          <w:u w:val="none"/>
          <w:lang w:eastAsia="zh-CN"/>
        </w:rPr>
        <w:t>事业发展与地区</w:t>
      </w:r>
      <w:r>
        <w:rPr>
          <w:rFonts w:hint="eastAsia" w:ascii="方正仿宋_GBK" w:hAnsi="方正仿宋_GBK" w:eastAsia="方正仿宋_GBK" w:cs="方正仿宋_GBK"/>
          <w:b w:val="0"/>
          <w:bCs w:val="0"/>
          <w:color w:val="auto"/>
          <w:sz w:val="32"/>
          <w:szCs w:val="32"/>
          <w:highlight w:val="none"/>
          <w:u w:val="none"/>
        </w:rPr>
        <w:t>经济社会发展</w:t>
      </w:r>
      <w:r>
        <w:rPr>
          <w:rFonts w:hint="eastAsia" w:ascii="方正仿宋_GBK" w:hAnsi="方正仿宋_GBK" w:eastAsia="方正仿宋_GBK" w:cs="方正仿宋_GBK"/>
          <w:b w:val="0"/>
          <w:bCs w:val="0"/>
          <w:color w:val="auto"/>
          <w:sz w:val="32"/>
          <w:szCs w:val="32"/>
          <w:highlight w:val="none"/>
          <w:u w:val="none"/>
          <w:lang w:eastAsia="zh-CN"/>
        </w:rPr>
        <w:t>深度融合，努力发挥促进万盛高质量转型发展的积极作用。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highlight w:val="none"/>
          <w:u w:val="none"/>
          <w:lang w:val="en-US" w:eastAsia="zh-CN"/>
        </w:rPr>
      </w:pPr>
      <w:r>
        <w:rPr>
          <w:rFonts w:hint="eastAsia" w:ascii="方正楷体_GBK" w:hAnsi="方正楷体_GBK" w:eastAsia="方正楷体_GBK" w:cs="方正楷体_GBK"/>
          <w:b w:val="0"/>
          <w:bCs w:val="0"/>
          <w:color w:val="auto"/>
          <w:sz w:val="32"/>
          <w:szCs w:val="32"/>
          <w:highlight w:val="none"/>
          <w:u w:val="none"/>
          <w:lang w:eastAsia="zh-CN"/>
        </w:rPr>
        <w:t>——</w:t>
      </w:r>
      <w:r>
        <w:rPr>
          <w:rFonts w:hint="eastAsia" w:ascii="方正楷体_GBK" w:hAnsi="方正楷体_GBK" w:eastAsia="方正楷体_GBK" w:cs="方正楷体_GBK"/>
          <w:b w:val="0"/>
          <w:bCs w:val="0"/>
          <w:color w:val="auto"/>
          <w:sz w:val="32"/>
          <w:szCs w:val="32"/>
          <w:highlight w:val="none"/>
          <w:u w:val="none"/>
        </w:rPr>
        <w:t>坚持</w:t>
      </w:r>
      <w:r>
        <w:rPr>
          <w:rFonts w:hint="eastAsia" w:ascii="方正楷体_GBK" w:hAnsi="方正楷体_GBK" w:eastAsia="方正楷体_GBK" w:cs="方正楷体_GBK"/>
          <w:b w:val="0"/>
          <w:bCs w:val="0"/>
          <w:color w:val="auto"/>
          <w:sz w:val="32"/>
          <w:szCs w:val="32"/>
          <w:highlight w:val="none"/>
          <w:u w:val="none"/>
          <w:lang w:eastAsia="zh-CN"/>
        </w:rPr>
        <w:t>共建共享。</w:t>
      </w:r>
      <w:r>
        <w:rPr>
          <w:rFonts w:hint="eastAsia" w:ascii="Times New Roman" w:hAnsi="Times New Roman" w:eastAsia="方正仿宋_GBK" w:cs="Times New Roman"/>
          <w:b w:val="0"/>
          <w:bCs w:val="0"/>
          <w:color w:val="auto"/>
          <w:sz w:val="32"/>
          <w:szCs w:val="32"/>
          <w:highlight w:val="none"/>
          <w:u w:val="none"/>
          <w:lang w:val="en-US" w:eastAsia="zh-CN"/>
        </w:rPr>
        <w:t>聚焦“区域合作”，深度融入成渝地区双城经济圈建设，积极助推全市“一区两群”协调发展，全力推进綦万“三化”发展，加强与泸县、綦江等地就业服务协同化发展，促进两地人社信息化便民服务深度融合，加强两地各类人才交流合作。</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第四节  发展目标</w:t>
      </w:r>
      <w:bookmarkEnd w:id="8"/>
      <w:bookmarkEnd w:id="9"/>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紧紧围绕</w:t>
      </w:r>
      <w:r>
        <w:rPr>
          <w:rFonts w:hint="eastAsia" w:ascii="方正仿宋_GBK" w:hAnsi="方正仿宋_GBK" w:eastAsia="方正仿宋_GBK" w:cs="方正仿宋_GBK"/>
          <w:b w:val="0"/>
          <w:bCs w:val="0"/>
          <w:color w:val="auto"/>
          <w:sz w:val="32"/>
          <w:szCs w:val="32"/>
          <w:highlight w:val="none"/>
          <w:u w:val="none"/>
          <w:lang w:val="en-US" w:eastAsia="zh-CN"/>
        </w:rPr>
        <w:t>加快打造“一城三区一极”</w:t>
      </w:r>
      <w:r>
        <w:rPr>
          <w:rFonts w:hint="eastAsia" w:ascii="方正仿宋_GBK" w:hAnsi="方正仿宋_GBK" w:eastAsia="方正仿宋_GBK" w:cs="方正仿宋_GBK"/>
          <w:b w:val="0"/>
          <w:bCs w:val="0"/>
          <w:color w:val="auto"/>
          <w:sz w:val="32"/>
          <w:szCs w:val="32"/>
          <w:highlight w:val="none"/>
          <w:u w:val="none"/>
        </w:rPr>
        <w:t>目标，综合考虑宏观环境、发展条件和承载能力，提出“十四五”时期</w:t>
      </w:r>
      <w:r>
        <w:rPr>
          <w:rFonts w:hint="default" w:ascii="Times New Roman" w:hAnsi="Times New Roman" w:eastAsia="方正仿宋_GBK" w:cs="Times New Roman"/>
          <w:b w:val="0"/>
          <w:bCs w:val="0"/>
          <w:color w:val="auto"/>
          <w:sz w:val="32"/>
          <w:szCs w:val="32"/>
          <w:highlight w:val="none"/>
          <w:u w:val="none"/>
        </w:rPr>
        <w:t>和二O三五年远景目标。</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“十四五”时期的发展目标为：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w:t>
      </w:r>
      <w:r>
        <w:rPr>
          <w:rFonts w:hint="eastAsia" w:ascii="方正楷体_GBK" w:hAnsi="方正楷体_GBK" w:eastAsia="方正楷体_GBK" w:cs="方正楷体_GBK"/>
          <w:b w:val="0"/>
          <w:bCs w:val="0"/>
          <w:color w:val="auto"/>
          <w:sz w:val="32"/>
          <w:szCs w:val="32"/>
          <w:highlight w:val="none"/>
          <w:u w:val="none"/>
          <w:lang w:eastAsia="zh-CN"/>
        </w:rPr>
        <w:t>实现更加充分更高质量的就业。</w:t>
      </w:r>
      <w:r>
        <w:rPr>
          <w:rFonts w:hint="eastAsia" w:ascii="方正仿宋_GBK" w:hAnsi="方正仿宋_GBK" w:eastAsia="方正仿宋_GBK" w:cs="方正仿宋_GBK"/>
          <w:b w:val="0"/>
          <w:bCs w:val="0"/>
          <w:color w:val="auto"/>
          <w:sz w:val="32"/>
          <w:szCs w:val="32"/>
          <w:highlight w:val="none"/>
          <w:u w:val="none"/>
          <w:lang w:eastAsia="zh-CN"/>
        </w:rPr>
        <w:t>强化就业优先政策导向，</w:t>
      </w:r>
      <w:r>
        <w:rPr>
          <w:rFonts w:hint="eastAsia" w:ascii="方正仿宋_GBK" w:hAnsi="方正仿宋_GBK" w:eastAsia="方正仿宋_GBK" w:cs="方正仿宋_GBK"/>
          <w:b w:val="0"/>
          <w:bCs w:val="0"/>
          <w:color w:val="auto"/>
          <w:sz w:val="32"/>
          <w:szCs w:val="32"/>
          <w:highlight w:val="none"/>
          <w:u w:val="none"/>
        </w:rPr>
        <w:t>健全</w:t>
      </w:r>
      <w:r>
        <w:rPr>
          <w:rFonts w:hint="eastAsia" w:ascii="方正仿宋_GBK" w:hAnsi="方正仿宋_GBK" w:eastAsia="方正仿宋_GBK" w:cs="方正仿宋_GBK"/>
          <w:b w:val="0"/>
          <w:bCs w:val="0"/>
          <w:color w:val="auto"/>
          <w:sz w:val="32"/>
          <w:szCs w:val="32"/>
          <w:highlight w:val="none"/>
          <w:u w:val="none"/>
          <w:lang w:eastAsia="zh-CN"/>
        </w:rPr>
        <w:t>公共</w:t>
      </w:r>
      <w:r>
        <w:rPr>
          <w:rFonts w:hint="eastAsia" w:ascii="方正仿宋_GBK" w:hAnsi="方正仿宋_GBK" w:eastAsia="方正仿宋_GBK" w:cs="方正仿宋_GBK"/>
          <w:b w:val="0"/>
          <w:bCs w:val="0"/>
          <w:color w:val="auto"/>
          <w:sz w:val="32"/>
          <w:szCs w:val="32"/>
          <w:highlight w:val="none"/>
          <w:u w:val="none"/>
        </w:rPr>
        <w:t>就业服务体系，加大对重点群体就业的支持力度，提升劳动者职业技能素质，缓解就业结构性矛盾，</w:t>
      </w:r>
      <w:r>
        <w:rPr>
          <w:rFonts w:hint="eastAsia" w:ascii="方正仿宋_GBK" w:hAnsi="方正仿宋_GBK" w:eastAsia="方正仿宋_GBK" w:cs="方正仿宋_GBK"/>
          <w:b w:val="0"/>
          <w:bCs w:val="0"/>
          <w:color w:val="auto"/>
          <w:sz w:val="32"/>
          <w:szCs w:val="32"/>
          <w:highlight w:val="none"/>
          <w:u w:val="none"/>
          <w:lang w:eastAsia="zh-CN"/>
        </w:rPr>
        <w:t>鼓励</w:t>
      </w:r>
      <w:r>
        <w:rPr>
          <w:rFonts w:hint="eastAsia" w:ascii="方正仿宋_GBK" w:hAnsi="方正仿宋_GBK" w:eastAsia="方正仿宋_GBK" w:cs="方正仿宋_GBK"/>
          <w:b w:val="0"/>
          <w:bCs w:val="0"/>
          <w:color w:val="auto"/>
          <w:sz w:val="32"/>
          <w:szCs w:val="32"/>
          <w:highlight w:val="none"/>
          <w:u w:val="none"/>
        </w:rPr>
        <w:t>创业带动就业</w:t>
      </w:r>
      <w:r>
        <w:rPr>
          <w:rFonts w:hint="eastAsia" w:ascii="方正仿宋_GBK" w:hAnsi="方正仿宋_GBK" w:eastAsia="方正仿宋_GBK" w:cs="方正仿宋_GBK"/>
          <w:b w:val="0"/>
          <w:bCs w:val="0"/>
          <w:color w:val="auto"/>
          <w:sz w:val="32"/>
          <w:szCs w:val="32"/>
          <w:highlight w:val="none"/>
          <w:u w:val="none"/>
          <w:lang w:eastAsia="zh-CN"/>
        </w:rPr>
        <w:t>，支持</w:t>
      </w:r>
      <w:r>
        <w:rPr>
          <w:rFonts w:hint="eastAsia" w:ascii="方正仿宋_GBK" w:hAnsi="方正仿宋_GBK" w:eastAsia="方正仿宋_GBK" w:cs="方正仿宋_GBK"/>
          <w:b w:val="0"/>
          <w:bCs w:val="0"/>
          <w:color w:val="auto"/>
          <w:sz w:val="32"/>
          <w:szCs w:val="32"/>
          <w:highlight w:val="none"/>
          <w:u w:val="none"/>
        </w:rPr>
        <w:t>多渠道灵活就业</w:t>
      </w:r>
      <w:r>
        <w:rPr>
          <w:rFonts w:hint="eastAsia" w:ascii="方正仿宋_GBK" w:hAnsi="方正仿宋_GBK" w:eastAsia="方正仿宋_GBK" w:cs="方正仿宋_GBK"/>
          <w:b w:val="0"/>
          <w:bCs w:val="0"/>
          <w:color w:val="auto"/>
          <w:sz w:val="32"/>
          <w:szCs w:val="32"/>
          <w:highlight w:val="none"/>
          <w:u w:val="none"/>
          <w:lang w:eastAsia="zh-CN"/>
        </w:rPr>
        <w:t>，</w:t>
      </w:r>
      <w:r>
        <w:rPr>
          <w:rFonts w:hint="eastAsia" w:ascii="方正仿宋_GBK" w:hAnsi="方正仿宋_GBK" w:eastAsia="方正仿宋_GBK" w:cs="方正仿宋_GBK"/>
          <w:b w:val="0"/>
          <w:bCs w:val="0"/>
          <w:color w:val="auto"/>
          <w:sz w:val="32"/>
          <w:szCs w:val="32"/>
          <w:highlight w:val="none"/>
          <w:u w:val="none"/>
        </w:rPr>
        <w:t>防范化解</w:t>
      </w:r>
      <w:r>
        <w:rPr>
          <w:rFonts w:hint="eastAsia" w:ascii="方正仿宋_GBK" w:hAnsi="方正仿宋_GBK" w:eastAsia="方正仿宋_GBK" w:cs="方正仿宋_GBK"/>
          <w:b w:val="0"/>
          <w:bCs w:val="0"/>
          <w:color w:val="auto"/>
          <w:sz w:val="32"/>
          <w:szCs w:val="32"/>
          <w:highlight w:val="none"/>
          <w:u w:val="none"/>
          <w:lang w:eastAsia="zh-CN"/>
        </w:rPr>
        <w:t>规模性</w:t>
      </w:r>
      <w:r>
        <w:rPr>
          <w:rFonts w:hint="eastAsia" w:ascii="方正仿宋_GBK" w:hAnsi="方正仿宋_GBK" w:eastAsia="方正仿宋_GBK" w:cs="方正仿宋_GBK"/>
          <w:b w:val="0"/>
          <w:bCs w:val="0"/>
          <w:color w:val="auto"/>
          <w:sz w:val="32"/>
          <w:szCs w:val="32"/>
          <w:highlight w:val="none"/>
          <w:u w:val="none"/>
        </w:rPr>
        <w:t>失业风险。“十四五”期末，全</w:t>
      </w:r>
      <w:r>
        <w:rPr>
          <w:rFonts w:hint="eastAsia" w:ascii="方正仿宋_GBK" w:hAnsi="方正仿宋_GBK" w:eastAsia="方正仿宋_GBK" w:cs="方正仿宋_GBK"/>
          <w:b w:val="0"/>
          <w:bCs w:val="0"/>
          <w:color w:val="auto"/>
          <w:sz w:val="32"/>
          <w:szCs w:val="32"/>
          <w:highlight w:val="none"/>
          <w:u w:val="none"/>
          <w:lang w:eastAsia="zh-CN"/>
        </w:rPr>
        <w:t>区累计</w:t>
      </w:r>
      <w:r>
        <w:rPr>
          <w:rFonts w:hint="eastAsia" w:ascii="方正仿宋_GBK" w:hAnsi="方正仿宋_GBK" w:eastAsia="方正仿宋_GBK" w:cs="方正仿宋_GBK"/>
          <w:b w:val="0"/>
          <w:bCs w:val="0"/>
          <w:color w:val="auto"/>
          <w:sz w:val="32"/>
          <w:szCs w:val="32"/>
          <w:highlight w:val="none"/>
          <w:u w:val="none"/>
        </w:rPr>
        <w:t>实现城镇</w:t>
      </w:r>
      <w:r>
        <w:rPr>
          <w:rFonts w:hint="default" w:ascii="Times New Roman" w:hAnsi="Times New Roman" w:eastAsia="方正仿宋_GBK" w:cs="Times New Roman"/>
          <w:b w:val="0"/>
          <w:bCs w:val="0"/>
          <w:color w:val="auto"/>
          <w:sz w:val="32"/>
          <w:szCs w:val="32"/>
          <w:highlight w:val="none"/>
          <w:u w:val="none"/>
        </w:rPr>
        <w:t>新增就业</w:t>
      </w:r>
      <w:r>
        <w:rPr>
          <w:rFonts w:hint="eastAsia" w:eastAsia="方正仿宋_GBK" w:cs="Times New Roman"/>
          <w:b w:val="0"/>
          <w:bCs w:val="0"/>
          <w:color w:val="auto"/>
          <w:sz w:val="32"/>
          <w:szCs w:val="32"/>
          <w:highlight w:val="none"/>
          <w:u w:val="none"/>
          <w:lang w:val="en-US" w:eastAsia="zh-CN"/>
        </w:rPr>
        <w:t>2</w:t>
      </w:r>
      <w:r>
        <w:rPr>
          <w:rFonts w:hint="default" w:ascii="Times New Roman" w:hAnsi="Times New Roman" w:eastAsia="方正仿宋_GBK" w:cs="Times New Roman"/>
          <w:b w:val="0"/>
          <w:bCs w:val="0"/>
          <w:color w:val="auto"/>
          <w:sz w:val="32"/>
          <w:szCs w:val="32"/>
          <w:highlight w:val="none"/>
          <w:u w:val="none"/>
        </w:rPr>
        <w:t>万人，城镇调查失业率控制在</w:t>
      </w:r>
      <w:r>
        <w:rPr>
          <w:rFonts w:hint="eastAsia" w:eastAsia="方正仿宋_GBK" w:cs="Times New Roman"/>
          <w:b w:val="0"/>
          <w:bCs w:val="0"/>
          <w:color w:val="auto"/>
          <w:sz w:val="32"/>
          <w:szCs w:val="32"/>
          <w:highlight w:val="none"/>
          <w:u w:val="none"/>
          <w:lang w:val="en-US" w:eastAsia="zh-CN"/>
        </w:rPr>
        <w:t>5.5</w:t>
      </w:r>
      <w:r>
        <w:rPr>
          <w:rFonts w:hint="default" w:ascii="Times New Roman" w:hAnsi="Times New Roman" w:eastAsia="方正仿宋_GBK" w:cs="Times New Roman"/>
          <w:b w:val="0"/>
          <w:bCs w:val="0"/>
          <w:color w:val="auto"/>
          <w:sz w:val="32"/>
          <w:szCs w:val="32"/>
          <w:highlight w:val="none"/>
          <w:u w:val="none"/>
        </w:rPr>
        <w:t>%左右</w:t>
      </w:r>
      <w:r>
        <w:rPr>
          <w:rFonts w:hint="eastAsia" w:eastAsia="方正仿宋_GBK" w:cs="Times New Roman"/>
          <w:b w:val="0"/>
          <w:bCs w:val="0"/>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w:t>
      </w:r>
      <w:r>
        <w:rPr>
          <w:rFonts w:hint="eastAsia" w:ascii="方正楷体_GBK" w:hAnsi="方正楷体_GBK" w:eastAsia="方正楷体_GBK" w:cs="方正楷体_GBK"/>
          <w:b w:val="0"/>
          <w:bCs w:val="0"/>
          <w:color w:val="auto"/>
          <w:sz w:val="32"/>
          <w:szCs w:val="32"/>
          <w:highlight w:val="none"/>
          <w:u w:val="none"/>
          <w:lang w:eastAsia="zh-CN"/>
        </w:rPr>
        <w:t>完善覆盖全民的社会保障体系</w:t>
      </w:r>
      <w:r>
        <w:rPr>
          <w:rFonts w:hint="eastAsia" w:ascii="方正楷体_GBK" w:hAnsi="方正楷体_GBK" w:eastAsia="方正楷体_GBK" w:cs="方正楷体_GBK"/>
          <w:b w:val="0"/>
          <w:bCs w:val="0"/>
          <w:color w:val="auto"/>
          <w:sz w:val="32"/>
          <w:szCs w:val="32"/>
          <w:highlight w:val="none"/>
          <w:u w:val="none"/>
        </w:rPr>
        <w:t>。</w:t>
      </w:r>
      <w:r>
        <w:rPr>
          <w:rFonts w:hint="eastAsia" w:ascii="方正仿宋_GBK" w:hAnsi="方正仿宋_GBK" w:eastAsia="方正仿宋_GBK" w:cs="方正仿宋_GBK"/>
          <w:b w:val="0"/>
          <w:bCs w:val="0"/>
          <w:color w:val="auto"/>
          <w:sz w:val="32"/>
          <w:szCs w:val="32"/>
          <w:highlight w:val="none"/>
          <w:u w:val="none"/>
        </w:rPr>
        <w:t>健全社会保障体系，完善统筹城乡的社会保险制度，巩固社会保险覆盖面，稳步提高社会保险待遇，确保基金安全平稳运行。</w:t>
      </w:r>
      <w:r>
        <w:rPr>
          <w:rFonts w:hint="eastAsia" w:ascii="Times New Roman" w:hAnsi="Times New Roman" w:eastAsia="方正仿宋_GBK" w:cs="Times New Roman"/>
          <w:b w:val="0"/>
          <w:bCs w:val="0"/>
          <w:color w:val="auto"/>
          <w:sz w:val="32"/>
          <w:szCs w:val="32"/>
          <w:highlight w:val="none"/>
          <w:u w:val="none"/>
        </w:rPr>
        <w:t>“十四五”期末，全区城乡养老保险</w:t>
      </w:r>
      <w:r>
        <w:rPr>
          <w:rFonts w:hint="eastAsia" w:eastAsia="方正仿宋_GBK" w:cs="Times New Roman"/>
          <w:b w:val="0"/>
          <w:bCs w:val="0"/>
          <w:color w:val="auto"/>
          <w:sz w:val="32"/>
          <w:szCs w:val="32"/>
          <w:highlight w:val="none"/>
          <w:u w:val="none"/>
          <w:lang w:eastAsia="zh-CN"/>
        </w:rPr>
        <w:t>、</w:t>
      </w:r>
      <w:r>
        <w:rPr>
          <w:rFonts w:hint="eastAsia" w:ascii="Times New Roman" w:hAnsi="Times New Roman" w:eastAsia="方正仿宋_GBK" w:cs="Times New Roman"/>
          <w:b w:val="0"/>
          <w:bCs w:val="0"/>
          <w:color w:val="auto"/>
          <w:sz w:val="32"/>
          <w:szCs w:val="32"/>
          <w:highlight w:val="none"/>
          <w:u w:val="none"/>
        </w:rPr>
        <w:t>基本医疗保险</w:t>
      </w:r>
      <w:r>
        <w:rPr>
          <w:rFonts w:hint="eastAsia" w:ascii="Times New Roman" w:hAnsi="Times New Roman" w:eastAsia="方正仿宋_GBK" w:cs="Times New Roman"/>
          <w:b w:val="0"/>
          <w:bCs w:val="0"/>
          <w:color w:val="auto"/>
          <w:sz w:val="32"/>
          <w:szCs w:val="32"/>
          <w:highlight w:val="none"/>
          <w:u w:val="none"/>
          <w:lang w:eastAsia="zh-CN"/>
        </w:rPr>
        <w:t>参保率</w:t>
      </w:r>
      <w:r>
        <w:rPr>
          <w:rFonts w:hint="eastAsia" w:ascii="Times New Roman" w:hAnsi="Times New Roman" w:eastAsia="方正仿宋_GBK" w:cs="Times New Roman"/>
          <w:b w:val="0"/>
          <w:bCs w:val="0"/>
          <w:color w:val="auto"/>
          <w:sz w:val="32"/>
          <w:szCs w:val="32"/>
          <w:highlight w:val="none"/>
          <w:u w:val="none"/>
        </w:rPr>
        <w:t>巩固在95%以上，工伤保险和失业保险参保人数分别达到6万人、4.8万人。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方正仿宋_GBK" w:hAnsi="方正仿宋_GBK" w:eastAsia="方正仿宋_GBK" w:cs="方正仿宋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lang w:eastAsia="zh-CN"/>
        </w:rPr>
        <w:t>——打造更高水平更具活力的人才强区。</w:t>
      </w:r>
      <w:r>
        <w:rPr>
          <w:rFonts w:hint="eastAsia" w:ascii="方正仿宋_GBK" w:hAnsi="方正仿宋_GBK" w:eastAsia="方正仿宋_GBK" w:cs="方正仿宋_GBK"/>
          <w:b w:val="0"/>
          <w:bCs w:val="0"/>
          <w:color w:val="auto"/>
          <w:sz w:val="32"/>
          <w:szCs w:val="32"/>
          <w:highlight w:val="none"/>
          <w:u w:val="none"/>
          <w:lang w:eastAsia="zh-CN"/>
        </w:rPr>
        <w:t>全</w:t>
      </w:r>
      <w:r>
        <w:rPr>
          <w:rFonts w:hint="eastAsia" w:ascii="Times New Roman" w:hAnsi="Times New Roman" w:eastAsia="方正仿宋_GBK" w:cs="Times New Roman"/>
          <w:b w:val="0"/>
          <w:bCs w:val="0"/>
          <w:color w:val="auto"/>
          <w:sz w:val="32"/>
          <w:szCs w:val="32"/>
          <w:highlight w:val="none"/>
          <w:u w:val="none"/>
          <w:lang w:eastAsia="zh-CN"/>
        </w:rPr>
        <w:t>面贯彻落实新时代人才工作新理念新战略新举措，扎实推动党中央、市委和党工委关于新时代人才工作各项决策部署落地见效，为推动万盛经济社会高质量转型发展提供有力人才支撑。</w:t>
      </w:r>
      <w:r>
        <w:rPr>
          <w:rFonts w:hint="eastAsia" w:ascii="方正仿宋_GBK" w:hAnsi="方正仿宋_GBK" w:eastAsia="方正仿宋_GBK" w:cs="方正仿宋_GBK"/>
          <w:b w:val="0"/>
          <w:bCs w:val="0"/>
          <w:color w:val="auto"/>
          <w:sz w:val="32"/>
          <w:szCs w:val="32"/>
          <w:highlight w:val="none"/>
          <w:u w:val="none"/>
        </w:rPr>
        <w:t>深化人才发展体制机制改革，聚焦产业发展和市场需求，实施更加积极、更加开放、更加有效的人才政策，打造</w:t>
      </w:r>
      <w:r>
        <w:rPr>
          <w:rFonts w:hint="eastAsia" w:ascii="方正仿宋_GBK" w:hAnsi="方正仿宋_GBK" w:eastAsia="方正仿宋_GBK" w:cs="方正仿宋_GBK"/>
          <w:b w:val="0"/>
          <w:bCs w:val="0"/>
          <w:color w:val="auto"/>
          <w:sz w:val="32"/>
          <w:szCs w:val="32"/>
          <w:highlight w:val="none"/>
          <w:u w:val="none"/>
          <w:lang w:eastAsia="zh-CN"/>
        </w:rPr>
        <w:t>全市重要人才聚集地，</w:t>
      </w:r>
      <w:r>
        <w:rPr>
          <w:rFonts w:hint="eastAsia" w:ascii="方正仿宋_GBK" w:hAnsi="方正仿宋_GBK" w:eastAsia="方正仿宋_GBK" w:cs="方正仿宋_GBK"/>
          <w:b w:val="0"/>
          <w:bCs w:val="0"/>
          <w:color w:val="auto"/>
          <w:sz w:val="32"/>
          <w:szCs w:val="32"/>
          <w:highlight w:val="none"/>
          <w:u w:val="none"/>
        </w:rPr>
        <w:t>健全人才评价体系</w:t>
      </w:r>
      <w:r>
        <w:rPr>
          <w:rFonts w:hint="eastAsia" w:ascii="方正仿宋_GBK" w:hAnsi="方正仿宋_GBK" w:eastAsia="方正仿宋_GBK" w:cs="方正仿宋_GBK"/>
          <w:b w:val="0"/>
          <w:bCs w:val="0"/>
          <w:color w:val="auto"/>
          <w:sz w:val="32"/>
          <w:szCs w:val="32"/>
          <w:highlight w:val="none"/>
          <w:u w:val="none"/>
          <w:lang w:eastAsia="zh-CN"/>
        </w:rPr>
        <w:t>，</w:t>
      </w:r>
      <w:r>
        <w:rPr>
          <w:rFonts w:hint="eastAsia" w:ascii="方正仿宋_GBK" w:hAnsi="方正仿宋_GBK" w:eastAsia="方正仿宋_GBK" w:cs="方正仿宋_GBK"/>
          <w:b w:val="0"/>
          <w:bCs w:val="0"/>
          <w:color w:val="auto"/>
          <w:sz w:val="32"/>
          <w:szCs w:val="32"/>
          <w:highlight w:val="none"/>
          <w:u w:val="none"/>
        </w:rPr>
        <w:t>大力发展人力资源服务</w:t>
      </w:r>
      <w:r>
        <w:rPr>
          <w:rFonts w:hint="eastAsia" w:ascii="方正仿宋_GBK" w:hAnsi="方正仿宋_GBK" w:eastAsia="方正仿宋_GBK" w:cs="方正仿宋_GBK"/>
          <w:b w:val="0"/>
          <w:bCs w:val="0"/>
          <w:color w:val="auto"/>
          <w:sz w:val="32"/>
          <w:szCs w:val="32"/>
          <w:highlight w:val="none"/>
          <w:u w:val="none"/>
          <w:lang w:eastAsia="zh-CN"/>
        </w:rPr>
        <w:t>，</w:t>
      </w:r>
      <w:r>
        <w:rPr>
          <w:rFonts w:hint="eastAsia" w:ascii="方正仿宋_GBK" w:hAnsi="方正仿宋_GBK" w:eastAsia="方正仿宋_GBK" w:cs="方正仿宋_GBK"/>
          <w:b w:val="0"/>
          <w:bCs w:val="0"/>
          <w:color w:val="auto"/>
          <w:sz w:val="32"/>
          <w:szCs w:val="32"/>
          <w:highlight w:val="none"/>
          <w:u w:val="none"/>
        </w:rPr>
        <w:t>努力营造“近者悦、远者来”的人才生态。</w:t>
      </w:r>
      <w:r>
        <w:rPr>
          <w:rFonts w:hint="eastAsia" w:eastAsia="方正仿宋_GBK" w:cs="Times New Roman"/>
          <w:b w:val="0"/>
          <w:bCs w:val="0"/>
          <w:color w:val="auto"/>
          <w:sz w:val="32"/>
          <w:szCs w:val="32"/>
          <w:highlight w:val="none"/>
          <w:u w:val="none"/>
          <w:lang w:val="en-US" w:eastAsia="zh-CN"/>
        </w:rPr>
        <w:t>“十四五”期末，全区专业技术人才和高技能人才总量分别</w:t>
      </w:r>
      <w:r>
        <w:rPr>
          <w:rFonts w:hint="default" w:eastAsia="方正仿宋_GBK" w:cs="Times New Roman"/>
          <w:b w:val="0"/>
          <w:bCs w:val="0"/>
          <w:color w:val="auto"/>
          <w:sz w:val="32"/>
          <w:szCs w:val="32"/>
          <w:highlight w:val="none"/>
          <w:u w:val="none"/>
          <w:lang w:val="en-US" w:eastAsia="zh-CN"/>
        </w:rPr>
        <w:t>达到</w:t>
      </w:r>
      <w:r>
        <w:rPr>
          <w:rFonts w:hint="eastAsia" w:eastAsia="方正仿宋_GBK" w:cs="Times New Roman"/>
          <w:b w:val="0"/>
          <w:bCs w:val="0"/>
          <w:color w:val="auto"/>
          <w:sz w:val="32"/>
          <w:szCs w:val="32"/>
          <w:highlight w:val="none"/>
          <w:u w:val="none"/>
          <w:lang w:val="en-US" w:eastAsia="zh-CN"/>
        </w:rPr>
        <w:t>1.8万</w:t>
      </w:r>
      <w:r>
        <w:rPr>
          <w:rFonts w:hint="default" w:eastAsia="方正仿宋_GBK" w:cs="Times New Roman"/>
          <w:b w:val="0"/>
          <w:bCs w:val="0"/>
          <w:color w:val="auto"/>
          <w:sz w:val="32"/>
          <w:szCs w:val="32"/>
          <w:highlight w:val="none"/>
          <w:u w:val="none"/>
          <w:lang w:val="en-US" w:eastAsia="zh-CN"/>
        </w:rPr>
        <w:t>人和</w:t>
      </w:r>
      <w:r>
        <w:rPr>
          <w:rFonts w:hint="eastAsia" w:eastAsia="方正仿宋_GBK" w:cs="Times New Roman"/>
          <w:b w:val="0"/>
          <w:bCs w:val="0"/>
          <w:color w:val="auto"/>
          <w:sz w:val="32"/>
          <w:szCs w:val="32"/>
          <w:highlight w:val="none"/>
          <w:u w:val="none"/>
          <w:lang w:val="en-US" w:eastAsia="zh-CN"/>
        </w:rPr>
        <w:t>2000</w:t>
      </w:r>
      <w:r>
        <w:rPr>
          <w:rFonts w:hint="default" w:eastAsia="方正仿宋_GBK" w:cs="Times New Roman"/>
          <w:b w:val="0"/>
          <w:bCs w:val="0"/>
          <w:color w:val="auto"/>
          <w:sz w:val="32"/>
          <w:szCs w:val="32"/>
          <w:highlight w:val="none"/>
          <w:u w:val="none"/>
          <w:lang w:val="en-US" w:eastAsia="zh-CN"/>
        </w:rPr>
        <w:t>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w:t>
      </w:r>
      <w:r>
        <w:rPr>
          <w:rFonts w:hint="eastAsia" w:ascii="方正楷体_GBK" w:hAnsi="方正楷体_GBK" w:eastAsia="方正楷体_GBK" w:cs="方正楷体_GBK"/>
          <w:b w:val="0"/>
          <w:bCs w:val="0"/>
          <w:color w:val="auto"/>
          <w:sz w:val="32"/>
          <w:szCs w:val="32"/>
          <w:highlight w:val="none"/>
          <w:u w:val="none"/>
          <w:lang w:eastAsia="zh-CN"/>
        </w:rPr>
        <w:t>构建更加和谐稳定的劳</w:t>
      </w:r>
      <w:r>
        <w:rPr>
          <w:rFonts w:hint="eastAsia" w:ascii="方正楷体_GBK" w:hAnsi="方正楷体_GBK" w:eastAsia="方正楷体_GBK" w:cs="方正楷体_GBK"/>
          <w:b w:val="0"/>
          <w:bCs w:val="0"/>
          <w:color w:val="auto"/>
          <w:sz w:val="32"/>
          <w:szCs w:val="32"/>
          <w:highlight w:val="none"/>
          <w:u w:val="none"/>
        </w:rPr>
        <w:t>动关系。</w:t>
      </w:r>
      <w:r>
        <w:rPr>
          <w:rFonts w:hint="eastAsia" w:ascii="方正仿宋_GBK" w:hAnsi="方正仿宋_GBK" w:eastAsia="方正仿宋_GBK" w:cs="方正仿宋_GBK"/>
          <w:b w:val="0"/>
          <w:bCs w:val="0"/>
          <w:color w:val="auto"/>
          <w:sz w:val="32"/>
          <w:szCs w:val="32"/>
          <w:highlight w:val="none"/>
          <w:u w:val="none"/>
        </w:rPr>
        <w:t>劳动关系治理能力明显提高，劳动关系协调和矛盾调处机制进一步完善，劳动保障监察执法效能不断提升。</w:t>
      </w:r>
      <w:r>
        <w:rPr>
          <w:rFonts w:hint="eastAsia" w:ascii="方正仿宋_GBK" w:hAnsi="方正仿宋_GBK" w:eastAsia="方正仿宋_GBK" w:cs="方正仿宋_GBK"/>
          <w:b w:val="0"/>
          <w:bCs w:val="0"/>
          <w:color w:val="auto"/>
          <w:sz w:val="32"/>
          <w:szCs w:val="32"/>
          <w:highlight w:val="none"/>
          <w:u w:val="none"/>
          <w:lang w:eastAsia="zh-CN"/>
        </w:rPr>
        <w:t>劳动保障守法诚信体系更加完善，</w:t>
      </w:r>
      <w:r>
        <w:rPr>
          <w:rFonts w:hint="eastAsia" w:ascii="方正仿宋_GBK" w:hAnsi="方正仿宋_GBK" w:eastAsia="方正仿宋_GBK" w:cs="方正仿宋_GBK"/>
          <w:b w:val="0"/>
          <w:bCs w:val="0"/>
          <w:color w:val="auto"/>
          <w:sz w:val="32"/>
          <w:szCs w:val="32"/>
          <w:highlight w:val="none"/>
          <w:u w:val="none"/>
        </w:rPr>
        <w:t>工资收入分配制度更加健全，劳动者</w:t>
      </w:r>
      <w:r>
        <w:rPr>
          <w:rFonts w:hint="eastAsia" w:ascii="方正仿宋_GBK" w:hAnsi="方正仿宋_GBK" w:eastAsia="方正仿宋_GBK" w:cs="方正仿宋_GBK"/>
          <w:b w:val="0"/>
          <w:bCs w:val="0"/>
          <w:color w:val="auto"/>
          <w:sz w:val="32"/>
          <w:szCs w:val="32"/>
          <w:highlight w:val="none"/>
          <w:u w:val="none"/>
          <w:lang w:eastAsia="zh-CN"/>
        </w:rPr>
        <w:t>合法权益</w:t>
      </w:r>
      <w:r>
        <w:rPr>
          <w:rFonts w:hint="eastAsia" w:ascii="方正仿宋_GBK" w:hAnsi="方正仿宋_GBK" w:eastAsia="方正仿宋_GBK" w:cs="方正仿宋_GBK"/>
          <w:b w:val="0"/>
          <w:bCs w:val="0"/>
          <w:color w:val="auto"/>
          <w:sz w:val="32"/>
          <w:szCs w:val="32"/>
          <w:highlight w:val="none"/>
          <w:u w:val="none"/>
        </w:rPr>
        <w:t>得到充分保障。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w:t>
      </w:r>
      <w:r>
        <w:rPr>
          <w:rFonts w:hint="eastAsia" w:ascii="方正楷体_GBK" w:hAnsi="方正楷体_GBK" w:eastAsia="方正楷体_GBK" w:cs="方正楷体_GBK"/>
          <w:b w:val="0"/>
          <w:bCs w:val="0"/>
          <w:color w:val="auto"/>
          <w:sz w:val="32"/>
          <w:szCs w:val="32"/>
          <w:highlight w:val="none"/>
          <w:u w:val="none"/>
          <w:lang w:eastAsia="zh-CN"/>
        </w:rPr>
        <w:t>搭建更加便捷优质的</w:t>
      </w:r>
      <w:r>
        <w:rPr>
          <w:rFonts w:hint="eastAsia" w:ascii="方正楷体_GBK" w:hAnsi="方正楷体_GBK" w:eastAsia="方正楷体_GBK" w:cs="方正楷体_GBK"/>
          <w:b w:val="0"/>
          <w:bCs w:val="0"/>
          <w:color w:val="auto"/>
          <w:sz w:val="32"/>
          <w:szCs w:val="32"/>
          <w:highlight w:val="none"/>
          <w:u w:val="none"/>
        </w:rPr>
        <w:t>公共服务</w:t>
      </w:r>
      <w:r>
        <w:rPr>
          <w:rFonts w:hint="eastAsia" w:ascii="方正楷体_GBK" w:hAnsi="方正楷体_GBK" w:eastAsia="方正楷体_GBK" w:cs="方正楷体_GBK"/>
          <w:b w:val="0"/>
          <w:bCs w:val="0"/>
          <w:color w:val="auto"/>
          <w:sz w:val="32"/>
          <w:szCs w:val="32"/>
          <w:highlight w:val="none"/>
          <w:u w:val="none"/>
          <w:lang w:eastAsia="zh-CN"/>
        </w:rPr>
        <w:t>平台</w:t>
      </w:r>
      <w:r>
        <w:rPr>
          <w:rFonts w:hint="eastAsia" w:ascii="方正楷体_GBK" w:hAnsi="方正楷体_GBK" w:eastAsia="方正楷体_GBK" w:cs="方正楷体_GBK"/>
          <w:b w:val="0"/>
          <w:bCs w:val="0"/>
          <w:color w:val="auto"/>
          <w:sz w:val="32"/>
          <w:szCs w:val="32"/>
          <w:highlight w:val="none"/>
          <w:u w:val="none"/>
        </w:rPr>
        <w:t>。</w:t>
      </w:r>
      <w:r>
        <w:rPr>
          <w:rFonts w:hint="eastAsia" w:ascii="方正仿宋_GBK" w:hAnsi="方正仿宋_GBK" w:eastAsia="方正仿宋_GBK" w:cs="方正仿宋_GBK"/>
          <w:b w:val="0"/>
          <w:bCs w:val="0"/>
          <w:color w:val="auto"/>
          <w:sz w:val="32"/>
          <w:szCs w:val="32"/>
          <w:highlight w:val="none"/>
          <w:u w:val="none"/>
        </w:rPr>
        <w:t>建立健全人力资源社会保障基本公共服务制度和标准，打造上下联动、内部一体、外部协同、过程可控的公共服务体系，持续提高智慧服务能力，增强广大群众享有基本公共服务的可及性，基本公共服务均等化水平明显提高。</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二O三五年远景目标为：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到2035年，人力社保事业将与</w:t>
      </w:r>
      <w:r>
        <w:rPr>
          <w:rFonts w:hint="eastAsia" w:eastAsia="方正仿宋_GBK" w:cs="Times New Roman"/>
          <w:b w:val="0"/>
          <w:bCs w:val="0"/>
          <w:color w:val="auto"/>
          <w:sz w:val="32"/>
          <w:szCs w:val="32"/>
          <w:highlight w:val="none"/>
          <w:u w:val="none"/>
          <w:lang w:eastAsia="zh-CN"/>
        </w:rPr>
        <w:t>全区</w:t>
      </w:r>
      <w:r>
        <w:rPr>
          <w:rFonts w:hint="default" w:ascii="Times New Roman" w:hAnsi="Times New Roman" w:eastAsia="方正仿宋_GBK" w:cs="Times New Roman"/>
          <w:b w:val="0"/>
          <w:bCs w:val="0"/>
          <w:color w:val="auto"/>
          <w:sz w:val="32"/>
          <w:szCs w:val="32"/>
          <w:highlight w:val="none"/>
          <w:u w:val="none"/>
        </w:rPr>
        <w:t>一道基本实现社会主义</w:t>
      </w:r>
      <w:r>
        <w:rPr>
          <w:rFonts w:hint="eastAsia" w:ascii="方正仿宋_GBK" w:hAnsi="方正仿宋_GBK" w:eastAsia="方正仿宋_GBK" w:cs="方正仿宋_GBK"/>
          <w:b w:val="0"/>
          <w:bCs w:val="0"/>
          <w:color w:val="auto"/>
          <w:sz w:val="32"/>
          <w:szCs w:val="32"/>
          <w:highlight w:val="none"/>
          <w:u w:val="none"/>
        </w:rPr>
        <w:t>现代化。就业作为民生之本的作用充分发挥，劳动者技能素养普遍提升，劳动者就业更加</w:t>
      </w:r>
      <w:r>
        <w:rPr>
          <w:rFonts w:hint="eastAsia" w:ascii="方正仿宋_GBK" w:hAnsi="方正仿宋_GBK" w:eastAsia="方正仿宋_GBK" w:cs="方正仿宋_GBK"/>
          <w:b w:val="0"/>
          <w:bCs w:val="0"/>
          <w:color w:val="auto"/>
          <w:sz w:val="32"/>
          <w:szCs w:val="32"/>
          <w:highlight w:val="none"/>
          <w:u w:val="none"/>
          <w:lang w:eastAsia="zh-CN"/>
        </w:rPr>
        <w:t>充分、更高质量，</w:t>
      </w:r>
      <w:r>
        <w:rPr>
          <w:rFonts w:hint="eastAsia" w:ascii="方正仿宋_GBK" w:hAnsi="方正仿宋_GBK" w:eastAsia="方正仿宋_GBK" w:cs="方正仿宋_GBK"/>
          <w:b w:val="0"/>
          <w:bCs w:val="0"/>
          <w:color w:val="auto"/>
          <w:sz w:val="32"/>
          <w:szCs w:val="32"/>
          <w:highlight w:val="none"/>
          <w:u w:val="none"/>
        </w:rPr>
        <w:t>劳动者的全面发展取得实质性进展；社会保障作为民生之基的作用更加巩固，人人享受社会保障的获得感和幸福感显著增强；人才规模、结构更加合理，与社会主义现代化相适应的人才队伍基本形成；人力社保基本公共服务实现均等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color w:val="auto"/>
          <w:sz w:val="28"/>
          <w:szCs w:val="28"/>
          <w:highlight w:val="none"/>
          <w:u w:val="none"/>
        </w:rPr>
      </w:pPr>
      <w:r>
        <w:rPr>
          <w:rFonts w:hint="eastAsia" w:ascii="Times New Roman" w:hAnsi="Times New Roman" w:eastAsia="方正黑体_GBK"/>
          <w:b w:val="0"/>
          <w:bCs w:val="0"/>
          <w:color w:val="auto"/>
          <w:sz w:val="28"/>
          <w:szCs w:val="28"/>
          <w:highlight w:val="none"/>
          <w:u w:val="none"/>
        </w:rPr>
        <w:t xml:space="preserve">专栏2  </w:t>
      </w:r>
      <w:r>
        <w:rPr>
          <w:rFonts w:hint="eastAsia" w:ascii="方正黑体_GBK" w:hAnsi="方正黑体_GBK" w:eastAsia="方正黑体_GBK" w:cs="方正黑体_GBK"/>
          <w:b w:val="0"/>
          <w:bCs w:val="0"/>
          <w:color w:val="auto"/>
          <w:sz w:val="28"/>
          <w:szCs w:val="28"/>
          <w:highlight w:val="none"/>
          <w:u w:val="none"/>
        </w:rPr>
        <w:t>“十四五”规划主要指标</w:t>
      </w:r>
    </w:p>
    <w:tbl>
      <w:tblPr>
        <w:tblStyle w:val="16"/>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8"/>
        <w:gridCol w:w="1418"/>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9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指标</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2020年</w:t>
            </w:r>
          </w:p>
        </w:tc>
        <w:tc>
          <w:tcPr>
            <w:tcW w:w="141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2025年</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1"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一、就业创业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left"/>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1.城镇新增就业人数（万人）</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w:t>
            </w:r>
            <w:r>
              <w:rPr>
                <w:rFonts w:hint="eastAsia" w:eastAsia="方正仿宋_GBK" w:cs="Times New Roman"/>
                <w:b w:val="0"/>
                <w:bCs w:val="0"/>
                <w:color w:val="auto"/>
                <w:sz w:val="24"/>
                <w:szCs w:val="24"/>
                <w:highlight w:val="none"/>
                <w:u w:val="none"/>
                <w:lang w:val="en-US" w:eastAsia="zh-CN"/>
              </w:rPr>
              <w:t>3.3</w:t>
            </w:r>
            <w:r>
              <w:rPr>
                <w:rFonts w:hint="default" w:ascii="Times New Roman" w:hAnsi="Times New Roman" w:eastAsia="方正仿宋_GBK" w:cs="Times New Roman"/>
                <w:b w:val="0"/>
                <w:bCs w:val="0"/>
                <w:color w:val="auto"/>
                <w:sz w:val="24"/>
                <w:szCs w:val="24"/>
                <w:highlight w:val="none"/>
                <w:u w:val="none"/>
              </w:rPr>
              <w:t>】</w:t>
            </w:r>
          </w:p>
        </w:tc>
        <w:tc>
          <w:tcPr>
            <w:tcW w:w="141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w:t>
            </w:r>
            <w:r>
              <w:rPr>
                <w:rFonts w:hint="eastAsia" w:eastAsia="方正仿宋_GBK" w:cs="Times New Roman"/>
                <w:b w:val="0"/>
                <w:bCs w:val="0"/>
                <w:color w:val="auto"/>
                <w:sz w:val="24"/>
                <w:szCs w:val="24"/>
                <w:highlight w:val="none"/>
                <w:u w:val="none"/>
                <w:lang w:val="en-US" w:eastAsia="zh-CN"/>
              </w:rPr>
              <w:t>2</w:t>
            </w:r>
            <w:r>
              <w:rPr>
                <w:rFonts w:hint="default" w:ascii="Times New Roman" w:hAnsi="Times New Roman" w:eastAsia="方正仿宋_GBK" w:cs="Times New Roman"/>
                <w:b w:val="0"/>
                <w:bCs w:val="0"/>
                <w:color w:val="auto"/>
                <w:sz w:val="24"/>
                <w:szCs w:val="24"/>
                <w:highlight w:val="none"/>
                <w:u w:val="none"/>
              </w:rPr>
              <w:t>】</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left"/>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2.城镇调查失业率（%）</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方正仿宋_GBK" w:cs="Times New Roman"/>
                <w:b w:val="0"/>
                <w:bCs w:val="0"/>
                <w:color w:val="auto"/>
                <w:sz w:val="24"/>
                <w:szCs w:val="24"/>
                <w:highlight w:val="none"/>
                <w:u w:val="none"/>
                <w:lang w:eastAsia="zh-CN"/>
              </w:rPr>
            </w:pPr>
            <w:r>
              <w:rPr>
                <w:rFonts w:hint="default" w:ascii="Times New Roman" w:hAnsi="Times New Roman" w:eastAsia="方正仿宋_GBK" w:cs="Times New Roman"/>
                <w:b w:val="0"/>
                <w:bCs w:val="0"/>
                <w:color w:val="auto"/>
                <w:kern w:val="0"/>
                <w:sz w:val="24"/>
                <w:szCs w:val="24"/>
                <w:highlight w:val="none"/>
                <w:u w:val="none"/>
              </w:rPr>
              <w:t>—</w:t>
            </w:r>
          </w:p>
        </w:tc>
        <w:tc>
          <w:tcPr>
            <w:tcW w:w="141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方正仿宋_GBK" w:cs="Times New Roman"/>
                <w:b w:val="0"/>
                <w:bCs w:val="0"/>
                <w:color w:val="auto"/>
                <w:sz w:val="24"/>
                <w:szCs w:val="24"/>
                <w:highlight w:val="none"/>
                <w:u w:val="none"/>
                <w:lang w:eastAsia="zh-CN"/>
              </w:rPr>
            </w:pPr>
            <w:r>
              <w:rPr>
                <w:rFonts w:hint="eastAsia" w:eastAsia="方正仿宋_GBK" w:cs="Times New Roman"/>
                <w:b w:val="0"/>
                <w:bCs w:val="0"/>
                <w:color w:val="auto"/>
                <w:sz w:val="24"/>
                <w:szCs w:val="24"/>
                <w:highlight w:val="none"/>
                <w:u w:val="none"/>
                <w:lang w:val="en-US" w:eastAsia="zh-CN"/>
              </w:rPr>
              <w:t>&lt;5.5</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left"/>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3.开展补贴性职业技能培训人次</w:t>
            </w:r>
            <w:r>
              <w:rPr>
                <w:rFonts w:hint="eastAsia" w:eastAsia="方正仿宋_GBK" w:cs="Times New Roman"/>
                <w:b w:val="0"/>
                <w:bCs w:val="0"/>
                <w:color w:val="auto"/>
                <w:sz w:val="24"/>
                <w:szCs w:val="24"/>
                <w:highlight w:val="none"/>
                <w:u w:val="none"/>
                <w:lang w:eastAsia="zh-CN"/>
              </w:rPr>
              <w:t>（</w:t>
            </w:r>
            <w:r>
              <w:rPr>
                <w:rFonts w:hint="default" w:ascii="Times New Roman" w:hAnsi="Times New Roman" w:eastAsia="方正仿宋_GBK" w:cs="Times New Roman"/>
                <w:b w:val="0"/>
                <w:bCs w:val="0"/>
                <w:color w:val="auto"/>
                <w:sz w:val="24"/>
                <w:szCs w:val="24"/>
                <w:highlight w:val="none"/>
                <w:u w:val="none"/>
              </w:rPr>
              <w:t>万人次</w:t>
            </w:r>
            <w:r>
              <w:rPr>
                <w:rFonts w:hint="eastAsia" w:eastAsia="方正仿宋_GBK" w:cs="Times New Roman"/>
                <w:b w:val="0"/>
                <w:bCs w:val="0"/>
                <w:color w:val="auto"/>
                <w:sz w:val="24"/>
                <w:szCs w:val="24"/>
                <w:highlight w:val="none"/>
                <w:u w:val="none"/>
                <w:lang w:eastAsia="zh-CN"/>
              </w:rPr>
              <w:t>）</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方正仿宋_GBK" w:cs="Times New Roman"/>
                <w:b w:val="0"/>
                <w:bCs w:val="0"/>
                <w:color w:val="auto"/>
                <w:sz w:val="24"/>
                <w:szCs w:val="24"/>
                <w:highlight w:val="none"/>
                <w:u w:val="none"/>
                <w:lang w:eastAsia="zh-CN"/>
              </w:rPr>
            </w:pPr>
            <w:r>
              <w:rPr>
                <w:rFonts w:hint="eastAsia" w:eastAsia="方正仿宋_GBK" w:cs="Times New Roman"/>
                <w:b w:val="0"/>
                <w:bCs w:val="0"/>
                <w:color w:val="auto"/>
                <w:sz w:val="24"/>
                <w:szCs w:val="24"/>
                <w:highlight w:val="none"/>
                <w:u w:val="none"/>
                <w:lang w:val="en-US" w:eastAsia="zh-CN"/>
              </w:rPr>
              <w:t>1.63</w:t>
            </w:r>
          </w:p>
        </w:tc>
        <w:tc>
          <w:tcPr>
            <w:tcW w:w="141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w:t>
            </w:r>
            <w:r>
              <w:rPr>
                <w:rFonts w:hint="eastAsia" w:eastAsia="方正仿宋_GBK" w:cs="Times New Roman"/>
                <w:b w:val="0"/>
                <w:bCs w:val="0"/>
                <w:color w:val="auto"/>
                <w:sz w:val="24"/>
                <w:szCs w:val="24"/>
                <w:highlight w:val="none"/>
                <w:u w:val="none"/>
                <w:lang w:val="en-US" w:eastAsia="zh-CN"/>
              </w:rPr>
              <w:t>2</w:t>
            </w:r>
            <w:r>
              <w:rPr>
                <w:rFonts w:hint="default" w:ascii="Times New Roman" w:hAnsi="Times New Roman" w:eastAsia="方正仿宋_GBK" w:cs="Times New Roman"/>
                <w:b w:val="0"/>
                <w:bCs w:val="0"/>
                <w:color w:val="auto"/>
                <w:sz w:val="24"/>
                <w:szCs w:val="24"/>
                <w:highlight w:val="none"/>
                <w:u w:val="none"/>
              </w:rPr>
              <w:t>】</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1" w:type="dxa"/>
            <w:gridSpan w:val="4"/>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left"/>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二、社会保障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left"/>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eastAsia" w:eastAsia="方正仿宋_GBK" w:cs="Times New Roman"/>
                <w:b w:val="0"/>
                <w:bCs w:val="0"/>
                <w:color w:val="auto"/>
                <w:sz w:val="24"/>
                <w:szCs w:val="24"/>
                <w:highlight w:val="none"/>
                <w:u w:val="none"/>
                <w:lang w:val="en-US" w:eastAsia="zh-CN"/>
              </w:rPr>
              <w:t>4</w:t>
            </w:r>
            <w:r>
              <w:rPr>
                <w:rFonts w:hint="default" w:ascii="Times New Roman" w:hAnsi="Times New Roman" w:eastAsia="方正仿宋_GBK" w:cs="Times New Roman"/>
                <w:b w:val="0"/>
                <w:bCs w:val="0"/>
                <w:color w:val="auto"/>
                <w:sz w:val="24"/>
                <w:szCs w:val="24"/>
                <w:highlight w:val="none"/>
                <w:u w:val="none"/>
              </w:rPr>
              <w:t>.基本养老保险参保率</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&gt;95</w:t>
            </w:r>
          </w:p>
        </w:tc>
        <w:tc>
          <w:tcPr>
            <w:tcW w:w="141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kern w:val="0"/>
                <w:sz w:val="24"/>
                <w:szCs w:val="24"/>
                <w:highlight w:val="none"/>
                <w:u w:val="none"/>
              </w:rPr>
              <w:t>&gt;95</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left"/>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eastAsia" w:eastAsia="方正仿宋_GBK" w:cs="Times New Roman"/>
                <w:b w:val="0"/>
                <w:bCs w:val="0"/>
                <w:color w:val="auto"/>
                <w:sz w:val="24"/>
                <w:szCs w:val="24"/>
                <w:highlight w:val="none"/>
                <w:u w:val="none"/>
                <w:lang w:val="en-US" w:eastAsia="zh-CN"/>
              </w:rPr>
              <w:t>5</w:t>
            </w:r>
            <w:r>
              <w:rPr>
                <w:rFonts w:hint="default" w:ascii="Times New Roman" w:hAnsi="Times New Roman" w:eastAsia="方正仿宋_GBK" w:cs="Times New Roman"/>
                <w:b w:val="0"/>
                <w:bCs w:val="0"/>
                <w:color w:val="auto"/>
                <w:sz w:val="24"/>
                <w:szCs w:val="24"/>
                <w:highlight w:val="none"/>
                <w:u w:val="none"/>
              </w:rPr>
              <w:t>.失业保险参保人数（万人）</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lang w:val="en-US" w:eastAsia="zh-CN"/>
              </w:rPr>
            </w:pPr>
            <w:r>
              <w:rPr>
                <w:rFonts w:hint="eastAsia" w:eastAsia="方正仿宋_GBK" w:cs="Times New Roman"/>
                <w:b w:val="0"/>
                <w:bCs w:val="0"/>
                <w:color w:val="auto"/>
                <w:sz w:val="24"/>
                <w:szCs w:val="24"/>
                <w:highlight w:val="none"/>
                <w:u w:val="none"/>
                <w:lang w:val="en-US" w:eastAsia="zh-CN"/>
              </w:rPr>
              <w:t>4.6</w:t>
            </w:r>
          </w:p>
        </w:tc>
        <w:tc>
          <w:tcPr>
            <w:tcW w:w="141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lang w:val="en-US" w:eastAsia="zh-CN"/>
              </w:rPr>
            </w:pPr>
            <w:r>
              <w:rPr>
                <w:rFonts w:hint="eastAsia" w:eastAsia="方正仿宋_GBK" w:cs="Times New Roman"/>
                <w:b w:val="0"/>
                <w:bCs w:val="0"/>
                <w:color w:val="auto"/>
                <w:sz w:val="24"/>
                <w:szCs w:val="24"/>
                <w:highlight w:val="none"/>
                <w:u w:val="none"/>
                <w:lang w:val="en-US" w:eastAsia="zh-CN"/>
              </w:rPr>
              <w:t>4.8</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left"/>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eastAsia" w:eastAsia="方正仿宋_GBK" w:cs="Times New Roman"/>
                <w:b w:val="0"/>
                <w:bCs w:val="0"/>
                <w:color w:val="auto"/>
                <w:sz w:val="24"/>
                <w:szCs w:val="24"/>
                <w:highlight w:val="none"/>
                <w:u w:val="none"/>
                <w:lang w:val="en-US" w:eastAsia="zh-CN"/>
              </w:rPr>
              <w:t>6</w:t>
            </w:r>
            <w:r>
              <w:rPr>
                <w:rFonts w:hint="default" w:ascii="Times New Roman" w:hAnsi="Times New Roman" w:eastAsia="方正仿宋_GBK" w:cs="Times New Roman"/>
                <w:b w:val="0"/>
                <w:bCs w:val="0"/>
                <w:color w:val="auto"/>
                <w:sz w:val="24"/>
                <w:szCs w:val="24"/>
                <w:highlight w:val="none"/>
                <w:u w:val="none"/>
              </w:rPr>
              <w:t>.工伤保险参保人数（万人）</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lang w:val="en-US" w:eastAsia="zh-CN"/>
              </w:rPr>
            </w:pPr>
            <w:r>
              <w:rPr>
                <w:rFonts w:hint="eastAsia" w:eastAsia="方正仿宋_GBK" w:cs="Times New Roman"/>
                <w:b w:val="0"/>
                <w:bCs w:val="0"/>
                <w:color w:val="auto"/>
                <w:sz w:val="24"/>
                <w:szCs w:val="24"/>
                <w:highlight w:val="none"/>
                <w:u w:val="none"/>
                <w:lang w:val="en-US" w:eastAsia="zh-CN"/>
              </w:rPr>
              <w:t>6.05</w:t>
            </w:r>
          </w:p>
        </w:tc>
        <w:tc>
          <w:tcPr>
            <w:tcW w:w="141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lang w:val="en-US" w:eastAsia="zh-CN"/>
              </w:rPr>
            </w:pPr>
            <w:r>
              <w:rPr>
                <w:rFonts w:hint="eastAsia" w:eastAsia="方正仿宋_GBK" w:cs="Times New Roman"/>
                <w:b w:val="0"/>
                <w:bCs w:val="0"/>
                <w:color w:val="auto"/>
                <w:sz w:val="24"/>
                <w:szCs w:val="24"/>
                <w:highlight w:val="none"/>
                <w:u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1"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eastAsia" w:ascii="Times New Roman" w:hAnsi="Times New Roman" w:eastAsia="方正仿宋_GBK" w:cs="Times New Roman"/>
                <w:b w:val="0"/>
                <w:bCs w:val="0"/>
                <w:color w:val="auto"/>
                <w:sz w:val="24"/>
                <w:szCs w:val="24"/>
                <w:highlight w:val="none"/>
                <w:u w:val="none"/>
                <w:lang w:eastAsia="zh-CN"/>
              </w:rPr>
            </w:pPr>
            <w:r>
              <w:rPr>
                <w:rFonts w:hint="eastAsia" w:ascii="Times New Roman" w:hAnsi="Times New Roman" w:eastAsia="方正仿宋_GBK" w:cs="Times New Roman"/>
                <w:b w:val="0"/>
                <w:bCs w:val="0"/>
                <w:color w:val="auto"/>
                <w:sz w:val="24"/>
                <w:szCs w:val="24"/>
                <w:highlight w:val="none"/>
                <w:u w:val="none"/>
                <w:lang w:eastAsia="zh-CN"/>
              </w:rPr>
              <w:t>三</w:t>
            </w:r>
            <w:r>
              <w:rPr>
                <w:rFonts w:hint="default" w:ascii="Times New Roman" w:hAnsi="Times New Roman" w:eastAsia="方正仿宋_GBK" w:cs="Times New Roman"/>
                <w:b w:val="0"/>
                <w:bCs w:val="0"/>
                <w:color w:val="auto"/>
                <w:sz w:val="24"/>
                <w:szCs w:val="24"/>
                <w:highlight w:val="none"/>
                <w:u w:val="none"/>
              </w:rPr>
              <w:t>、</w:t>
            </w:r>
            <w:r>
              <w:rPr>
                <w:rFonts w:hint="eastAsia" w:ascii="Times New Roman" w:hAnsi="Times New Roman" w:eastAsia="方正仿宋_GBK" w:cs="Times New Roman"/>
                <w:b w:val="0"/>
                <w:bCs w:val="0"/>
                <w:color w:val="auto"/>
                <w:sz w:val="24"/>
                <w:szCs w:val="24"/>
                <w:highlight w:val="none"/>
                <w:u w:val="none"/>
                <w:lang w:eastAsia="zh-CN"/>
              </w:rPr>
              <w:t>医疗保障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eastAsia" w:ascii="Times New Roman" w:hAnsi="Times New Roman" w:eastAsia="方正仿宋_GBK" w:cs="Times New Roman"/>
                <w:b w:val="0"/>
                <w:bCs w:val="0"/>
                <w:color w:val="auto"/>
                <w:sz w:val="24"/>
                <w:szCs w:val="24"/>
                <w:highlight w:val="none"/>
                <w:u w:val="none"/>
                <w:lang w:eastAsia="zh-CN"/>
              </w:rPr>
            </w:pPr>
            <w:r>
              <w:rPr>
                <w:rFonts w:hint="eastAsia" w:ascii="Times New Roman" w:hAnsi="Times New Roman" w:eastAsia="方正仿宋_GBK" w:cs="Times New Roman"/>
                <w:b w:val="0"/>
                <w:bCs w:val="0"/>
                <w:color w:val="auto"/>
                <w:sz w:val="24"/>
                <w:szCs w:val="24"/>
                <w:highlight w:val="none"/>
                <w:u w:val="none"/>
                <w:lang w:val="en-US" w:eastAsia="zh-CN"/>
              </w:rPr>
              <w:t>1.</w:t>
            </w:r>
            <w:r>
              <w:rPr>
                <w:rFonts w:hint="eastAsia" w:ascii="Times New Roman" w:hAnsi="Times New Roman" w:eastAsia="方正仿宋_GBK" w:cs="Times New Roman"/>
                <w:b w:val="0"/>
                <w:bCs w:val="0"/>
                <w:color w:val="auto"/>
                <w:sz w:val="24"/>
                <w:szCs w:val="24"/>
                <w:highlight w:val="none"/>
                <w:u w:val="none"/>
                <w:lang w:eastAsia="zh-CN"/>
              </w:rPr>
              <w:t>基本医疗保险综合参保率</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lang w:val="en-US" w:eastAsia="zh-CN"/>
              </w:rPr>
            </w:pPr>
            <w:r>
              <w:rPr>
                <w:rFonts w:hint="default" w:ascii="Times New Roman" w:hAnsi="Times New Roman" w:eastAsia="方正仿宋_GBK" w:cs="Times New Roman"/>
                <w:b w:val="0"/>
                <w:bCs w:val="0"/>
                <w:color w:val="auto"/>
                <w:sz w:val="24"/>
                <w:szCs w:val="24"/>
                <w:highlight w:val="none"/>
                <w:u w:val="none"/>
                <w:lang w:val="en-US" w:eastAsia="zh-CN"/>
              </w:rPr>
              <w:t>≥95</w:t>
            </w:r>
          </w:p>
        </w:tc>
        <w:tc>
          <w:tcPr>
            <w:tcW w:w="141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lang w:val="en-US" w:eastAsia="zh-CN"/>
              </w:rPr>
            </w:pPr>
            <w:r>
              <w:rPr>
                <w:rFonts w:hint="default" w:ascii="Times New Roman" w:hAnsi="Times New Roman" w:eastAsia="方正仿宋_GBK" w:cs="Times New Roman"/>
                <w:b w:val="0"/>
                <w:bCs w:val="0"/>
                <w:color w:val="auto"/>
                <w:sz w:val="24"/>
                <w:szCs w:val="24"/>
                <w:highlight w:val="none"/>
                <w:u w:val="none"/>
                <w:lang w:val="en-US" w:eastAsia="zh-CN"/>
              </w:rPr>
              <w:t>≥95</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方正仿宋_GBK" w:cs="Times New Roman"/>
                <w:b w:val="0"/>
                <w:bCs w:val="0"/>
                <w:color w:val="auto"/>
                <w:sz w:val="24"/>
                <w:szCs w:val="24"/>
                <w:highlight w:val="none"/>
                <w:u w:val="none"/>
                <w:lang w:val="en-US" w:eastAsia="zh-CN"/>
              </w:rPr>
            </w:pPr>
            <w:r>
              <w:rPr>
                <w:rFonts w:hint="eastAsia" w:ascii="Times New Roman" w:hAnsi="Times New Roman" w:eastAsia="方正仿宋_GBK" w:cs="Times New Roman"/>
                <w:b w:val="0"/>
                <w:bCs w:val="0"/>
                <w:color w:val="auto"/>
                <w:sz w:val="24"/>
                <w:szCs w:val="24"/>
                <w:highlight w:val="none"/>
                <w:u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1"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eastAsia" w:eastAsia="方正仿宋_GBK" w:cs="Times New Roman"/>
                <w:b w:val="0"/>
                <w:bCs w:val="0"/>
                <w:color w:val="auto"/>
                <w:sz w:val="24"/>
                <w:szCs w:val="24"/>
                <w:highlight w:val="none"/>
                <w:u w:val="none"/>
                <w:lang w:eastAsia="zh-CN"/>
              </w:rPr>
              <w:t>四</w:t>
            </w:r>
            <w:r>
              <w:rPr>
                <w:rFonts w:hint="default" w:ascii="Times New Roman" w:hAnsi="Times New Roman" w:eastAsia="方正仿宋_GBK" w:cs="Times New Roman"/>
                <w:b w:val="0"/>
                <w:bCs w:val="0"/>
                <w:color w:val="auto"/>
                <w:sz w:val="24"/>
                <w:szCs w:val="24"/>
                <w:highlight w:val="none"/>
                <w:u w:val="none"/>
              </w:rPr>
              <w:t>、人才队伍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left"/>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eastAsia" w:eastAsia="方正仿宋_GBK" w:cs="Times New Roman"/>
                <w:b w:val="0"/>
                <w:bCs w:val="0"/>
                <w:color w:val="auto"/>
                <w:sz w:val="24"/>
                <w:szCs w:val="24"/>
                <w:highlight w:val="none"/>
                <w:u w:val="none"/>
                <w:lang w:val="en-US" w:eastAsia="zh-CN"/>
              </w:rPr>
              <w:t>7</w:t>
            </w:r>
            <w:r>
              <w:rPr>
                <w:rFonts w:hint="default" w:ascii="Times New Roman" w:hAnsi="Times New Roman" w:eastAsia="方正仿宋_GBK" w:cs="Times New Roman"/>
                <w:b w:val="0"/>
                <w:bCs w:val="0"/>
                <w:color w:val="auto"/>
                <w:sz w:val="24"/>
                <w:szCs w:val="24"/>
                <w:highlight w:val="none"/>
                <w:u w:val="none"/>
              </w:rPr>
              <w:t>.专业技术人才总量（万人）</w:t>
            </w:r>
          </w:p>
        </w:tc>
        <w:tc>
          <w:tcPr>
            <w:tcW w:w="1418"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方正仿宋_GBK" w:cs="Times New Roman"/>
                <w:b w:val="0"/>
                <w:bCs w:val="0"/>
                <w:color w:val="auto"/>
                <w:sz w:val="24"/>
                <w:szCs w:val="24"/>
                <w:highlight w:val="none"/>
                <w:u w:val="none"/>
                <w:lang w:eastAsia="zh-CN"/>
              </w:rPr>
            </w:pPr>
            <w:r>
              <w:rPr>
                <w:rFonts w:hint="eastAsia" w:eastAsia="方正仿宋_GBK" w:cs="Times New Roman"/>
                <w:b w:val="0"/>
                <w:bCs w:val="0"/>
                <w:color w:val="auto"/>
                <w:sz w:val="24"/>
                <w:szCs w:val="24"/>
                <w:highlight w:val="none"/>
                <w:u w:val="none"/>
                <w:lang w:val="en-US" w:eastAsia="zh-CN"/>
              </w:rPr>
              <w:t>1.6</w:t>
            </w:r>
          </w:p>
        </w:tc>
        <w:tc>
          <w:tcPr>
            <w:tcW w:w="141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方正仿宋_GBK" w:cs="Times New Roman"/>
                <w:b w:val="0"/>
                <w:bCs w:val="0"/>
                <w:color w:val="auto"/>
                <w:sz w:val="24"/>
                <w:szCs w:val="24"/>
                <w:highlight w:val="none"/>
                <w:u w:val="none"/>
                <w:lang w:eastAsia="zh-CN"/>
              </w:rPr>
            </w:pPr>
            <w:r>
              <w:rPr>
                <w:rFonts w:hint="eastAsia" w:eastAsia="方正仿宋_GBK" w:cs="Times New Roman"/>
                <w:b w:val="0"/>
                <w:bCs w:val="0"/>
                <w:color w:val="auto"/>
                <w:sz w:val="24"/>
                <w:szCs w:val="24"/>
                <w:highlight w:val="none"/>
                <w:u w:val="none"/>
                <w:lang w:val="en-US" w:eastAsia="zh-CN"/>
              </w:rPr>
              <w:t>1.8</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left"/>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eastAsia" w:eastAsia="方正仿宋_GBK" w:cs="Times New Roman"/>
                <w:b w:val="0"/>
                <w:bCs w:val="0"/>
                <w:color w:val="auto"/>
                <w:sz w:val="24"/>
                <w:szCs w:val="24"/>
                <w:highlight w:val="none"/>
                <w:u w:val="none"/>
                <w:lang w:val="en-US" w:eastAsia="zh-CN"/>
              </w:rPr>
              <w:t>8</w:t>
            </w:r>
            <w:r>
              <w:rPr>
                <w:rFonts w:hint="default" w:ascii="Times New Roman" w:hAnsi="Times New Roman" w:eastAsia="方正仿宋_GBK" w:cs="Times New Roman"/>
                <w:b w:val="0"/>
                <w:bCs w:val="0"/>
                <w:color w:val="auto"/>
                <w:sz w:val="24"/>
                <w:szCs w:val="24"/>
                <w:highlight w:val="none"/>
                <w:u w:val="none"/>
              </w:rPr>
              <w:t>.其中：高级职称人才数量（万人）</w:t>
            </w:r>
          </w:p>
        </w:tc>
        <w:tc>
          <w:tcPr>
            <w:tcW w:w="1418"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方正仿宋_GBK" w:cs="Times New Roman"/>
                <w:b w:val="0"/>
                <w:bCs w:val="0"/>
                <w:color w:val="auto"/>
                <w:sz w:val="24"/>
                <w:szCs w:val="24"/>
                <w:highlight w:val="none"/>
                <w:u w:val="none"/>
                <w:lang w:val="en-US" w:eastAsia="zh-CN"/>
              </w:rPr>
            </w:pPr>
            <w:r>
              <w:rPr>
                <w:rFonts w:hint="eastAsia" w:eastAsia="方正仿宋_GBK" w:cs="Times New Roman"/>
                <w:b w:val="0"/>
                <w:bCs w:val="0"/>
                <w:color w:val="auto"/>
                <w:sz w:val="24"/>
                <w:szCs w:val="24"/>
                <w:highlight w:val="none"/>
                <w:u w:val="none"/>
                <w:lang w:val="en-US" w:eastAsia="zh-CN"/>
              </w:rPr>
              <w:t>0.2</w:t>
            </w:r>
          </w:p>
        </w:tc>
        <w:tc>
          <w:tcPr>
            <w:tcW w:w="141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方正仿宋_GBK" w:cs="Times New Roman"/>
                <w:b w:val="0"/>
                <w:bCs w:val="0"/>
                <w:color w:val="auto"/>
                <w:sz w:val="24"/>
                <w:szCs w:val="24"/>
                <w:highlight w:val="none"/>
                <w:u w:val="none"/>
                <w:lang w:val="en-US" w:eastAsia="zh-CN"/>
              </w:rPr>
            </w:pPr>
            <w:r>
              <w:rPr>
                <w:rFonts w:hint="eastAsia" w:eastAsia="方正仿宋_GBK" w:cs="Times New Roman"/>
                <w:b w:val="0"/>
                <w:bCs w:val="0"/>
                <w:color w:val="auto"/>
                <w:sz w:val="24"/>
                <w:szCs w:val="24"/>
                <w:highlight w:val="none"/>
                <w:u w:val="none"/>
                <w:lang w:val="en-US" w:eastAsia="zh-CN"/>
              </w:rPr>
              <w:t>0.23</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8"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left"/>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eastAsia" w:eastAsia="方正仿宋_GBK" w:cs="Times New Roman"/>
                <w:b w:val="0"/>
                <w:bCs w:val="0"/>
                <w:color w:val="auto"/>
                <w:sz w:val="24"/>
                <w:szCs w:val="24"/>
                <w:highlight w:val="none"/>
                <w:u w:val="none"/>
                <w:lang w:val="en-US" w:eastAsia="zh-CN"/>
              </w:rPr>
              <w:t>9</w:t>
            </w:r>
            <w:r>
              <w:rPr>
                <w:rFonts w:hint="default" w:ascii="Times New Roman" w:hAnsi="Times New Roman" w:eastAsia="方正仿宋_GBK" w:cs="Times New Roman"/>
                <w:b w:val="0"/>
                <w:bCs w:val="0"/>
                <w:color w:val="auto"/>
                <w:sz w:val="24"/>
                <w:szCs w:val="24"/>
                <w:highlight w:val="none"/>
                <w:u w:val="none"/>
              </w:rPr>
              <w:t>.新增取得专业技术人员职业资格证书人数（万人）</w:t>
            </w:r>
          </w:p>
        </w:tc>
        <w:tc>
          <w:tcPr>
            <w:tcW w:w="1418"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方正仿宋_GBK" w:cs="Times New Roman"/>
                <w:b w:val="0"/>
                <w:bCs w:val="0"/>
                <w:color w:val="auto"/>
                <w:sz w:val="24"/>
                <w:szCs w:val="24"/>
                <w:highlight w:val="none"/>
                <w:u w:val="none"/>
                <w:lang w:val="en-US" w:eastAsia="zh-CN"/>
              </w:rPr>
            </w:pPr>
            <w:r>
              <w:rPr>
                <w:rFonts w:hint="eastAsia" w:eastAsia="方正仿宋_GBK" w:cs="Times New Roman"/>
                <w:b w:val="0"/>
                <w:bCs w:val="0"/>
                <w:color w:val="auto"/>
                <w:sz w:val="24"/>
                <w:szCs w:val="24"/>
                <w:highlight w:val="none"/>
                <w:u w:val="none"/>
                <w:lang w:val="en-US" w:eastAsia="zh-CN"/>
              </w:rPr>
              <w:t>0.03</w:t>
            </w:r>
          </w:p>
        </w:tc>
        <w:tc>
          <w:tcPr>
            <w:tcW w:w="141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方正仿宋_GBK" w:cs="Times New Roman"/>
                <w:b w:val="0"/>
                <w:bCs w:val="0"/>
                <w:color w:val="auto"/>
                <w:sz w:val="24"/>
                <w:szCs w:val="24"/>
                <w:highlight w:val="none"/>
                <w:u w:val="none"/>
                <w:lang w:val="en-US" w:eastAsia="zh-CN"/>
              </w:rPr>
            </w:pPr>
            <w:r>
              <w:rPr>
                <w:rFonts w:hint="eastAsia" w:eastAsia="方正仿宋_GBK" w:cs="Times New Roman"/>
                <w:b w:val="0"/>
                <w:bCs w:val="0"/>
                <w:color w:val="auto"/>
                <w:sz w:val="24"/>
                <w:szCs w:val="24"/>
                <w:highlight w:val="none"/>
                <w:u w:val="none"/>
                <w:lang w:val="en-US" w:eastAsia="zh-CN"/>
              </w:rPr>
              <w:t>0.15</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8"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left"/>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1</w:t>
            </w:r>
            <w:r>
              <w:rPr>
                <w:rFonts w:hint="eastAsia" w:eastAsia="方正仿宋_GBK" w:cs="Times New Roman"/>
                <w:b w:val="0"/>
                <w:bCs w:val="0"/>
                <w:color w:val="auto"/>
                <w:sz w:val="24"/>
                <w:szCs w:val="24"/>
                <w:highlight w:val="none"/>
                <w:u w:val="none"/>
                <w:lang w:val="en-US" w:eastAsia="zh-CN"/>
              </w:rPr>
              <w:t>0</w:t>
            </w:r>
            <w:r>
              <w:rPr>
                <w:rFonts w:hint="default" w:ascii="Times New Roman" w:hAnsi="Times New Roman" w:eastAsia="方正仿宋_GBK" w:cs="Times New Roman"/>
                <w:b w:val="0"/>
                <w:bCs w:val="0"/>
                <w:color w:val="auto"/>
                <w:sz w:val="24"/>
                <w:szCs w:val="24"/>
                <w:highlight w:val="none"/>
                <w:u w:val="none"/>
              </w:rPr>
              <w:t>.博士后研究人员年招收数（人）</w:t>
            </w:r>
          </w:p>
        </w:tc>
        <w:tc>
          <w:tcPr>
            <w:tcW w:w="1418"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方正仿宋_GBK" w:cs="Times New Roman"/>
                <w:b w:val="0"/>
                <w:bCs w:val="0"/>
                <w:color w:val="auto"/>
                <w:sz w:val="24"/>
                <w:szCs w:val="24"/>
                <w:highlight w:val="none"/>
                <w:u w:val="none"/>
                <w:lang w:eastAsia="zh-CN"/>
              </w:rPr>
            </w:pPr>
            <w:r>
              <w:rPr>
                <w:rFonts w:hint="eastAsia" w:eastAsia="方正仿宋_GBK" w:cs="Times New Roman"/>
                <w:b w:val="0"/>
                <w:bCs w:val="0"/>
                <w:color w:val="auto"/>
                <w:sz w:val="24"/>
                <w:szCs w:val="24"/>
                <w:highlight w:val="none"/>
                <w:u w:val="none"/>
                <w:lang w:val="en-US" w:eastAsia="zh-CN"/>
              </w:rPr>
              <w:t>0</w:t>
            </w:r>
          </w:p>
        </w:tc>
        <w:tc>
          <w:tcPr>
            <w:tcW w:w="141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方正仿宋_GBK" w:cs="Times New Roman"/>
                <w:b w:val="0"/>
                <w:bCs w:val="0"/>
                <w:color w:val="auto"/>
                <w:sz w:val="24"/>
                <w:szCs w:val="24"/>
                <w:highlight w:val="none"/>
                <w:u w:val="none"/>
                <w:lang w:val="en-US" w:eastAsia="zh-CN"/>
              </w:rPr>
            </w:pPr>
            <w:r>
              <w:rPr>
                <w:rFonts w:hint="eastAsia" w:eastAsia="方正仿宋_GBK" w:cs="Times New Roman"/>
                <w:b w:val="0"/>
                <w:bCs w:val="0"/>
                <w:color w:val="auto"/>
                <w:sz w:val="24"/>
                <w:szCs w:val="24"/>
                <w:highlight w:val="none"/>
                <w:u w:val="none"/>
                <w:lang w:val="en-US" w:eastAsia="zh-CN"/>
              </w:rPr>
              <w:t>1</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8"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240" w:right="0" w:rightChars="0" w:hanging="240" w:hangingChars="100"/>
              <w:jc w:val="left"/>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1</w:t>
            </w:r>
            <w:r>
              <w:rPr>
                <w:rFonts w:hint="eastAsia" w:eastAsia="方正仿宋_GBK" w:cs="Times New Roman"/>
                <w:b w:val="0"/>
                <w:bCs w:val="0"/>
                <w:color w:val="auto"/>
                <w:sz w:val="24"/>
                <w:szCs w:val="24"/>
                <w:highlight w:val="none"/>
                <w:u w:val="none"/>
                <w:lang w:val="en-US" w:eastAsia="zh-CN"/>
              </w:rPr>
              <w:t>1</w:t>
            </w:r>
            <w:r>
              <w:rPr>
                <w:rFonts w:hint="default" w:ascii="Times New Roman" w:hAnsi="Times New Roman" w:eastAsia="方正仿宋_GBK" w:cs="Times New Roman"/>
                <w:b w:val="0"/>
                <w:bCs w:val="0"/>
                <w:color w:val="auto"/>
                <w:sz w:val="24"/>
                <w:szCs w:val="24"/>
                <w:highlight w:val="none"/>
                <w:u w:val="none"/>
              </w:rPr>
              <w:t>.新增取得职业资格证书或职业技能等级证书人数（万人）</w:t>
            </w:r>
          </w:p>
        </w:tc>
        <w:tc>
          <w:tcPr>
            <w:tcW w:w="1418"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方正仿宋_GBK" w:cs="Times New Roman"/>
                <w:b w:val="0"/>
                <w:bCs w:val="0"/>
                <w:color w:val="auto"/>
                <w:sz w:val="24"/>
                <w:szCs w:val="24"/>
                <w:highlight w:val="none"/>
                <w:u w:val="none"/>
                <w:lang w:eastAsia="zh-CN"/>
              </w:rPr>
            </w:pPr>
            <w:r>
              <w:rPr>
                <w:rFonts w:hint="eastAsia" w:eastAsia="方正仿宋_GBK" w:cs="Times New Roman"/>
                <w:b w:val="0"/>
                <w:bCs w:val="0"/>
                <w:color w:val="auto"/>
                <w:sz w:val="24"/>
                <w:szCs w:val="24"/>
                <w:highlight w:val="none"/>
                <w:u w:val="none"/>
                <w:lang w:val="en-US" w:eastAsia="zh-CN"/>
              </w:rPr>
              <w:t>0.15</w:t>
            </w:r>
          </w:p>
        </w:tc>
        <w:tc>
          <w:tcPr>
            <w:tcW w:w="141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w:t>
            </w:r>
            <w:r>
              <w:rPr>
                <w:rFonts w:hint="eastAsia" w:eastAsia="方正仿宋_GBK" w:cs="Times New Roman"/>
                <w:b w:val="0"/>
                <w:bCs w:val="0"/>
                <w:color w:val="auto"/>
                <w:sz w:val="24"/>
                <w:szCs w:val="24"/>
                <w:highlight w:val="none"/>
                <w:u w:val="none"/>
                <w:lang w:val="en-US" w:eastAsia="zh-CN"/>
              </w:rPr>
              <w:t>0.8</w:t>
            </w:r>
            <w:r>
              <w:rPr>
                <w:rFonts w:hint="default" w:ascii="Times New Roman" w:hAnsi="Times New Roman" w:eastAsia="方正仿宋_GBK" w:cs="Times New Roman"/>
                <w:b w:val="0"/>
                <w:bCs w:val="0"/>
                <w:color w:val="auto"/>
                <w:sz w:val="24"/>
                <w:szCs w:val="24"/>
                <w:highlight w:val="none"/>
                <w:u w:val="none"/>
              </w:rPr>
              <w:t>】</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8"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360" w:right="0" w:rightChars="0" w:hanging="360" w:hangingChars="150"/>
              <w:jc w:val="left"/>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1</w:t>
            </w:r>
            <w:r>
              <w:rPr>
                <w:rFonts w:hint="eastAsia" w:eastAsia="方正仿宋_GBK" w:cs="Times New Roman"/>
                <w:b w:val="0"/>
                <w:bCs w:val="0"/>
                <w:color w:val="auto"/>
                <w:sz w:val="24"/>
                <w:szCs w:val="24"/>
                <w:highlight w:val="none"/>
                <w:u w:val="none"/>
                <w:lang w:val="en-US" w:eastAsia="zh-CN"/>
              </w:rPr>
              <w:t>2</w:t>
            </w:r>
            <w:r>
              <w:rPr>
                <w:rFonts w:hint="default" w:ascii="Times New Roman" w:hAnsi="Times New Roman" w:eastAsia="方正仿宋_GBK" w:cs="Times New Roman"/>
                <w:b w:val="0"/>
                <w:bCs w:val="0"/>
                <w:color w:val="auto"/>
                <w:sz w:val="24"/>
                <w:szCs w:val="24"/>
                <w:highlight w:val="none"/>
                <w:u w:val="none"/>
              </w:rPr>
              <w:t>.其中：新增取得高级工以上职业资格证书或职业技能等级证书人数（万人）</w:t>
            </w:r>
          </w:p>
        </w:tc>
        <w:tc>
          <w:tcPr>
            <w:tcW w:w="1418"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方正仿宋_GBK" w:cs="Times New Roman"/>
                <w:b w:val="0"/>
                <w:bCs w:val="0"/>
                <w:color w:val="auto"/>
                <w:sz w:val="24"/>
                <w:szCs w:val="24"/>
                <w:highlight w:val="none"/>
                <w:u w:val="none"/>
                <w:lang w:eastAsia="zh-CN"/>
              </w:rPr>
            </w:pPr>
            <w:r>
              <w:rPr>
                <w:rFonts w:hint="eastAsia" w:eastAsia="方正仿宋_GBK" w:cs="Times New Roman"/>
                <w:b w:val="0"/>
                <w:bCs w:val="0"/>
                <w:color w:val="auto"/>
                <w:sz w:val="24"/>
                <w:szCs w:val="24"/>
                <w:highlight w:val="none"/>
                <w:u w:val="none"/>
                <w:lang w:val="en-US" w:eastAsia="zh-CN"/>
              </w:rPr>
              <w:t>0</w:t>
            </w:r>
          </w:p>
        </w:tc>
        <w:tc>
          <w:tcPr>
            <w:tcW w:w="141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w:t>
            </w:r>
            <w:r>
              <w:rPr>
                <w:rFonts w:hint="eastAsia" w:eastAsia="方正仿宋_GBK" w:cs="Times New Roman"/>
                <w:b w:val="0"/>
                <w:bCs w:val="0"/>
                <w:color w:val="auto"/>
                <w:sz w:val="24"/>
                <w:szCs w:val="24"/>
                <w:highlight w:val="none"/>
                <w:u w:val="none"/>
                <w:lang w:val="en-US" w:eastAsia="zh-CN"/>
              </w:rPr>
              <w:t>0.03</w:t>
            </w:r>
            <w:r>
              <w:rPr>
                <w:rFonts w:hint="default" w:ascii="Times New Roman" w:hAnsi="Times New Roman" w:eastAsia="方正仿宋_GBK" w:cs="Times New Roman"/>
                <w:b w:val="0"/>
                <w:bCs w:val="0"/>
                <w:color w:val="auto"/>
                <w:sz w:val="24"/>
                <w:szCs w:val="24"/>
                <w:highlight w:val="none"/>
                <w:u w:val="none"/>
              </w:rPr>
              <w:t>】</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1"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eastAsia" w:eastAsia="方正仿宋_GBK" w:cs="Times New Roman"/>
                <w:b w:val="0"/>
                <w:bCs w:val="0"/>
                <w:color w:val="auto"/>
                <w:sz w:val="24"/>
                <w:szCs w:val="24"/>
                <w:highlight w:val="none"/>
                <w:u w:val="none"/>
                <w:lang w:eastAsia="zh-CN"/>
              </w:rPr>
              <w:t>五</w:t>
            </w:r>
            <w:r>
              <w:rPr>
                <w:rFonts w:hint="default" w:ascii="Times New Roman" w:hAnsi="Times New Roman" w:eastAsia="方正仿宋_GBK" w:cs="Times New Roman"/>
                <w:b w:val="0"/>
                <w:bCs w:val="0"/>
                <w:color w:val="auto"/>
                <w:sz w:val="24"/>
                <w:szCs w:val="24"/>
                <w:highlight w:val="none"/>
                <w:u w:val="none"/>
              </w:rPr>
              <w:t>、劳动关系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left"/>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1</w:t>
            </w:r>
            <w:r>
              <w:rPr>
                <w:rFonts w:hint="eastAsia" w:eastAsia="方正仿宋_GBK" w:cs="Times New Roman"/>
                <w:b w:val="0"/>
                <w:bCs w:val="0"/>
                <w:color w:val="auto"/>
                <w:sz w:val="24"/>
                <w:szCs w:val="24"/>
                <w:highlight w:val="none"/>
                <w:u w:val="none"/>
                <w:lang w:val="en-US" w:eastAsia="zh-CN"/>
              </w:rPr>
              <w:t>3</w:t>
            </w:r>
            <w:r>
              <w:rPr>
                <w:rFonts w:hint="default" w:ascii="Times New Roman" w:hAnsi="Times New Roman" w:eastAsia="方正仿宋_GBK" w:cs="Times New Roman"/>
                <w:b w:val="0"/>
                <w:bCs w:val="0"/>
                <w:color w:val="auto"/>
                <w:sz w:val="24"/>
                <w:szCs w:val="24"/>
                <w:highlight w:val="none"/>
                <w:u w:val="none"/>
              </w:rPr>
              <w:t>.劳动人事争议仲裁结案率（%）</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方正仿宋_GBK" w:cs="Times New Roman"/>
                <w:b w:val="0"/>
                <w:bCs w:val="0"/>
                <w:color w:val="auto"/>
                <w:sz w:val="24"/>
                <w:szCs w:val="24"/>
                <w:highlight w:val="none"/>
                <w:u w:val="none"/>
                <w:lang w:eastAsia="zh-CN"/>
              </w:rPr>
            </w:pPr>
            <w:r>
              <w:rPr>
                <w:rFonts w:hint="eastAsia" w:eastAsia="方正仿宋_GBK" w:cs="Times New Roman"/>
                <w:b w:val="0"/>
                <w:bCs w:val="0"/>
                <w:color w:val="auto"/>
                <w:sz w:val="24"/>
                <w:szCs w:val="24"/>
                <w:highlight w:val="none"/>
                <w:u w:val="none"/>
                <w:lang w:val="en-US" w:eastAsia="zh-CN"/>
              </w:rPr>
              <w:t>98</w:t>
            </w:r>
          </w:p>
        </w:tc>
        <w:tc>
          <w:tcPr>
            <w:tcW w:w="141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方正仿宋_GBK" w:cs="Times New Roman"/>
                <w:b w:val="0"/>
                <w:bCs w:val="0"/>
                <w:color w:val="auto"/>
                <w:sz w:val="24"/>
                <w:szCs w:val="24"/>
                <w:highlight w:val="none"/>
                <w:u w:val="none"/>
                <w:lang w:eastAsia="zh-CN"/>
              </w:rPr>
            </w:pPr>
            <w:r>
              <w:rPr>
                <w:rFonts w:hint="default" w:ascii="Times New Roman" w:hAnsi="Times New Roman" w:eastAsia="方正仿宋_GBK" w:cs="Times New Roman"/>
                <w:b w:val="0"/>
                <w:bCs w:val="0"/>
                <w:color w:val="auto"/>
                <w:sz w:val="24"/>
                <w:szCs w:val="24"/>
                <w:highlight w:val="none"/>
                <w:u w:val="none"/>
              </w:rPr>
              <w:t>&gt;</w:t>
            </w:r>
            <w:r>
              <w:rPr>
                <w:rFonts w:hint="eastAsia" w:eastAsia="方正仿宋_GBK" w:cs="Times New Roman"/>
                <w:b w:val="0"/>
                <w:bCs w:val="0"/>
                <w:color w:val="auto"/>
                <w:sz w:val="24"/>
                <w:szCs w:val="24"/>
                <w:highlight w:val="none"/>
                <w:u w:val="none"/>
                <w:lang w:val="en-US" w:eastAsia="zh-CN"/>
              </w:rPr>
              <w:t>98</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1</w:t>
            </w:r>
            <w:r>
              <w:rPr>
                <w:rFonts w:hint="eastAsia" w:eastAsia="方正仿宋_GBK" w:cs="Times New Roman"/>
                <w:b w:val="0"/>
                <w:bCs w:val="0"/>
                <w:color w:val="auto"/>
                <w:sz w:val="24"/>
                <w:szCs w:val="24"/>
                <w:highlight w:val="none"/>
                <w:u w:val="none"/>
                <w:lang w:val="en-US" w:eastAsia="zh-CN"/>
              </w:rPr>
              <w:t>4</w:t>
            </w:r>
            <w:r>
              <w:rPr>
                <w:rFonts w:hint="default" w:ascii="Times New Roman" w:hAnsi="Times New Roman" w:eastAsia="方正仿宋_GBK" w:cs="Times New Roman"/>
                <w:b w:val="0"/>
                <w:bCs w:val="0"/>
                <w:color w:val="auto"/>
                <w:sz w:val="24"/>
                <w:szCs w:val="24"/>
                <w:highlight w:val="none"/>
                <w:u w:val="none"/>
              </w:rPr>
              <w:t>.</w:t>
            </w:r>
            <w:r>
              <w:rPr>
                <w:rFonts w:hint="default" w:ascii="Times New Roman" w:hAnsi="Times New Roman" w:eastAsia="方正仿宋_GBK" w:cs="Times New Roman"/>
                <w:b w:val="0"/>
                <w:bCs w:val="0"/>
                <w:color w:val="auto"/>
                <w:spacing w:val="-8"/>
                <w:sz w:val="24"/>
                <w:szCs w:val="24"/>
                <w:highlight w:val="none"/>
                <w:u w:val="none"/>
              </w:rPr>
              <w:t>劳动保障监察举报投诉案件结案率（%）</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方正仿宋_GBK" w:cs="Times New Roman"/>
                <w:b w:val="0"/>
                <w:bCs w:val="0"/>
                <w:color w:val="auto"/>
                <w:sz w:val="24"/>
                <w:szCs w:val="24"/>
                <w:highlight w:val="none"/>
                <w:u w:val="none"/>
                <w:lang w:val="en-US" w:eastAsia="zh-CN"/>
              </w:rPr>
            </w:pPr>
            <w:r>
              <w:rPr>
                <w:rFonts w:hint="eastAsia" w:eastAsia="方正仿宋_GBK" w:cs="Times New Roman"/>
                <w:b w:val="0"/>
                <w:bCs w:val="0"/>
                <w:color w:val="auto"/>
                <w:sz w:val="24"/>
                <w:szCs w:val="24"/>
                <w:highlight w:val="none"/>
                <w:u w:val="none"/>
                <w:lang w:val="en-US" w:eastAsia="zh-CN"/>
              </w:rPr>
              <w:t>98</w:t>
            </w:r>
          </w:p>
        </w:tc>
        <w:tc>
          <w:tcPr>
            <w:tcW w:w="141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方正仿宋_GBK" w:cs="Times New Roman"/>
                <w:b w:val="0"/>
                <w:bCs w:val="0"/>
                <w:color w:val="auto"/>
                <w:sz w:val="24"/>
                <w:szCs w:val="24"/>
                <w:highlight w:val="none"/>
                <w:u w:val="none"/>
                <w:lang w:eastAsia="zh-CN"/>
              </w:rPr>
            </w:pPr>
            <w:r>
              <w:rPr>
                <w:rFonts w:hint="default" w:ascii="Times New Roman" w:hAnsi="Times New Roman" w:eastAsia="方正仿宋_GBK" w:cs="Times New Roman"/>
                <w:b w:val="0"/>
                <w:bCs w:val="0"/>
                <w:color w:val="auto"/>
                <w:sz w:val="24"/>
                <w:szCs w:val="24"/>
                <w:highlight w:val="none"/>
                <w:u w:val="none"/>
              </w:rPr>
              <w:t>&gt;</w:t>
            </w:r>
            <w:r>
              <w:rPr>
                <w:rFonts w:hint="eastAsia" w:eastAsia="方正仿宋_GBK" w:cs="Times New Roman"/>
                <w:b w:val="0"/>
                <w:bCs w:val="0"/>
                <w:color w:val="auto"/>
                <w:sz w:val="24"/>
                <w:szCs w:val="24"/>
                <w:highlight w:val="none"/>
                <w:u w:val="none"/>
                <w:lang w:val="en-US" w:eastAsia="zh-CN"/>
              </w:rPr>
              <w:t>98</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1"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left"/>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eastAsia" w:eastAsia="方正仿宋_GBK" w:cs="Times New Roman"/>
                <w:b w:val="0"/>
                <w:bCs w:val="0"/>
                <w:color w:val="auto"/>
                <w:sz w:val="24"/>
                <w:szCs w:val="24"/>
                <w:highlight w:val="none"/>
                <w:u w:val="none"/>
                <w:lang w:eastAsia="zh-CN"/>
              </w:rPr>
              <w:t>六</w:t>
            </w:r>
            <w:r>
              <w:rPr>
                <w:rFonts w:hint="default" w:ascii="Times New Roman" w:hAnsi="Times New Roman" w:eastAsia="方正仿宋_GBK" w:cs="Times New Roman"/>
                <w:b w:val="0"/>
                <w:bCs w:val="0"/>
                <w:color w:val="auto"/>
                <w:sz w:val="24"/>
                <w:szCs w:val="24"/>
                <w:highlight w:val="none"/>
                <w:u w:val="none"/>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left"/>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1</w:t>
            </w:r>
            <w:r>
              <w:rPr>
                <w:rFonts w:hint="eastAsia" w:eastAsia="方正仿宋_GBK" w:cs="Times New Roman"/>
                <w:b w:val="0"/>
                <w:bCs w:val="0"/>
                <w:color w:val="auto"/>
                <w:sz w:val="24"/>
                <w:szCs w:val="24"/>
                <w:highlight w:val="none"/>
                <w:u w:val="none"/>
                <w:lang w:val="en-US" w:eastAsia="zh-CN"/>
              </w:rPr>
              <w:t>5</w:t>
            </w:r>
            <w:r>
              <w:rPr>
                <w:rFonts w:hint="default" w:ascii="Times New Roman" w:hAnsi="Times New Roman" w:eastAsia="方正仿宋_GBK" w:cs="Times New Roman"/>
                <w:b w:val="0"/>
                <w:bCs w:val="0"/>
                <w:color w:val="auto"/>
                <w:sz w:val="24"/>
                <w:szCs w:val="24"/>
                <w:highlight w:val="none"/>
                <w:u w:val="none"/>
              </w:rPr>
              <w:t>.社会保障卡持卡人数（万人）</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lang w:val="en-US" w:eastAsia="zh-CN"/>
              </w:rPr>
            </w:pPr>
            <w:r>
              <w:rPr>
                <w:rFonts w:hint="eastAsia" w:eastAsia="方正仿宋_GBK" w:cs="Times New Roman"/>
                <w:b w:val="0"/>
                <w:bCs w:val="0"/>
                <w:color w:val="auto"/>
                <w:sz w:val="24"/>
                <w:szCs w:val="24"/>
                <w:highlight w:val="none"/>
                <w:u w:val="none"/>
                <w:lang w:val="en-US" w:eastAsia="zh-CN"/>
              </w:rPr>
              <w:t>27.7</w:t>
            </w:r>
          </w:p>
        </w:tc>
        <w:tc>
          <w:tcPr>
            <w:tcW w:w="141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lang w:val="en-US" w:eastAsia="zh-CN"/>
              </w:rPr>
            </w:pPr>
            <w:r>
              <w:rPr>
                <w:rFonts w:hint="eastAsia" w:eastAsia="方正仿宋_GBK" w:cs="Times New Roman"/>
                <w:b w:val="0"/>
                <w:bCs w:val="0"/>
                <w:color w:val="auto"/>
                <w:sz w:val="24"/>
                <w:szCs w:val="24"/>
                <w:highlight w:val="none"/>
                <w:u w:val="none"/>
                <w:lang w:val="en-US" w:eastAsia="zh-CN"/>
              </w:rPr>
              <w:t>28</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left"/>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1</w:t>
            </w:r>
            <w:r>
              <w:rPr>
                <w:rFonts w:hint="eastAsia" w:eastAsia="方正仿宋_GBK" w:cs="Times New Roman"/>
                <w:b w:val="0"/>
                <w:bCs w:val="0"/>
                <w:color w:val="auto"/>
                <w:sz w:val="24"/>
                <w:szCs w:val="24"/>
                <w:highlight w:val="none"/>
                <w:u w:val="none"/>
                <w:lang w:val="en-US" w:eastAsia="zh-CN"/>
              </w:rPr>
              <w:t>6</w:t>
            </w:r>
            <w:r>
              <w:rPr>
                <w:rFonts w:hint="default" w:ascii="Times New Roman" w:hAnsi="Times New Roman" w:eastAsia="方正仿宋_GBK" w:cs="Times New Roman"/>
                <w:b w:val="0"/>
                <w:bCs w:val="0"/>
                <w:color w:val="auto"/>
                <w:sz w:val="24"/>
                <w:szCs w:val="24"/>
                <w:highlight w:val="none"/>
                <w:u w:val="none"/>
              </w:rPr>
              <w:t>.其中：申领电子社保卡人口覆盖率（%）</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lang w:val="en-US" w:eastAsia="zh-CN"/>
              </w:rPr>
            </w:pPr>
            <w:r>
              <w:rPr>
                <w:rFonts w:hint="eastAsia" w:eastAsia="方正仿宋_GBK" w:cs="Times New Roman"/>
                <w:b w:val="0"/>
                <w:bCs w:val="0"/>
                <w:color w:val="auto"/>
                <w:sz w:val="24"/>
                <w:szCs w:val="24"/>
                <w:highlight w:val="none"/>
                <w:u w:val="none"/>
                <w:lang w:val="en-US" w:eastAsia="zh-CN"/>
              </w:rPr>
              <w:t>23.7</w:t>
            </w:r>
          </w:p>
        </w:tc>
        <w:tc>
          <w:tcPr>
            <w:tcW w:w="141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lang w:val="en-US" w:eastAsia="zh-CN"/>
              </w:rPr>
            </w:pPr>
            <w:r>
              <w:rPr>
                <w:rFonts w:hint="eastAsia" w:eastAsia="方正仿宋_GBK" w:cs="Times New Roman"/>
                <w:b w:val="0"/>
                <w:bCs w:val="0"/>
                <w:color w:val="auto"/>
                <w:sz w:val="24"/>
                <w:szCs w:val="24"/>
                <w:highlight w:val="none"/>
                <w:u w:val="none"/>
                <w:lang w:val="en-US" w:eastAsia="zh-CN"/>
              </w:rPr>
              <w:t>67</w:t>
            </w:r>
          </w:p>
        </w:tc>
        <w:tc>
          <w:tcPr>
            <w:tcW w:w="141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0" w:rightChars="0"/>
              <w:jc w:val="center"/>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1" w:type="dxa"/>
            <w:gridSpan w:val="4"/>
            <w:tcBorders>
              <w:top w:val="single" w:color="auto" w:sz="4" w:space="0"/>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right="0" w:rightChars="0" w:firstLine="840" w:firstLineChars="350"/>
              <w:jc w:val="left"/>
              <w:textAlignment w:val="auto"/>
              <w:outlineLvl w:val="9"/>
              <w:rPr>
                <w:rFonts w:hint="default" w:ascii="Times New Roman" w:hAnsi="Times New Roman" w:eastAsia="方正仿宋_GBK" w:cs="Times New Roman"/>
                <w:b w:val="0"/>
                <w:bCs w:val="0"/>
                <w:color w:val="auto"/>
                <w:sz w:val="24"/>
                <w:szCs w:val="24"/>
                <w:highlight w:val="none"/>
                <w:u w:val="none"/>
              </w:rPr>
            </w:pPr>
            <w:r>
              <w:rPr>
                <w:rFonts w:hint="default" w:ascii="Times New Roman" w:hAnsi="Times New Roman" w:eastAsia="方正仿宋_GBK" w:cs="Times New Roman"/>
                <w:b w:val="0"/>
                <w:bCs w:val="0"/>
                <w:color w:val="auto"/>
                <w:sz w:val="24"/>
                <w:szCs w:val="24"/>
                <w:highlight w:val="none"/>
                <w:u w:val="none"/>
              </w:rPr>
              <w:t>注：【】内为五年累计数；</w:t>
            </w:r>
          </w:p>
          <w:p>
            <w:pPr>
              <w:keepNext w:val="0"/>
              <w:keepLines w:val="0"/>
              <w:pageBreakBefore w:val="0"/>
              <w:widowControl/>
              <w:kinsoku/>
              <w:wordWrap/>
              <w:overflowPunct/>
              <w:topLinePunct w:val="0"/>
              <w:autoSpaceDE/>
              <w:autoSpaceDN/>
              <w:bidi w:val="0"/>
              <w:adjustRightInd w:val="0"/>
              <w:snapToGrid w:val="0"/>
              <w:spacing w:line="320" w:lineRule="exact"/>
              <w:ind w:right="0" w:rightChars="0" w:firstLine="840" w:firstLineChars="350"/>
              <w:jc w:val="left"/>
              <w:textAlignment w:val="auto"/>
              <w:outlineLvl w:val="9"/>
              <w:rPr>
                <w:rFonts w:hint="default" w:ascii="Times New Roman" w:hAnsi="Times New Roman" w:eastAsia="方正仿宋_GBK" w:cs="Times New Roman"/>
                <w:b w:val="0"/>
                <w:bCs w:val="0"/>
                <w:color w:val="auto"/>
                <w:sz w:val="24"/>
                <w:szCs w:val="24"/>
                <w:highlight w:val="none"/>
                <w:u w:val="none"/>
              </w:rPr>
            </w:pPr>
          </w:p>
        </w:tc>
      </w:tr>
    </w:tbl>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黑体_GBK" w:hAnsi="方正黑体_GBK" w:eastAsia="方正黑体_GBK" w:cs="方正黑体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eastAsia" w:ascii="方正黑体_GBK" w:hAnsi="方正黑体_GBK" w:eastAsia="方正黑体_GBK" w:cs="方正黑体_GBK"/>
          <w:b w:val="0"/>
          <w:bCs w:val="0"/>
          <w:color w:val="auto"/>
          <w:sz w:val="32"/>
          <w:szCs w:val="32"/>
          <w:highlight w:val="none"/>
          <w:u w:val="none"/>
        </w:rPr>
        <w:t>第</w:t>
      </w:r>
      <w:r>
        <w:rPr>
          <w:rFonts w:hint="eastAsia" w:ascii="方正黑体_GBK" w:hAnsi="方正黑体_GBK" w:eastAsia="方正黑体_GBK" w:cs="方正黑体_GBK"/>
          <w:b w:val="0"/>
          <w:bCs w:val="0"/>
          <w:color w:val="auto"/>
          <w:sz w:val="32"/>
          <w:szCs w:val="32"/>
          <w:highlight w:val="none"/>
          <w:u w:val="none"/>
          <w:lang w:eastAsia="zh-CN"/>
        </w:rPr>
        <w:t>二</w:t>
      </w:r>
      <w:r>
        <w:rPr>
          <w:rFonts w:hint="eastAsia" w:ascii="方正黑体_GBK" w:hAnsi="方正黑体_GBK" w:eastAsia="方正黑体_GBK" w:cs="方正黑体_GBK"/>
          <w:b w:val="0"/>
          <w:bCs w:val="0"/>
          <w:color w:val="auto"/>
          <w:sz w:val="32"/>
          <w:szCs w:val="32"/>
          <w:highlight w:val="none"/>
          <w:u w:val="none"/>
        </w:rPr>
        <w:t xml:space="preserve">章  </w:t>
      </w:r>
      <w:r>
        <w:rPr>
          <w:rFonts w:hint="eastAsia" w:ascii="方正黑体_GBK" w:hAnsi="方正黑体_GBK" w:eastAsia="方正黑体_GBK" w:cs="方正黑体_GBK"/>
          <w:b w:val="0"/>
          <w:bCs w:val="0"/>
          <w:color w:val="auto"/>
          <w:sz w:val="32"/>
          <w:szCs w:val="32"/>
          <w:highlight w:val="none"/>
          <w:u w:val="none"/>
          <w:lang w:eastAsia="zh-CN"/>
        </w:rPr>
        <w:t>努力实现更加充分更高质量就业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b w:val="0"/>
          <w:bCs w:val="0"/>
          <w:color w:val="auto"/>
          <w:u w:val="none"/>
        </w:rPr>
      </w:pPr>
      <w:r>
        <w:rPr>
          <w:rFonts w:hint="eastAsia" w:ascii="方正仿宋_GBK" w:hAnsi="方正仿宋_GBK" w:eastAsia="方正仿宋_GBK" w:cs="方正仿宋_GBK"/>
          <w:b w:val="0"/>
          <w:bCs w:val="0"/>
          <w:color w:val="auto"/>
          <w:sz w:val="32"/>
          <w:szCs w:val="32"/>
          <w:highlight w:val="none"/>
          <w:u w:val="none"/>
        </w:rPr>
        <w:t>千方百计稳定和扩大就业，努力拓宽渠道扩大就业容量，鼓励创业带动就业，着力解决结构性就业矛盾，有效应对失业风险，推动实现更加充分更高质量就业。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第一节  强化就业优先政策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黑体_GBK" w:hAnsi="方正黑体_GBK" w:eastAsia="方正黑体_GBK" w:cs="方正黑体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继续实施就业优先战略和更加积极的就业政策</w:t>
      </w:r>
      <w:r>
        <w:rPr>
          <w:rFonts w:hint="eastAsia" w:ascii="方正仿宋_GBK" w:hAnsi="方正仿宋_GBK" w:eastAsia="方正仿宋_GBK" w:cs="方正仿宋_GBK"/>
          <w:b w:val="0"/>
          <w:bCs w:val="0"/>
          <w:color w:val="auto"/>
          <w:sz w:val="32"/>
          <w:szCs w:val="32"/>
          <w:highlight w:val="none"/>
          <w:u w:val="none"/>
          <w:lang w:eastAsia="zh-CN"/>
        </w:rPr>
        <w:t>，</w:t>
      </w:r>
      <w:r>
        <w:rPr>
          <w:rFonts w:hint="eastAsia" w:ascii="方正仿宋_GBK" w:hAnsi="方正仿宋_GBK" w:eastAsia="方正仿宋_GBK" w:cs="方正仿宋_GBK"/>
          <w:b w:val="0"/>
          <w:bCs w:val="0"/>
          <w:color w:val="auto"/>
          <w:sz w:val="32"/>
          <w:szCs w:val="32"/>
          <w:highlight w:val="none"/>
          <w:u w:val="none"/>
        </w:rPr>
        <w:t>加强财税、金融、产业等政策与就业政策的有效衔接</w:t>
      </w:r>
      <w:r>
        <w:rPr>
          <w:rFonts w:hint="eastAsia" w:ascii="方正仿宋_GBK" w:hAnsi="方正仿宋_GBK" w:eastAsia="方正仿宋_GBK" w:cs="方正仿宋_GBK"/>
          <w:b w:val="0"/>
          <w:bCs w:val="0"/>
          <w:color w:val="auto"/>
          <w:sz w:val="32"/>
          <w:szCs w:val="32"/>
          <w:highlight w:val="none"/>
          <w:u w:val="none"/>
          <w:lang w:eastAsia="zh-CN"/>
        </w:rPr>
        <w:t>。</w:t>
      </w:r>
      <w:r>
        <w:rPr>
          <w:rFonts w:hint="eastAsia" w:ascii="方正仿宋_GBK" w:hAnsi="方正仿宋_GBK" w:eastAsia="方正仿宋_GBK" w:cs="方正仿宋_GBK"/>
          <w:b w:val="0"/>
          <w:bCs w:val="0"/>
          <w:strike w:val="0"/>
          <w:dstrike w:val="0"/>
          <w:color w:val="auto"/>
          <w:sz w:val="32"/>
          <w:szCs w:val="32"/>
          <w:highlight w:val="none"/>
          <w:u w:val="none"/>
        </w:rPr>
        <w:t>千方百计挖掘岗位，</w:t>
      </w:r>
      <w:r>
        <w:rPr>
          <w:rFonts w:hint="eastAsia" w:ascii="方正仿宋_GBK" w:hAnsi="方正仿宋_GBK" w:eastAsia="方正仿宋_GBK" w:cs="方正仿宋_GBK"/>
          <w:b w:val="0"/>
          <w:bCs w:val="0"/>
          <w:color w:val="auto"/>
          <w:sz w:val="32"/>
          <w:szCs w:val="32"/>
          <w:highlight w:val="none"/>
          <w:u w:val="none"/>
        </w:rPr>
        <w:t>充分发挥政府重大投资项目对扩大就业的带动作用，加大对新经济、新平台发展的支持力度，创造更多就业岗位，拓宽就业渠道。加强就业工作统筹，建立重大风险协同应对机制，持续发挥区就业工作领导小组统领作用，强化协调</w:t>
      </w:r>
      <w:r>
        <w:rPr>
          <w:rFonts w:hint="eastAsia" w:ascii="方正仿宋_GBK" w:hAnsi="方正仿宋_GBK" w:eastAsia="方正仿宋_GBK" w:cs="方正仿宋_GBK"/>
          <w:b w:val="0"/>
          <w:bCs w:val="0"/>
          <w:color w:val="auto"/>
          <w:sz w:val="32"/>
          <w:szCs w:val="32"/>
          <w:highlight w:val="none"/>
          <w:u w:val="none"/>
          <w:lang w:eastAsia="zh-CN"/>
        </w:rPr>
        <w:t>力</w:t>
      </w:r>
      <w:r>
        <w:rPr>
          <w:rFonts w:hint="eastAsia" w:ascii="方正仿宋_GBK" w:hAnsi="方正仿宋_GBK" w:eastAsia="方正仿宋_GBK" w:cs="方正仿宋_GBK"/>
          <w:b w:val="0"/>
          <w:bCs w:val="0"/>
          <w:color w:val="auto"/>
          <w:sz w:val="32"/>
          <w:szCs w:val="32"/>
          <w:highlight w:val="none"/>
          <w:u w:val="none"/>
        </w:rPr>
        <w:t>度、督查督办和分析研判，形成“上下联动、分级负责、全面尽责”的良好工作格局。</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第二节  实施统筹城乡的就业政策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持续完善就业政策体系，鼓励各类市场主体吸纳就业，支持劳动者自谋职业、自主创业，提高政策的针对性、有效性。消除身份、性别等影响平等就业的制度障碍，营造公平就业环境。拓宽农村劳动力就地就近就业、外出就业和返乡创业渠道，推动城乡劳动者在就业地平等享受就业服务政策。切实提升就业补助资金使用效益，完善就业失业统计监测预警制度，加强就业统计数据质量核查，推进公共人力资源市场供求信息监测和发布制度建设，有效防范规模性失业风险。</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第三节  推进全方位公共就业服务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健全覆盖全民、贯穿全程、辐射全域、便捷高效的全方位公共就业服务体系。提升城乡公共就业创业服务能力，构建长效机制和推行规范服务，推进基层公共就业创业服务平台“信息化、标准化、便民化”建设，推动网络直播招聘常态化，打造公共就业创业服务“升级版”。推进职业指导服务和标准化建设，健全线上线下相结合的职业指导服务体系。鼓励引导社会力量广泛深入参与就业服务，推进公共就业服务机构与社会民营机构合作，为服务对象提供专业化服务。加强新就业形态研究，探索优化适应新就业形态的公共就业服务形式，支持更多灵活就业。</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第四节  完善重点群体就业支持体系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坚持把就业</w:t>
      </w:r>
      <w:r>
        <w:rPr>
          <w:rFonts w:hint="eastAsia" w:ascii="方正仿宋_GBK" w:hAnsi="方正仿宋_GBK" w:eastAsia="方正仿宋_GBK" w:cs="方正仿宋_GBK"/>
          <w:b w:val="0"/>
          <w:bCs w:val="0"/>
          <w:color w:val="auto"/>
          <w:sz w:val="32"/>
          <w:szCs w:val="32"/>
          <w:highlight w:val="none"/>
          <w:u w:val="none"/>
          <w:lang w:eastAsia="zh-CN"/>
        </w:rPr>
        <w:t>帮扶</w:t>
      </w:r>
      <w:r>
        <w:rPr>
          <w:rFonts w:hint="eastAsia" w:ascii="方正仿宋_GBK" w:hAnsi="方正仿宋_GBK" w:eastAsia="方正仿宋_GBK" w:cs="方正仿宋_GBK"/>
          <w:b w:val="0"/>
          <w:bCs w:val="0"/>
          <w:color w:val="auto"/>
          <w:sz w:val="32"/>
          <w:szCs w:val="32"/>
          <w:highlight w:val="none"/>
          <w:u w:val="none"/>
        </w:rPr>
        <w:t>作为重中之重</w:t>
      </w:r>
      <w:r>
        <w:rPr>
          <w:rFonts w:hint="eastAsia" w:ascii="方正仿宋_GBK" w:hAnsi="方正仿宋_GBK" w:eastAsia="方正仿宋_GBK" w:cs="方正仿宋_GBK"/>
          <w:b w:val="0"/>
          <w:bCs w:val="0"/>
          <w:color w:val="auto"/>
          <w:sz w:val="32"/>
          <w:szCs w:val="32"/>
          <w:highlight w:val="none"/>
          <w:u w:val="none"/>
          <w:lang w:eastAsia="zh-CN"/>
        </w:rPr>
        <w:t>，全力帮助低收入人群、困难人群就业、乐业，补齐共同富裕的“最大短板”</w:t>
      </w:r>
      <w:r>
        <w:rPr>
          <w:rFonts w:hint="eastAsia" w:ascii="方正仿宋_GBK" w:hAnsi="方正仿宋_GBK" w:eastAsia="方正仿宋_GBK" w:cs="方正仿宋_GBK"/>
          <w:b w:val="0"/>
          <w:bCs w:val="0"/>
          <w:color w:val="auto"/>
          <w:sz w:val="32"/>
          <w:szCs w:val="32"/>
          <w:highlight w:val="none"/>
          <w:u w:val="none"/>
        </w:rPr>
        <w:t>。实施产业回引外引农民工专项行动，推进农民工返乡创业。畅通失业人员求助渠道，健全失业登记、职业介绍、职业培训、职业指导、生活保障联动机制。加强困难人员就业援助，规范公益性岗位开发管理，着力拓展</w:t>
      </w:r>
      <w:r>
        <w:rPr>
          <w:rFonts w:hint="eastAsia" w:ascii="方正仿宋_GBK" w:hAnsi="方正仿宋_GBK" w:eastAsia="方正仿宋_GBK" w:cs="方正仿宋_GBK"/>
          <w:b w:val="0"/>
          <w:bCs w:val="0"/>
          <w:color w:val="auto"/>
          <w:sz w:val="32"/>
          <w:szCs w:val="32"/>
          <w:highlight w:val="none"/>
          <w:u w:val="none"/>
          <w:lang w:val="en-US" w:eastAsia="zh-CN"/>
        </w:rPr>
        <w:t>返贫致贫人口、脱贫不稳定户、边缘易致贫户、</w:t>
      </w:r>
      <w:r>
        <w:rPr>
          <w:rFonts w:hint="eastAsia" w:ascii="方正仿宋_GBK" w:hAnsi="方正仿宋_GBK" w:eastAsia="方正仿宋_GBK" w:cs="方正仿宋_GBK"/>
          <w:b w:val="0"/>
          <w:bCs w:val="0"/>
          <w:color w:val="auto"/>
          <w:sz w:val="32"/>
          <w:szCs w:val="32"/>
          <w:highlight w:val="none"/>
          <w:u w:val="none"/>
          <w:lang w:eastAsia="zh-CN"/>
        </w:rPr>
        <w:t>淘汰煤炭落后产能分流职工、</w:t>
      </w:r>
      <w:r>
        <w:rPr>
          <w:rFonts w:hint="eastAsia" w:ascii="方正仿宋_GBK" w:hAnsi="方正仿宋_GBK" w:eastAsia="方正仿宋_GBK" w:cs="方正仿宋_GBK"/>
          <w:b w:val="0"/>
          <w:bCs w:val="0"/>
          <w:color w:val="auto"/>
          <w:sz w:val="32"/>
          <w:szCs w:val="32"/>
          <w:highlight w:val="none"/>
          <w:u w:val="none"/>
        </w:rPr>
        <w:t>退役军人、残疾人等重点群体就业渠道，确保城镇零就业家庭动态清零。实施好百万青年就业促进计划、高校毕业生就业创业促进计划，开发更多适合高校毕业生的高质量就业岗位。发挥基层项目牵引作用，鼓励引导毕业生到民营企业、中小微企业施展才华。推进大学生创业启航计划，全力扶持引导高校毕业生创业创新。加强职业指导，不断扩大就业见习规模。</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 xml:space="preserve">第五节  </w:t>
      </w:r>
      <w:r>
        <w:rPr>
          <w:rFonts w:hint="eastAsia" w:ascii="方正楷体_GBK" w:hAnsi="方正楷体_GBK" w:eastAsia="方正楷体_GBK" w:cs="方正楷体_GBK"/>
          <w:b w:val="0"/>
          <w:bCs w:val="0"/>
          <w:color w:val="auto"/>
          <w:sz w:val="32"/>
          <w:szCs w:val="32"/>
          <w:highlight w:val="none"/>
          <w:u w:val="none"/>
          <w:lang w:eastAsia="zh-CN"/>
        </w:rPr>
        <w:t>大力支持</w:t>
      </w:r>
      <w:r>
        <w:rPr>
          <w:rFonts w:hint="eastAsia" w:ascii="方正楷体_GBK" w:hAnsi="方正楷体_GBK" w:eastAsia="方正楷体_GBK" w:cs="方正楷体_GBK"/>
          <w:b w:val="0"/>
          <w:bCs w:val="0"/>
          <w:color w:val="auto"/>
          <w:sz w:val="32"/>
          <w:szCs w:val="32"/>
          <w:highlight w:val="none"/>
          <w:u w:val="none"/>
        </w:rPr>
        <w:t>创业</w:t>
      </w:r>
      <w:r>
        <w:rPr>
          <w:rFonts w:hint="eastAsia" w:ascii="方正楷体_GBK" w:hAnsi="方正楷体_GBK" w:eastAsia="方正楷体_GBK" w:cs="方正楷体_GBK"/>
          <w:b w:val="0"/>
          <w:bCs w:val="0"/>
          <w:color w:val="auto"/>
          <w:sz w:val="32"/>
          <w:szCs w:val="32"/>
          <w:highlight w:val="none"/>
          <w:u w:val="none"/>
          <w:lang w:eastAsia="zh-CN"/>
        </w:rPr>
        <w:t>和</w:t>
      </w:r>
      <w:r>
        <w:rPr>
          <w:rFonts w:hint="eastAsia" w:ascii="方正楷体_GBK" w:hAnsi="方正楷体_GBK" w:eastAsia="方正楷体_GBK" w:cs="方正楷体_GBK"/>
          <w:b w:val="0"/>
          <w:bCs w:val="0"/>
          <w:color w:val="auto"/>
          <w:sz w:val="32"/>
          <w:szCs w:val="32"/>
          <w:highlight w:val="none"/>
          <w:u w:val="none"/>
        </w:rPr>
        <w:t>新就业形态发展</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持续深化“放管服”改革，着力“减环节、减内容、减成本、增效率、增便利”，不断提升服务水平，对新产业新业态实施包容审慎监管，进一步优化营商环境。继续实施好“渝创渝新”创业促进计划，加大贷款扶持、项目推介、创业补贴、创业培训、开业指导等实施力度，有效发挥市区两级创业孵化基地（园区）创业服务平台作用，提高创业成功率。举办创业大赛、创业讲座、创业论坛等创业创新活动，推进创业项目跟踪扶持，促进创业项目发展，为有创业意愿的劳动者提供服务，营造良好创业生态。支持灵活就业、新就业形态和新职业发展，为求职者提供更多元的就业选择。</w:t>
      </w:r>
    </w:p>
    <w:tbl>
      <w:tblPr>
        <w:tblStyle w:val="16"/>
        <w:tblpPr w:leftFromText="180" w:rightFromText="180" w:vertAnchor="text" w:horzAnchor="page" w:tblpX="1990" w:tblpY="7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2" w:type="dxa"/>
            <w:noWrap w:val="0"/>
            <w:vAlign w:val="top"/>
          </w:tcPr>
          <w:p>
            <w:pPr>
              <w:keepNext w:val="0"/>
              <w:keepLines w:val="0"/>
              <w:pageBreakBefore w:val="0"/>
              <w:widowControl w:val="0"/>
              <w:kinsoku/>
              <w:wordWrap/>
              <w:overflowPunct/>
              <w:topLinePunct w:val="0"/>
              <w:autoSpaceDE/>
              <w:autoSpaceDN/>
              <w:bidi w:val="0"/>
              <w:adjustRightInd/>
              <w:spacing w:line="360" w:lineRule="exact"/>
              <w:ind w:left="0" w:leftChars="0" w:firstLine="480" w:firstLineChars="200"/>
              <w:textAlignment w:val="auto"/>
              <w:outlineLvl w:val="9"/>
              <w:rPr>
                <w:rFonts w:hint="default" w:ascii="Times New Roman" w:hAnsi="Times New Roman" w:eastAsia="方正仿宋_GBK" w:cs="Times New Roman"/>
                <w:b w:val="0"/>
                <w:bCs w:val="0"/>
                <w:color w:val="auto"/>
                <w:sz w:val="24"/>
                <w:szCs w:val="24"/>
                <w:highlight w:val="none"/>
                <w:u w:val="none"/>
                <w:lang w:val="en-US" w:eastAsia="zh-CN"/>
              </w:rPr>
            </w:pPr>
            <w:r>
              <w:rPr>
                <w:rFonts w:hint="default" w:ascii="Times New Roman" w:hAnsi="Times New Roman" w:eastAsia="方正黑体_GBK" w:cs="Times New Roman"/>
                <w:b w:val="0"/>
                <w:bCs w:val="0"/>
                <w:color w:val="auto"/>
                <w:sz w:val="24"/>
                <w:szCs w:val="24"/>
                <w:highlight w:val="none"/>
                <w:u w:val="none"/>
              </w:rPr>
              <w:t>1.重点群体就业扶持工程。</w:t>
            </w:r>
            <w:r>
              <w:rPr>
                <w:rFonts w:hint="eastAsia" w:ascii="方正仿宋_GBK" w:hAnsi="方正仿宋_GBK" w:eastAsia="方正仿宋_GBK" w:cs="方正仿宋_GBK"/>
                <w:b w:val="0"/>
                <w:bCs w:val="0"/>
                <w:color w:val="auto"/>
                <w:kern w:val="0"/>
                <w:sz w:val="24"/>
                <w:szCs w:val="24"/>
                <w:highlight w:val="none"/>
                <w:u w:val="none"/>
                <w:lang w:val="en-US" w:eastAsia="zh-CN"/>
              </w:rPr>
              <w:t>实</w:t>
            </w:r>
            <w:r>
              <w:rPr>
                <w:rFonts w:hint="default" w:ascii="Times New Roman" w:hAnsi="Times New Roman" w:eastAsia="方正仿宋_GBK" w:cs="Times New Roman"/>
                <w:b w:val="0"/>
                <w:bCs w:val="0"/>
                <w:color w:val="auto"/>
                <w:kern w:val="0"/>
                <w:sz w:val="24"/>
                <w:szCs w:val="24"/>
                <w:highlight w:val="none"/>
                <w:u w:val="none"/>
                <w:lang w:val="en-US" w:eastAsia="zh-CN"/>
              </w:rPr>
              <w:t>施产业回引外引农民工专项行动，推进农民工返乡创业。畅通失业人员求助渠道，健全失业登</w:t>
            </w:r>
            <w:r>
              <w:rPr>
                <w:rFonts w:hint="default" w:ascii="Times New Roman" w:hAnsi="Times New Roman" w:eastAsia="方正仿宋_GBK" w:cs="Times New Roman"/>
                <w:b w:val="0"/>
                <w:bCs w:val="0"/>
                <w:color w:val="auto"/>
                <w:sz w:val="24"/>
                <w:szCs w:val="24"/>
                <w:highlight w:val="none"/>
                <w:u w:val="none"/>
                <w:lang w:val="en-US" w:eastAsia="zh-CN"/>
              </w:rPr>
              <w:t>记、职业介绍、职业培训、职业指导、生活保障联动机制。加强困难人员就业援助，规范公益性岗位开发管理，着力拓展淘汰煤炭落后产能分流职工、退役军人、残疾人等重点群体就业渠道，确保城镇零就业家庭动态清零。</w:t>
            </w:r>
          </w:p>
          <w:p>
            <w:pPr>
              <w:keepNext w:val="0"/>
              <w:keepLines w:val="0"/>
              <w:pageBreakBefore w:val="0"/>
              <w:widowControl w:val="0"/>
              <w:kinsoku/>
              <w:wordWrap/>
              <w:overflowPunct/>
              <w:topLinePunct w:val="0"/>
              <w:autoSpaceDE/>
              <w:autoSpaceDN/>
              <w:bidi w:val="0"/>
              <w:adjustRightInd/>
              <w:spacing w:line="360" w:lineRule="exact"/>
              <w:ind w:left="0" w:leftChars="0" w:firstLine="480" w:firstLineChars="200"/>
              <w:textAlignment w:val="auto"/>
              <w:outlineLvl w:val="9"/>
              <w:rPr>
                <w:rFonts w:hint="eastAsia" w:eastAsia="方正仿宋_GBK" w:cs="Times New Roman"/>
                <w:b w:val="0"/>
                <w:bCs w:val="0"/>
                <w:color w:val="auto"/>
                <w:sz w:val="24"/>
                <w:szCs w:val="24"/>
                <w:highlight w:val="none"/>
                <w:u w:val="none"/>
                <w:lang w:val="en-US" w:eastAsia="zh-CN"/>
              </w:rPr>
            </w:pPr>
            <w:r>
              <w:rPr>
                <w:rFonts w:hint="default" w:ascii="Times New Roman" w:hAnsi="Times New Roman" w:eastAsia="方正黑体_GBK" w:cs="Times New Roman"/>
                <w:b w:val="0"/>
                <w:bCs w:val="0"/>
                <w:color w:val="auto"/>
                <w:sz w:val="24"/>
                <w:szCs w:val="24"/>
                <w:highlight w:val="none"/>
                <w:u w:val="none"/>
              </w:rPr>
              <w:t>2.创业促进就业工程。</w:t>
            </w:r>
            <w:r>
              <w:rPr>
                <w:rFonts w:hint="eastAsia" w:ascii="方正仿宋_GBK" w:hAnsi="方正仿宋_GBK" w:eastAsia="方正仿宋_GBK" w:cs="方正仿宋_GBK"/>
                <w:b w:val="0"/>
                <w:bCs w:val="0"/>
                <w:color w:val="auto"/>
                <w:sz w:val="24"/>
                <w:szCs w:val="24"/>
                <w:highlight w:val="none"/>
                <w:u w:val="none"/>
              </w:rPr>
              <w:t>实施</w:t>
            </w:r>
            <w:r>
              <w:rPr>
                <w:rFonts w:hint="eastAsia" w:ascii="方正仿宋_GBK" w:hAnsi="方正仿宋_GBK" w:eastAsia="方正仿宋_GBK" w:cs="方正仿宋_GBK"/>
                <w:b w:val="0"/>
                <w:bCs w:val="0"/>
                <w:color w:val="auto"/>
                <w:sz w:val="24"/>
                <w:szCs w:val="24"/>
                <w:highlight w:val="none"/>
                <w:u w:val="none"/>
                <w:lang w:eastAsia="zh-CN"/>
              </w:rPr>
              <w:t>好</w:t>
            </w:r>
            <w:r>
              <w:rPr>
                <w:rFonts w:hint="eastAsia" w:ascii="方正仿宋_GBK" w:hAnsi="方正仿宋_GBK" w:eastAsia="方正仿宋_GBK" w:cs="方正仿宋_GBK"/>
                <w:b w:val="0"/>
                <w:bCs w:val="0"/>
                <w:color w:val="auto"/>
                <w:sz w:val="24"/>
                <w:szCs w:val="24"/>
                <w:highlight w:val="none"/>
                <w:u w:val="none"/>
              </w:rPr>
              <w:t>“渝创渝新”创业促进计划，举办创业大赛、创业讲座、创业论坛等创业创新活动，</w:t>
            </w:r>
            <w:r>
              <w:rPr>
                <w:rFonts w:hint="eastAsia" w:eastAsia="方正仿宋_GBK" w:cs="Times New Roman"/>
                <w:b w:val="0"/>
                <w:bCs w:val="0"/>
                <w:color w:val="auto"/>
                <w:sz w:val="24"/>
                <w:szCs w:val="24"/>
                <w:highlight w:val="none"/>
                <w:u w:val="none"/>
                <w:lang w:eastAsia="zh-CN"/>
              </w:rPr>
              <w:t>有效发挥市区两级创业孵化基地作用，提升创业成功率。加大创业担保贷款宣传扶持力度，为创业者提供资金支持。“十四五”期间，力争累计发放创业担保贷款</w:t>
            </w:r>
            <w:r>
              <w:rPr>
                <w:rFonts w:hint="eastAsia" w:eastAsia="方正仿宋_GBK" w:cs="Times New Roman"/>
                <w:b w:val="0"/>
                <w:bCs w:val="0"/>
                <w:color w:val="auto"/>
                <w:sz w:val="24"/>
                <w:szCs w:val="24"/>
                <w:highlight w:val="none"/>
                <w:u w:val="none"/>
                <w:lang w:val="en-US" w:eastAsia="zh-CN"/>
              </w:rPr>
              <w:t>1亿元以上。</w:t>
            </w:r>
          </w:p>
          <w:p>
            <w:pPr>
              <w:keepNext w:val="0"/>
              <w:keepLines w:val="0"/>
              <w:pageBreakBefore w:val="0"/>
              <w:widowControl w:val="0"/>
              <w:kinsoku/>
              <w:wordWrap/>
              <w:overflowPunct/>
              <w:topLinePunct w:val="0"/>
              <w:autoSpaceDE/>
              <w:autoSpaceDN/>
              <w:bidi w:val="0"/>
              <w:adjustRightInd/>
              <w:spacing w:line="360" w:lineRule="exact"/>
              <w:ind w:left="0" w:leftChars="0" w:firstLine="480" w:firstLineChars="200"/>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eastAsia" w:eastAsia="方正黑体_GBK" w:cs="Times New Roman"/>
                <w:b w:val="0"/>
                <w:bCs w:val="0"/>
                <w:color w:val="auto"/>
                <w:sz w:val="24"/>
                <w:szCs w:val="24"/>
                <w:highlight w:val="none"/>
                <w:u w:val="none"/>
                <w:lang w:val="en-US" w:eastAsia="zh-CN"/>
              </w:rPr>
              <w:t>3.</w:t>
            </w:r>
            <w:r>
              <w:rPr>
                <w:rFonts w:hint="default" w:ascii="Times New Roman" w:hAnsi="Times New Roman" w:eastAsia="方正黑体_GBK" w:cs="Times New Roman"/>
                <w:b w:val="0"/>
                <w:bCs w:val="0"/>
                <w:color w:val="auto"/>
                <w:sz w:val="24"/>
                <w:szCs w:val="24"/>
                <w:highlight w:val="none"/>
                <w:u w:val="none"/>
              </w:rPr>
              <w:t>就业服务基础能力提升工程。</w:t>
            </w:r>
            <w:r>
              <w:rPr>
                <w:rFonts w:hint="default" w:ascii="Times New Roman" w:hAnsi="Times New Roman" w:eastAsia="方正仿宋_GBK" w:cs="Times New Roman"/>
                <w:b w:val="0"/>
                <w:bCs w:val="0"/>
                <w:color w:val="auto"/>
                <w:sz w:val="24"/>
                <w:szCs w:val="24"/>
                <w:highlight w:val="none"/>
                <w:u w:val="none"/>
              </w:rPr>
              <w:t>实施城乡就</w:t>
            </w:r>
            <w:r>
              <w:rPr>
                <w:rFonts w:hint="eastAsia" w:ascii="方正仿宋_GBK" w:hAnsi="方正仿宋_GBK" w:eastAsia="方正仿宋_GBK" w:cs="方正仿宋_GBK"/>
                <w:b w:val="0"/>
                <w:bCs w:val="0"/>
                <w:color w:val="auto"/>
                <w:sz w:val="24"/>
                <w:szCs w:val="24"/>
                <w:highlight w:val="none"/>
                <w:u w:val="none"/>
              </w:rPr>
              <w:t>业创业服务能力提升行动，健全线上线下相结合的职业指导服务体系</w:t>
            </w:r>
            <w:r>
              <w:rPr>
                <w:rFonts w:hint="eastAsia" w:ascii="方正仿宋_GBK" w:hAnsi="方正仿宋_GBK" w:eastAsia="方正仿宋_GBK" w:cs="方正仿宋_GBK"/>
                <w:b w:val="0"/>
                <w:bCs w:val="0"/>
                <w:color w:val="auto"/>
                <w:sz w:val="24"/>
                <w:szCs w:val="24"/>
                <w:highlight w:val="none"/>
                <w:u w:val="none"/>
                <w:lang w:eastAsia="zh-CN"/>
              </w:rPr>
              <w:t>，</w:t>
            </w:r>
            <w:r>
              <w:rPr>
                <w:rFonts w:hint="eastAsia" w:ascii="方正仿宋_GBK" w:hAnsi="方正仿宋_GBK" w:eastAsia="方正仿宋_GBK" w:cs="方正仿宋_GBK"/>
                <w:b w:val="0"/>
                <w:bCs w:val="0"/>
                <w:color w:val="auto"/>
                <w:sz w:val="24"/>
                <w:szCs w:val="24"/>
                <w:highlight w:val="none"/>
                <w:u w:val="none"/>
              </w:rPr>
              <w:t>推动网络直播招聘常态化，打造公共就业创业服务“升级版”</w:t>
            </w:r>
            <w:r>
              <w:rPr>
                <w:rFonts w:hint="eastAsia" w:ascii="方正仿宋_GBK" w:hAnsi="方正仿宋_GBK" w:eastAsia="方正仿宋_GBK" w:cs="方正仿宋_GBK"/>
                <w:b w:val="0"/>
                <w:bCs w:val="0"/>
                <w:color w:val="auto"/>
                <w:sz w:val="24"/>
                <w:szCs w:val="24"/>
                <w:highlight w:val="none"/>
                <w:u w:val="none"/>
                <w:lang w:eastAsia="zh-CN"/>
              </w:rPr>
              <w:t>，</w:t>
            </w:r>
            <w:r>
              <w:rPr>
                <w:rFonts w:hint="default" w:ascii="Times New Roman" w:hAnsi="Times New Roman" w:eastAsia="方正仿宋_GBK" w:cs="Times New Roman"/>
                <w:b w:val="0"/>
                <w:bCs w:val="0"/>
                <w:color w:val="auto"/>
                <w:kern w:val="0"/>
                <w:sz w:val="24"/>
                <w:szCs w:val="24"/>
                <w:highlight w:val="none"/>
                <w:u w:val="none"/>
                <w:lang w:val="en-US" w:eastAsia="zh-CN"/>
              </w:rPr>
              <w:t>累计帮助企业招工</w:t>
            </w:r>
            <w:r>
              <w:rPr>
                <w:rFonts w:hint="eastAsia" w:eastAsia="方正仿宋_GBK" w:cs="Times New Roman"/>
                <w:b w:val="0"/>
                <w:bCs w:val="0"/>
                <w:color w:val="auto"/>
                <w:kern w:val="0"/>
                <w:sz w:val="24"/>
                <w:szCs w:val="24"/>
                <w:highlight w:val="none"/>
                <w:u w:val="none"/>
                <w:lang w:val="en-US" w:eastAsia="zh-CN"/>
              </w:rPr>
              <w:t>1</w:t>
            </w:r>
            <w:r>
              <w:rPr>
                <w:rFonts w:hint="default" w:ascii="Times New Roman" w:hAnsi="Times New Roman" w:eastAsia="方正仿宋_GBK" w:cs="Times New Roman"/>
                <w:b w:val="0"/>
                <w:bCs w:val="0"/>
                <w:color w:val="auto"/>
                <w:kern w:val="0"/>
                <w:sz w:val="24"/>
                <w:szCs w:val="24"/>
                <w:highlight w:val="none"/>
                <w:u w:val="none"/>
                <w:lang w:val="en-US" w:eastAsia="zh-CN"/>
              </w:rPr>
              <w:t>万人左右。</w:t>
            </w:r>
          </w:p>
        </w:tc>
      </w:tr>
    </w:tbl>
    <w:p>
      <w:pPr>
        <w:pStyle w:val="6"/>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b w:val="0"/>
          <w:bCs w:val="0"/>
          <w:color w:val="auto"/>
          <w:sz w:val="28"/>
          <w:szCs w:val="28"/>
          <w:highlight w:val="none"/>
          <w:u w:val="none"/>
        </w:rPr>
      </w:pPr>
      <w:r>
        <w:rPr>
          <w:rFonts w:hint="default" w:ascii="Times New Roman" w:hAnsi="Times New Roman" w:eastAsia="方正黑体_GBK" w:cs="Times New Roman"/>
          <w:b w:val="0"/>
          <w:bCs w:val="0"/>
          <w:color w:val="auto"/>
          <w:sz w:val="28"/>
          <w:szCs w:val="28"/>
          <w:highlight w:val="none"/>
          <w:u w:val="none"/>
        </w:rPr>
        <w:t>专栏3  就业创业促进计划</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第六节  持续实施职业技能培训</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建立多层次、多形式的培训政策体系，推广“互联网+职业培训”新模式，持续推进职业技能提升行动，逐步构建面向城乡全体劳动者的终身职业技能培训制度。推进职业技能培训市场化、社会化改革，建立培训资源优化配置、培训载体多元发展、劳动者按需选择、政府加强监管服务的体制机制。支持发展技工教育</w:t>
      </w:r>
      <w:r>
        <w:rPr>
          <w:rFonts w:hint="eastAsia" w:ascii="方正仿宋_GBK" w:hAnsi="方正仿宋_GBK" w:eastAsia="方正仿宋_GBK" w:cs="方正仿宋_GBK"/>
          <w:b w:val="0"/>
          <w:bCs w:val="0"/>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sz w:val="28"/>
          <w:szCs w:val="28"/>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sz w:val="28"/>
          <w:szCs w:val="28"/>
          <w:highlight w:val="none"/>
          <w:u w:val="none"/>
        </w:rPr>
      </w:pPr>
      <w:r>
        <w:rPr>
          <w:rFonts w:hint="default" w:ascii="Times New Roman" w:hAnsi="Times New Roman" w:eastAsia="方正黑体_GBK" w:cs="Times New Roman"/>
          <w:b w:val="0"/>
          <w:bCs w:val="0"/>
          <w:color w:val="auto"/>
          <w:sz w:val="28"/>
          <w:szCs w:val="28"/>
          <w:highlight w:val="none"/>
          <w:u w:val="none"/>
        </w:rPr>
        <w:t>专栏</w:t>
      </w:r>
      <w:r>
        <w:rPr>
          <w:rFonts w:hint="eastAsia" w:ascii="Times New Roman" w:hAnsi="Times New Roman" w:eastAsia="方正黑体_GBK" w:cs="Times New Roman"/>
          <w:b w:val="0"/>
          <w:bCs w:val="0"/>
          <w:color w:val="auto"/>
          <w:sz w:val="28"/>
          <w:szCs w:val="28"/>
          <w:highlight w:val="none"/>
          <w:u w:val="none"/>
        </w:rPr>
        <w:t xml:space="preserve">4  </w:t>
      </w:r>
      <w:r>
        <w:rPr>
          <w:rFonts w:hint="default" w:ascii="Times New Roman" w:hAnsi="Times New Roman" w:eastAsia="方正黑体_GBK" w:cs="Times New Roman"/>
          <w:b w:val="0"/>
          <w:bCs w:val="0"/>
          <w:color w:val="auto"/>
          <w:sz w:val="28"/>
          <w:szCs w:val="28"/>
          <w:highlight w:val="none"/>
          <w:u w:val="none"/>
        </w:rPr>
        <w:t>技能</w:t>
      </w:r>
      <w:r>
        <w:rPr>
          <w:rFonts w:hint="eastAsia" w:eastAsia="方正黑体_GBK" w:cs="Times New Roman"/>
          <w:b w:val="0"/>
          <w:bCs w:val="0"/>
          <w:color w:val="auto"/>
          <w:sz w:val="28"/>
          <w:szCs w:val="28"/>
          <w:highlight w:val="none"/>
          <w:u w:val="none"/>
          <w:lang w:eastAsia="zh-CN"/>
        </w:rPr>
        <w:t>万盛</w:t>
      </w:r>
      <w:r>
        <w:rPr>
          <w:rFonts w:hint="default" w:ascii="Times New Roman" w:hAnsi="Times New Roman" w:eastAsia="方正黑体_GBK" w:cs="Times New Roman"/>
          <w:b w:val="0"/>
          <w:bCs w:val="0"/>
          <w:color w:val="auto"/>
          <w:sz w:val="28"/>
          <w:szCs w:val="28"/>
          <w:highlight w:val="none"/>
          <w:u w:val="none"/>
        </w:rPr>
        <w:t>行动</w:t>
      </w:r>
    </w:p>
    <w:tbl>
      <w:tblPr>
        <w:tblStyle w:val="16"/>
        <w:tblpPr w:leftFromText="180" w:rightFromText="180" w:vertAnchor="text" w:horzAnchor="page" w:tblpX="1849"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2"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ind w:right="105" w:rightChars="50" w:firstLine="480" w:firstLineChars="200"/>
              <w:jc w:val="both"/>
              <w:textAlignment w:val="auto"/>
              <w:outlineLvl w:val="9"/>
              <w:rPr>
                <w:rFonts w:hint="eastAsia" w:ascii="Times New Roman" w:hAnsi="Times New Roman" w:eastAsia="方正仿宋_GBK" w:cs="Times New Roman"/>
                <w:b w:val="0"/>
                <w:bCs w:val="0"/>
                <w:color w:val="auto"/>
                <w:kern w:val="2"/>
                <w:sz w:val="24"/>
                <w:szCs w:val="24"/>
                <w:highlight w:val="none"/>
                <w:u w:val="none"/>
                <w:lang w:val="en-US" w:eastAsia="zh-CN" w:bidi="ar-SA"/>
              </w:rPr>
            </w:pPr>
            <w:r>
              <w:rPr>
                <w:rFonts w:hint="default" w:ascii="Times New Roman" w:hAnsi="Times New Roman" w:eastAsia="方正黑体_GBK" w:cs="Times New Roman"/>
                <w:b w:val="0"/>
                <w:bCs w:val="0"/>
                <w:color w:val="auto"/>
                <w:sz w:val="24"/>
                <w:szCs w:val="24"/>
                <w:highlight w:val="none"/>
                <w:u w:val="none"/>
              </w:rPr>
              <w:t>1</w:t>
            </w:r>
            <w:r>
              <w:rPr>
                <w:rFonts w:hint="eastAsia" w:ascii="方正黑体_GBK" w:hAnsi="方正黑体_GBK" w:eastAsia="方正黑体_GBK" w:cs="方正黑体_GBK"/>
                <w:b w:val="0"/>
                <w:bCs w:val="0"/>
                <w:color w:val="auto"/>
                <w:sz w:val="24"/>
                <w:szCs w:val="24"/>
                <w:highlight w:val="none"/>
                <w:u w:val="none"/>
              </w:rPr>
              <w:t>.“</w:t>
            </w:r>
            <w:r>
              <w:rPr>
                <w:rFonts w:hint="eastAsia" w:ascii="方正黑体_GBK" w:hAnsi="方正黑体_GBK" w:eastAsia="方正黑体_GBK" w:cs="方正黑体_GBK"/>
                <w:b w:val="0"/>
                <w:bCs w:val="0"/>
                <w:color w:val="auto"/>
                <w:sz w:val="24"/>
                <w:szCs w:val="24"/>
                <w:highlight w:val="none"/>
                <w:u w:val="none"/>
                <w:lang w:eastAsia="zh-CN"/>
              </w:rPr>
              <w:t>万盛</w:t>
            </w:r>
            <w:r>
              <w:rPr>
                <w:rFonts w:hint="eastAsia" w:ascii="方正黑体_GBK" w:hAnsi="方正黑体_GBK" w:eastAsia="方正黑体_GBK" w:cs="方正黑体_GBK"/>
                <w:b w:val="0"/>
                <w:bCs w:val="0"/>
                <w:color w:val="auto"/>
                <w:sz w:val="24"/>
                <w:szCs w:val="24"/>
                <w:highlight w:val="none"/>
                <w:u w:val="none"/>
              </w:rPr>
              <w:t>工匠”高质量发</w:t>
            </w:r>
            <w:r>
              <w:rPr>
                <w:rFonts w:hint="default" w:ascii="Times New Roman" w:hAnsi="Times New Roman" w:eastAsia="方正黑体_GBK" w:cs="Times New Roman"/>
                <w:b w:val="0"/>
                <w:bCs w:val="0"/>
                <w:color w:val="auto"/>
                <w:sz w:val="24"/>
                <w:szCs w:val="24"/>
                <w:highlight w:val="none"/>
                <w:u w:val="none"/>
              </w:rPr>
              <w:t>展工程。</w:t>
            </w:r>
            <w:r>
              <w:rPr>
                <w:rFonts w:hint="eastAsia" w:ascii="Times New Roman" w:hAnsi="Times New Roman" w:eastAsia="方正仿宋_GBK" w:cs="Times New Roman"/>
                <w:b w:val="0"/>
                <w:bCs w:val="0"/>
                <w:color w:val="auto"/>
                <w:kern w:val="2"/>
                <w:sz w:val="24"/>
                <w:szCs w:val="24"/>
                <w:highlight w:val="none"/>
                <w:u w:val="none"/>
                <w:lang w:val="en-US" w:eastAsia="zh-CN" w:bidi="ar-SA"/>
              </w:rPr>
              <w:t>实施“万盛工匠”计划，持续举办“盛人一筹”职业</w:t>
            </w:r>
            <w:r>
              <w:rPr>
                <w:rFonts w:hint="default" w:ascii="Times New Roman" w:hAnsi="Times New Roman" w:eastAsia="方正仿宋_GBK" w:cs="Times New Roman"/>
                <w:b w:val="0"/>
                <w:bCs w:val="0"/>
                <w:color w:val="auto"/>
                <w:kern w:val="2"/>
                <w:sz w:val="24"/>
                <w:szCs w:val="24"/>
                <w:highlight w:val="none"/>
                <w:u w:val="none"/>
                <w:lang w:val="en-US" w:eastAsia="zh-CN" w:bidi="ar-SA"/>
              </w:rPr>
              <w:t>技能大赛，市级技能大师工作室建设实现零突破</w:t>
            </w:r>
            <w:r>
              <w:rPr>
                <w:rFonts w:hint="eastAsia" w:ascii="Times New Roman" w:hAnsi="Times New Roman" w:eastAsia="方正仿宋_GBK" w:cs="Times New Roman"/>
                <w:b w:val="0"/>
                <w:bCs w:val="0"/>
                <w:color w:val="auto"/>
                <w:kern w:val="2"/>
                <w:sz w:val="24"/>
                <w:szCs w:val="24"/>
                <w:highlight w:val="none"/>
                <w:u w:val="none"/>
                <w:lang w:val="en-US" w:eastAsia="zh-CN" w:bidi="ar-SA"/>
              </w:rPr>
              <w:t>。结合区域功能定位、产业发展需求和促进就业需要，原则上按照辖区市区两级机构1:5的比例有序设立民办职业培训机构。</w:t>
            </w:r>
          </w:p>
          <w:p>
            <w:pPr>
              <w:keepNext w:val="0"/>
              <w:keepLines w:val="0"/>
              <w:pageBreakBefore w:val="0"/>
              <w:widowControl w:val="0"/>
              <w:kinsoku/>
              <w:wordWrap/>
              <w:overflowPunct/>
              <w:topLinePunct w:val="0"/>
              <w:autoSpaceDE/>
              <w:autoSpaceDN/>
              <w:bidi w:val="0"/>
              <w:adjustRightInd/>
              <w:snapToGrid w:val="0"/>
              <w:spacing w:line="400" w:lineRule="exact"/>
              <w:ind w:right="105" w:rightChars="50" w:firstLine="480" w:firstLineChars="200"/>
              <w:jc w:val="both"/>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黑体_GBK" w:cs="Times New Roman"/>
                <w:b w:val="0"/>
                <w:bCs w:val="0"/>
                <w:color w:val="auto"/>
                <w:sz w:val="24"/>
                <w:szCs w:val="24"/>
                <w:highlight w:val="none"/>
                <w:u w:val="none"/>
              </w:rPr>
              <w:t>2.新型技能人才培育工程。</w:t>
            </w:r>
            <w:r>
              <w:rPr>
                <w:rFonts w:hint="default" w:ascii="Times New Roman" w:hAnsi="Times New Roman" w:eastAsia="方正仿宋_GBK" w:cs="Times New Roman"/>
                <w:b w:val="0"/>
                <w:bCs w:val="0"/>
                <w:color w:val="auto"/>
                <w:kern w:val="2"/>
                <w:sz w:val="24"/>
                <w:szCs w:val="24"/>
                <w:highlight w:val="none"/>
                <w:u w:val="none"/>
                <w:lang w:val="en-US" w:eastAsia="zh-CN" w:bidi="ar-SA"/>
              </w:rPr>
              <w:t>实施新职业推广计划，培养培训</w:t>
            </w:r>
            <w:r>
              <w:rPr>
                <w:rFonts w:hint="eastAsia" w:eastAsia="方正仿宋_GBK" w:cs="Times New Roman"/>
                <w:b w:val="0"/>
                <w:bCs w:val="0"/>
                <w:color w:val="auto"/>
                <w:kern w:val="2"/>
                <w:sz w:val="24"/>
                <w:szCs w:val="24"/>
                <w:highlight w:val="none"/>
                <w:u w:val="none"/>
                <w:lang w:val="en-US" w:eastAsia="zh-CN" w:bidi="ar-SA"/>
              </w:rPr>
              <w:t>600</w:t>
            </w:r>
            <w:r>
              <w:rPr>
                <w:rFonts w:hint="default" w:ascii="Times New Roman" w:hAnsi="Times New Roman" w:eastAsia="方正仿宋_GBK" w:cs="Times New Roman"/>
                <w:b w:val="0"/>
                <w:bCs w:val="0"/>
                <w:color w:val="auto"/>
                <w:kern w:val="2"/>
                <w:sz w:val="24"/>
                <w:szCs w:val="24"/>
                <w:highlight w:val="none"/>
                <w:u w:val="none"/>
                <w:lang w:val="en-US" w:eastAsia="zh-CN" w:bidi="ar-SA"/>
              </w:rPr>
              <w:t>名以上符合新经济、新业态和</w:t>
            </w:r>
            <w:r>
              <w:rPr>
                <w:rFonts w:hint="eastAsia" w:eastAsia="方正仿宋_GBK" w:cs="Times New Roman"/>
                <w:b w:val="0"/>
                <w:bCs w:val="0"/>
                <w:color w:val="auto"/>
                <w:kern w:val="2"/>
                <w:sz w:val="24"/>
                <w:szCs w:val="24"/>
                <w:highlight w:val="none"/>
                <w:u w:val="none"/>
                <w:lang w:val="en-US" w:eastAsia="zh-CN" w:bidi="ar-SA"/>
              </w:rPr>
              <w:t>万盛</w:t>
            </w:r>
            <w:r>
              <w:rPr>
                <w:rFonts w:hint="default" w:ascii="Times New Roman" w:hAnsi="Times New Roman" w:eastAsia="方正仿宋_GBK" w:cs="Times New Roman"/>
                <w:b w:val="0"/>
                <w:bCs w:val="0"/>
                <w:color w:val="auto"/>
                <w:kern w:val="2"/>
                <w:sz w:val="24"/>
                <w:szCs w:val="24"/>
                <w:highlight w:val="none"/>
                <w:u w:val="none"/>
                <w:lang w:val="en-US" w:eastAsia="zh-CN" w:bidi="ar-SA"/>
              </w:rPr>
              <w:t>产业转型升级需要的新型技能人才。</w:t>
            </w:r>
          </w:p>
        </w:tc>
      </w:tr>
    </w:tbl>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第七节  推动建设开放有序的人力资源市场体系</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lang w:eastAsia="zh-CN"/>
        </w:rPr>
        <w:t>依托市级</w:t>
      </w:r>
      <w:r>
        <w:rPr>
          <w:rFonts w:hint="eastAsia" w:ascii="方正仿宋_GBK" w:hAnsi="方正仿宋_GBK" w:eastAsia="方正仿宋_GBK" w:cs="方正仿宋_GBK"/>
          <w:b w:val="0"/>
          <w:bCs w:val="0"/>
          <w:color w:val="auto"/>
          <w:sz w:val="32"/>
          <w:szCs w:val="32"/>
          <w:highlight w:val="none"/>
          <w:u w:val="none"/>
        </w:rPr>
        <w:t>新时代促进人力资源服务业发展的政策措施</w:t>
      </w:r>
      <w:r>
        <w:rPr>
          <w:rFonts w:hint="eastAsia" w:ascii="方正仿宋_GBK" w:hAnsi="方正仿宋_GBK" w:eastAsia="方正仿宋_GBK" w:cs="方正仿宋_GBK"/>
          <w:b w:val="0"/>
          <w:bCs w:val="0"/>
          <w:color w:val="auto"/>
          <w:sz w:val="32"/>
          <w:szCs w:val="32"/>
          <w:highlight w:val="none"/>
          <w:u w:val="none"/>
          <w:lang w:eastAsia="zh-CN"/>
        </w:rPr>
        <w:t>，加大对区内初具规模的人力资源机构培育，</w:t>
      </w:r>
      <w:r>
        <w:rPr>
          <w:rFonts w:hint="eastAsia" w:ascii="方正仿宋_GBK" w:hAnsi="方正仿宋_GBK" w:eastAsia="方正仿宋_GBK" w:cs="方正仿宋_GBK"/>
          <w:b w:val="0"/>
          <w:bCs w:val="0"/>
          <w:color w:val="auto"/>
          <w:sz w:val="32"/>
          <w:szCs w:val="32"/>
          <w:highlight w:val="none"/>
          <w:u w:val="none"/>
        </w:rPr>
        <w:t>鼓励人力资源服务机构开展</w:t>
      </w:r>
      <w:r>
        <w:rPr>
          <w:rFonts w:hint="default" w:ascii="Times New Roman" w:hAnsi="Times New Roman" w:eastAsia="方正仿宋_GBK" w:cs="Times New Roman"/>
          <w:b w:val="0"/>
          <w:bCs w:val="0"/>
          <w:color w:val="auto"/>
          <w:sz w:val="32"/>
          <w:szCs w:val="32"/>
          <w:highlight w:val="none"/>
          <w:u w:val="none"/>
        </w:rPr>
        <w:t>自主品牌建设，力争</w:t>
      </w:r>
      <w:r>
        <w:rPr>
          <w:rFonts w:hint="eastAsia" w:ascii="Times New Roman" w:hAnsi="Times New Roman" w:eastAsia="方正仿宋_GBK" w:cs="Times New Roman"/>
          <w:b w:val="0"/>
          <w:bCs w:val="0"/>
          <w:color w:val="auto"/>
          <w:sz w:val="32"/>
          <w:szCs w:val="32"/>
          <w:highlight w:val="none"/>
          <w:u w:val="none"/>
          <w:lang w:eastAsia="zh-CN"/>
        </w:rPr>
        <w:t>将区级发展为市级</w:t>
      </w:r>
      <w:r>
        <w:rPr>
          <w:rFonts w:hint="default" w:ascii="Times New Roman" w:hAnsi="Times New Roman" w:eastAsia="方正仿宋_GBK" w:cs="Times New Roman"/>
          <w:b w:val="0"/>
          <w:bCs w:val="0"/>
          <w:color w:val="auto"/>
          <w:sz w:val="32"/>
          <w:szCs w:val="32"/>
          <w:highlight w:val="none"/>
          <w:u w:val="none"/>
        </w:rPr>
        <w:t>优质人力资源服务企业。</w:t>
      </w:r>
      <w:r>
        <w:rPr>
          <w:rFonts w:hint="eastAsia" w:ascii="Times New Roman" w:hAnsi="Times New Roman" w:eastAsia="方正仿宋_GBK" w:cs="Times New Roman"/>
          <w:b w:val="0"/>
          <w:bCs w:val="0"/>
          <w:color w:val="auto"/>
          <w:sz w:val="32"/>
          <w:szCs w:val="32"/>
          <w:highlight w:val="none"/>
          <w:u w:val="none"/>
          <w:lang w:eastAsia="zh-CN"/>
        </w:rPr>
        <w:t>依托平山工业园区、老街创业孵化园，积极开展</w:t>
      </w:r>
      <w:r>
        <w:rPr>
          <w:rFonts w:hint="default" w:ascii="Times New Roman" w:hAnsi="Times New Roman" w:eastAsia="方正仿宋_GBK" w:cs="Times New Roman"/>
          <w:b w:val="0"/>
          <w:bCs w:val="0"/>
          <w:color w:val="auto"/>
          <w:sz w:val="32"/>
          <w:szCs w:val="32"/>
          <w:highlight w:val="none"/>
          <w:u w:val="none"/>
        </w:rPr>
        <w:t>市级人力资源服务产业园建设</w:t>
      </w:r>
      <w:r>
        <w:rPr>
          <w:rFonts w:hint="eastAsia" w:ascii="Times New Roman" w:hAnsi="Times New Roman" w:eastAsia="方正仿宋_GBK" w:cs="Times New Roman"/>
          <w:b w:val="0"/>
          <w:bCs w:val="0"/>
          <w:color w:val="auto"/>
          <w:sz w:val="32"/>
          <w:szCs w:val="32"/>
          <w:highlight w:val="none"/>
          <w:u w:val="none"/>
          <w:lang w:eastAsia="zh-CN"/>
        </w:rPr>
        <w:t>，</w:t>
      </w:r>
      <w:r>
        <w:rPr>
          <w:rFonts w:hint="default" w:ascii="Times New Roman" w:hAnsi="Times New Roman" w:eastAsia="方正仿宋_GBK" w:cs="Times New Roman"/>
          <w:b w:val="0"/>
          <w:bCs w:val="0"/>
          <w:color w:val="auto"/>
          <w:sz w:val="32"/>
          <w:szCs w:val="32"/>
          <w:highlight w:val="none"/>
          <w:u w:val="none"/>
        </w:rPr>
        <w:t>充分发挥园区集聚发展和辐射带动作用</w:t>
      </w:r>
      <w:r>
        <w:rPr>
          <w:rFonts w:hint="eastAsia" w:ascii="Times New Roman" w:hAnsi="Times New Roman" w:eastAsia="方正仿宋_GBK" w:cs="Times New Roman"/>
          <w:b w:val="0"/>
          <w:bCs w:val="0"/>
          <w:color w:val="auto"/>
          <w:sz w:val="32"/>
          <w:szCs w:val="32"/>
          <w:highlight w:val="none"/>
          <w:u w:val="none"/>
          <w:lang w:eastAsia="zh-CN"/>
        </w:rPr>
        <w:t>。</w:t>
      </w:r>
      <w:r>
        <w:rPr>
          <w:rFonts w:hint="default" w:ascii="Times New Roman" w:hAnsi="Times New Roman" w:eastAsia="方正仿宋_GBK" w:cs="Times New Roman"/>
          <w:b w:val="0"/>
          <w:bCs w:val="0"/>
          <w:color w:val="auto"/>
          <w:sz w:val="32"/>
          <w:szCs w:val="32"/>
          <w:highlight w:val="none"/>
          <w:u w:val="none"/>
        </w:rPr>
        <w:t>加大从业人员专业技能培训力度，培育人力资源服务骨干企业和领军人才。深入开展人力资源市场秩序清理整顿、人力资源市场安</w:t>
      </w:r>
      <w:r>
        <w:rPr>
          <w:rFonts w:hint="eastAsia" w:ascii="方正仿宋_GBK" w:hAnsi="方正仿宋_GBK" w:eastAsia="方正仿宋_GBK" w:cs="方正仿宋_GBK"/>
          <w:b w:val="0"/>
          <w:bCs w:val="0"/>
          <w:color w:val="auto"/>
          <w:sz w:val="32"/>
          <w:szCs w:val="32"/>
          <w:highlight w:val="none"/>
          <w:u w:val="none"/>
        </w:rPr>
        <w:t>全隐患排查整治等专项行动，严厉打击就业歧视、非法职介等违法违规行为。持续开展人力资源服务诚信主题创建活动，引导人力资源服务机构依法经营、诚信服务。</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仿宋_GBK" w:hAnsi="方正仿宋_GBK" w:eastAsia="方正仿宋_GBK" w:cs="方正仿宋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第</w:t>
      </w:r>
      <w:r>
        <w:rPr>
          <w:rFonts w:hint="eastAsia" w:ascii="方正楷体_GBK" w:hAnsi="方正楷体_GBK" w:eastAsia="方正楷体_GBK" w:cs="方正楷体_GBK"/>
          <w:b w:val="0"/>
          <w:bCs w:val="0"/>
          <w:color w:val="auto"/>
          <w:sz w:val="32"/>
          <w:szCs w:val="32"/>
          <w:highlight w:val="none"/>
          <w:u w:val="none"/>
          <w:lang w:eastAsia="zh-CN"/>
        </w:rPr>
        <w:t>八</w:t>
      </w:r>
      <w:r>
        <w:rPr>
          <w:rFonts w:hint="eastAsia" w:ascii="方正楷体_GBK" w:hAnsi="方正楷体_GBK" w:eastAsia="方正楷体_GBK" w:cs="方正楷体_GBK"/>
          <w:b w:val="0"/>
          <w:bCs w:val="0"/>
          <w:color w:val="auto"/>
          <w:sz w:val="32"/>
          <w:szCs w:val="32"/>
          <w:highlight w:val="none"/>
          <w:u w:val="none"/>
        </w:rPr>
        <w:t>节  扩大中等收入群体</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lang w:eastAsia="zh-CN"/>
        </w:rPr>
        <w:t>拓</w:t>
      </w:r>
      <w:r>
        <w:rPr>
          <w:rFonts w:hint="eastAsia" w:ascii="方正仿宋_GBK" w:hAnsi="方正仿宋_GBK" w:eastAsia="方正仿宋_GBK" w:cs="方正仿宋_GBK"/>
          <w:b w:val="0"/>
          <w:bCs w:val="0"/>
          <w:color w:val="auto"/>
          <w:sz w:val="32"/>
          <w:szCs w:val="32"/>
          <w:highlight w:val="none"/>
          <w:u w:val="none"/>
        </w:rPr>
        <w:t>宽就业渠道，以高校和职业院校毕业生、技能型劳动者、农民工等群体为重点，不断提高中等收入群体比重；提高高校、职业院校毕业生就业匹配度和劳动参与率，稳定工资性收入预期。</w:t>
      </w:r>
      <w:r>
        <w:rPr>
          <w:rFonts w:hint="eastAsia" w:ascii="方正仿宋_GBK" w:hAnsi="方正仿宋_GBK" w:eastAsia="方正仿宋_GBK" w:cs="方正仿宋_GBK"/>
          <w:b w:val="0"/>
          <w:bCs w:val="0"/>
          <w:color w:val="auto"/>
          <w:sz w:val="32"/>
          <w:szCs w:val="32"/>
          <w:highlight w:val="none"/>
          <w:u w:val="none"/>
          <w:lang w:eastAsia="zh-CN"/>
        </w:rPr>
        <w:t>落实上级关于</w:t>
      </w:r>
      <w:r>
        <w:rPr>
          <w:rFonts w:hint="eastAsia" w:ascii="方正仿宋_GBK" w:hAnsi="方正仿宋_GBK" w:eastAsia="方正仿宋_GBK" w:cs="方正仿宋_GBK"/>
          <w:b w:val="0"/>
          <w:bCs w:val="0"/>
          <w:color w:val="auto"/>
          <w:sz w:val="32"/>
          <w:szCs w:val="32"/>
          <w:highlight w:val="none"/>
          <w:u w:val="none"/>
        </w:rPr>
        <w:t>技术工人职业上升通道</w:t>
      </w:r>
      <w:r>
        <w:rPr>
          <w:rFonts w:hint="eastAsia" w:ascii="方正仿宋_GBK" w:hAnsi="方正仿宋_GBK" w:eastAsia="方正仿宋_GBK" w:cs="方正仿宋_GBK"/>
          <w:b w:val="0"/>
          <w:bCs w:val="0"/>
          <w:color w:val="auto"/>
          <w:sz w:val="32"/>
          <w:szCs w:val="32"/>
          <w:highlight w:val="none"/>
          <w:u w:val="none"/>
          <w:lang w:eastAsia="zh-CN"/>
        </w:rPr>
        <w:t>，</w:t>
      </w:r>
      <w:r>
        <w:rPr>
          <w:rFonts w:hint="eastAsia" w:ascii="方正仿宋_GBK" w:hAnsi="方正仿宋_GBK" w:eastAsia="方正仿宋_GBK" w:cs="方正仿宋_GBK"/>
          <w:b w:val="0"/>
          <w:bCs w:val="0"/>
          <w:color w:val="auto"/>
          <w:sz w:val="32"/>
          <w:szCs w:val="32"/>
          <w:highlight w:val="none"/>
          <w:u w:val="none"/>
        </w:rPr>
        <w:t>非公有制经济组织、社会组织、自由职业专业技术人员职称申报和技能等级认定渠道，提高技能型人才、技术工人待遇水平和社会地位，促进低收入群体劳动致富，壮大中等收入群体。</w:t>
      </w:r>
      <w:r>
        <w:rPr>
          <w:rFonts w:hint="eastAsia" w:ascii="方正仿宋_GBK" w:hAnsi="方正仿宋_GBK" w:eastAsia="方正仿宋_GBK" w:cs="方正仿宋_GBK"/>
          <w:b w:val="0"/>
          <w:bCs w:val="0"/>
          <w:color w:val="auto"/>
          <w:sz w:val="32"/>
          <w:szCs w:val="32"/>
          <w:highlight w:val="none"/>
          <w:u w:val="none"/>
          <w:lang w:eastAsia="zh-CN"/>
        </w:rPr>
        <w:t>执行</w:t>
      </w:r>
      <w:r>
        <w:rPr>
          <w:rFonts w:hint="eastAsia" w:ascii="方正仿宋_GBK" w:hAnsi="方正仿宋_GBK" w:eastAsia="方正仿宋_GBK" w:cs="方正仿宋_GBK"/>
          <w:b w:val="0"/>
          <w:bCs w:val="0"/>
          <w:color w:val="auto"/>
          <w:sz w:val="32"/>
          <w:szCs w:val="32"/>
          <w:highlight w:val="none"/>
          <w:u w:val="none"/>
        </w:rPr>
        <w:t>小微企业创业者扶持政策，支持个体工商户、灵活就业人员等群体勤劳致富。</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方正黑体_GBK" w:hAnsi="方正黑体_GBK" w:eastAsia="方正黑体_GBK" w:cs="方正黑体_GBK"/>
          <w:b w:val="0"/>
          <w:bCs w:val="0"/>
          <w:color w:val="auto"/>
          <w:sz w:val="32"/>
          <w:szCs w:val="32"/>
          <w:highlight w:val="none"/>
          <w:u w:val="none"/>
        </w:rPr>
      </w:pPr>
      <w:r>
        <w:rPr>
          <w:rFonts w:hint="eastAsia" w:ascii="方正黑体_GBK" w:hAnsi="方正黑体_GBK" w:eastAsia="方正黑体_GBK" w:cs="方正黑体_GBK"/>
          <w:b w:val="0"/>
          <w:bCs w:val="0"/>
          <w:color w:val="auto"/>
          <w:sz w:val="32"/>
          <w:szCs w:val="32"/>
          <w:highlight w:val="none"/>
          <w:u w:val="none"/>
        </w:rPr>
        <w:t xml:space="preserve">第三章  </w:t>
      </w:r>
      <w:bookmarkStart w:id="10" w:name="_Toc54345661"/>
      <w:r>
        <w:rPr>
          <w:rFonts w:hint="eastAsia" w:ascii="方正黑体_GBK" w:hAnsi="方正黑体_GBK" w:eastAsia="方正黑体_GBK" w:cs="方正黑体_GBK"/>
          <w:b w:val="0"/>
          <w:bCs w:val="0"/>
          <w:color w:val="auto"/>
          <w:sz w:val="32"/>
          <w:szCs w:val="32"/>
          <w:highlight w:val="none"/>
          <w:u w:val="none"/>
        </w:rPr>
        <w:t>健全社会保障体系</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u w:val="none"/>
          <w:lang w:val="en-US" w:eastAsia="zh-CN"/>
        </w:rPr>
      </w:pPr>
      <w:r>
        <w:rPr>
          <w:rFonts w:hint="eastAsia" w:ascii="方正仿宋_GBK" w:hAnsi="方正仿宋_GBK" w:eastAsia="方正仿宋_GBK" w:cs="方正仿宋_GBK"/>
          <w:b w:val="0"/>
          <w:bCs w:val="0"/>
          <w:color w:val="auto"/>
          <w:sz w:val="32"/>
          <w:szCs w:val="32"/>
          <w:highlight w:val="none"/>
          <w:u w:val="none"/>
        </w:rPr>
        <w:t>社会保障是保障和改善民生、维护社会公平、增进人民福祉的基本制度保障，是促进经济社会发展、实现广大人民群众共享改革发展成果的重要制度安排，是治国安邦的大问题。</w:t>
      </w:r>
      <w:r>
        <w:rPr>
          <w:rFonts w:hint="eastAsia" w:ascii="方正仿宋_GBK" w:hAnsi="方正仿宋_GBK" w:eastAsia="方正仿宋_GBK" w:cs="方正仿宋_GBK"/>
          <w:b w:val="0"/>
          <w:bCs w:val="0"/>
          <w:color w:val="auto"/>
          <w:sz w:val="32"/>
          <w:szCs w:val="32"/>
          <w:highlight w:val="none"/>
          <w:u w:val="none"/>
          <w:lang w:eastAsia="zh-CN"/>
        </w:rPr>
        <w:t>不断</w:t>
      </w:r>
      <w:r>
        <w:rPr>
          <w:rFonts w:hint="eastAsia" w:ascii="方正仿宋_GBK" w:hAnsi="方正仿宋_GBK" w:eastAsia="方正仿宋_GBK" w:cs="方正仿宋_GBK"/>
          <w:b w:val="0"/>
          <w:bCs w:val="0"/>
          <w:color w:val="auto"/>
          <w:sz w:val="32"/>
          <w:szCs w:val="32"/>
          <w:highlight w:val="none"/>
          <w:u w:val="none"/>
        </w:rPr>
        <w:t>加大再分配力度，强化互助共济功能，把更多</w:t>
      </w:r>
      <w:r>
        <w:rPr>
          <w:rFonts w:hint="eastAsia" w:ascii="方正仿宋_GBK" w:hAnsi="方正仿宋_GBK" w:eastAsia="方正仿宋_GBK" w:cs="方正仿宋_GBK"/>
          <w:b w:val="0"/>
          <w:bCs w:val="0"/>
          <w:color w:val="auto"/>
          <w:sz w:val="32"/>
          <w:szCs w:val="32"/>
          <w:highlight w:val="none"/>
          <w:u w:val="none"/>
          <w:lang w:eastAsia="zh-CN"/>
        </w:rPr>
        <w:t>群众</w:t>
      </w:r>
      <w:r>
        <w:rPr>
          <w:rFonts w:hint="eastAsia" w:ascii="方正仿宋_GBK" w:hAnsi="方正仿宋_GBK" w:eastAsia="方正仿宋_GBK" w:cs="方正仿宋_GBK"/>
          <w:b w:val="0"/>
          <w:bCs w:val="0"/>
          <w:color w:val="auto"/>
          <w:sz w:val="32"/>
          <w:szCs w:val="32"/>
          <w:highlight w:val="none"/>
          <w:u w:val="none"/>
        </w:rPr>
        <w:t>纳入社会保障体系，为广大人民群众提供更可靠、更充分的保障，不断满足人民群众多样化需求，健全覆盖全民、统筹城乡、公平统一、可持续的社会保障体系，进一步织密社会保障安全网，促进社会保障事业高质量发展、可持续发展。</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rPr>
      </w:pPr>
      <w:bookmarkStart w:id="11" w:name="_Toc61283965"/>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 xml:space="preserve">第一节  </w:t>
      </w:r>
      <w:bookmarkEnd w:id="10"/>
      <w:r>
        <w:rPr>
          <w:rFonts w:hint="eastAsia" w:ascii="方正楷体_GBK" w:hAnsi="方正楷体_GBK" w:eastAsia="方正楷体_GBK" w:cs="方正楷体_GBK"/>
          <w:b w:val="0"/>
          <w:bCs w:val="0"/>
          <w:color w:val="auto"/>
          <w:sz w:val="32"/>
          <w:szCs w:val="32"/>
          <w:highlight w:val="none"/>
          <w:u w:val="none"/>
        </w:rPr>
        <w:t>扩大社会保险覆盖面</w:t>
      </w:r>
    </w:p>
    <w:bookmarkEnd w:id="11"/>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bookmarkStart w:id="12" w:name="_Toc54345662"/>
      <w:r>
        <w:rPr>
          <w:rFonts w:hint="eastAsia" w:ascii="方正仿宋_GBK" w:hAnsi="方正仿宋_GBK" w:eastAsia="方正仿宋_GBK" w:cs="方正仿宋_GBK"/>
          <w:b w:val="0"/>
          <w:bCs w:val="0"/>
          <w:color w:val="auto"/>
          <w:sz w:val="32"/>
          <w:szCs w:val="32"/>
          <w:highlight w:val="none"/>
          <w:u w:val="none"/>
        </w:rPr>
        <w:t>全面贯彻落实《社会保险法》，持续深入推进全民参保计划，加强应保未保人员的动态分析和管理，继续推进精准扩面，努力实现城镇职工基本养老保险法定人群全覆盖、城乡居民基本养老保险适龄参保人员应保尽保。加强失业保险参保扩面工作，重点推动中小企业、私营企业以及农民工、灵活就业人员等单位和人群积极参保。扎实做好工伤保险参保扩面，扩大工伤保险覆盖范围，建立建筑业按项目参加工伤保险的长效机制，继续做好建筑业和铁路、公路、水利、能源、机场工程等建设项目参保工作。“十四五”期间，全区</w:t>
      </w:r>
      <w:r>
        <w:rPr>
          <w:rFonts w:hint="eastAsia" w:ascii="方正仿宋_GBK" w:hAnsi="方正仿宋_GBK" w:eastAsia="方正仿宋_GBK" w:cs="方正仿宋_GBK"/>
          <w:b w:val="0"/>
          <w:bCs w:val="0"/>
          <w:color w:val="auto"/>
          <w:sz w:val="32"/>
          <w:szCs w:val="32"/>
          <w:highlight w:val="none"/>
          <w:u w:val="none"/>
          <w:lang w:eastAsia="zh-CN"/>
        </w:rPr>
        <w:t>城乡养老、医疗保险</w:t>
      </w:r>
      <w:r>
        <w:rPr>
          <w:rFonts w:hint="eastAsia" w:ascii="方正仿宋_GBK" w:hAnsi="方正仿宋_GBK" w:eastAsia="方正仿宋_GBK" w:cs="方正仿宋_GBK"/>
          <w:b w:val="0"/>
          <w:bCs w:val="0"/>
          <w:color w:val="auto"/>
          <w:sz w:val="32"/>
          <w:szCs w:val="32"/>
          <w:highlight w:val="none"/>
          <w:u w:val="none"/>
        </w:rPr>
        <w:t>参保覆</w:t>
      </w:r>
      <w:r>
        <w:rPr>
          <w:rFonts w:hint="default" w:ascii="Times New Roman" w:hAnsi="Times New Roman" w:eastAsia="方正仿宋_GBK" w:cs="Times New Roman"/>
          <w:b w:val="0"/>
          <w:bCs w:val="0"/>
          <w:color w:val="auto"/>
          <w:sz w:val="32"/>
          <w:szCs w:val="32"/>
          <w:highlight w:val="none"/>
          <w:u w:val="none"/>
        </w:rPr>
        <w:t>盖率稳定在95%以上，职工医保政策范围内报销比例在83%以上，居民医保二级</w:t>
      </w:r>
      <w:r>
        <w:rPr>
          <w:rFonts w:hint="eastAsia" w:eastAsia="方正仿宋_GBK" w:cs="Times New Roman"/>
          <w:b w:val="0"/>
          <w:bCs w:val="0"/>
          <w:color w:val="auto"/>
          <w:sz w:val="32"/>
          <w:szCs w:val="32"/>
          <w:highlight w:val="none"/>
          <w:u w:val="none"/>
          <w:lang w:eastAsia="zh-CN"/>
        </w:rPr>
        <w:t>以下医疗机构</w:t>
      </w:r>
      <w:r>
        <w:rPr>
          <w:rFonts w:hint="default" w:ascii="Times New Roman" w:hAnsi="Times New Roman" w:eastAsia="方正仿宋_GBK" w:cs="Times New Roman"/>
          <w:b w:val="0"/>
          <w:bCs w:val="0"/>
          <w:color w:val="auto"/>
          <w:sz w:val="32"/>
          <w:szCs w:val="32"/>
          <w:highlight w:val="none"/>
          <w:u w:val="none"/>
        </w:rPr>
        <w:t>政策范围内报销比例保持75%以上。</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rPr>
      </w:pPr>
      <w:bookmarkStart w:id="13" w:name="_Toc61283966"/>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第二节  健全</w:t>
      </w:r>
      <w:r>
        <w:rPr>
          <w:rFonts w:hint="eastAsia" w:ascii="方正楷体_GBK" w:hAnsi="方正楷体_GBK" w:eastAsia="方正楷体_GBK" w:cs="方正楷体_GBK"/>
          <w:b w:val="0"/>
          <w:bCs w:val="0"/>
          <w:color w:val="auto"/>
          <w:sz w:val="32"/>
          <w:szCs w:val="32"/>
          <w:highlight w:val="none"/>
          <w:u w:val="none"/>
          <w:lang w:val="en-US" w:eastAsia="zh-CN"/>
        </w:rPr>
        <w:t>完善</w:t>
      </w:r>
      <w:r>
        <w:rPr>
          <w:rFonts w:hint="eastAsia" w:ascii="方正楷体_GBK" w:hAnsi="方正楷体_GBK" w:eastAsia="方正楷体_GBK" w:cs="方正楷体_GBK"/>
          <w:b w:val="0"/>
          <w:bCs w:val="0"/>
          <w:color w:val="auto"/>
          <w:sz w:val="32"/>
          <w:szCs w:val="32"/>
          <w:highlight w:val="none"/>
          <w:u w:val="none"/>
        </w:rPr>
        <w:t>社会保障制度</w:t>
      </w:r>
      <w:bookmarkEnd w:id="12"/>
      <w:r>
        <w:rPr>
          <w:rFonts w:hint="eastAsia" w:ascii="方正楷体_GBK" w:hAnsi="方正楷体_GBK" w:eastAsia="方正楷体_GBK" w:cs="方正楷体_GBK"/>
          <w:b w:val="0"/>
          <w:bCs w:val="0"/>
          <w:color w:val="auto"/>
          <w:sz w:val="32"/>
          <w:szCs w:val="32"/>
          <w:highlight w:val="none"/>
          <w:u w:val="none"/>
        </w:rPr>
        <w:t>体系</w:t>
      </w:r>
      <w:bookmarkEnd w:id="13"/>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进一步健全完善多支柱养老保险制度体系。完善社会统筹与个人账户相结合的城镇职工基本养老保险制度，推进企业职工基本养老保险全国统筹，实施渐进式延迟法定退休年龄政策，落实国家企业职工基本养老保险遗属待遇制度和病残津贴制度。持续推进机关事业单位养老保险制度改革，实现新老待遇计发的平稳过渡。完善城乡居民基本养老保险制度，提高最低缴费档次和待遇保障水平。按照国家统一部署，发展多支柱养老保险体系，完善企业年金、职业年金制度，建立个人养老金制度，推动养老保险第三支柱发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进一步健全完善</w:t>
      </w:r>
      <w:r>
        <w:rPr>
          <w:rFonts w:hint="eastAsia" w:ascii="方正仿宋_GBK" w:hAnsi="方正仿宋_GBK" w:eastAsia="方正仿宋_GBK" w:cs="方正仿宋_GBK"/>
          <w:b w:val="0"/>
          <w:bCs w:val="0"/>
          <w:color w:val="auto"/>
          <w:sz w:val="32"/>
          <w:szCs w:val="32"/>
          <w:highlight w:val="none"/>
          <w:u w:val="none"/>
          <w:lang w:eastAsia="zh-CN"/>
        </w:rPr>
        <w:t>多环节</w:t>
      </w:r>
      <w:r>
        <w:rPr>
          <w:rFonts w:hint="eastAsia" w:ascii="方正仿宋_GBK" w:hAnsi="方正仿宋_GBK" w:eastAsia="方正仿宋_GBK" w:cs="方正仿宋_GBK"/>
          <w:b w:val="0"/>
          <w:bCs w:val="0"/>
          <w:color w:val="auto"/>
          <w:sz w:val="32"/>
          <w:szCs w:val="32"/>
          <w:highlight w:val="none"/>
          <w:u w:val="none"/>
        </w:rPr>
        <w:t>工伤保险制度体系。完善预防、补偿、康复三位一体的工伤保险制度，落实工伤预防费管理使用办法，有力开展工伤预防工作。持续扩大工伤保险政策覆盖范围，探索建立快递业等新就业形态人员的职业伤害保障制度。多途径强化工伤保险管理服务，提升工伤保险信息化水平。</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lang w:eastAsia="zh-CN"/>
        </w:rPr>
      </w:pPr>
      <w:r>
        <w:rPr>
          <w:rFonts w:hint="eastAsia" w:ascii="方正仿宋_GBK" w:hAnsi="方正仿宋_GBK" w:eastAsia="方正仿宋_GBK" w:cs="方正仿宋_GBK"/>
          <w:b w:val="0"/>
          <w:bCs w:val="0"/>
          <w:color w:val="auto"/>
          <w:sz w:val="32"/>
          <w:szCs w:val="32"/>
          <w:highlight w:val="none"/>
          <w:u w:val="none"/>
        </w:rPr>
        <w:t>进一步健全医疗保障体系。完善基本医疗保险、大病医疗保险、医疗救助等多层次医疗保障制度，鼓励支持商业健康保险、慈善捐赠、医疗互助等协调发展。开展长期护理保险制度试点工作。严格执行《医疗保障基金使用监督管理条例》和《重庆市医疗保障基金监督管理办法》。按市医保局统一安排，建立健全医疗保障关系转移接续制度，巩固医疗保障扶贫成果。推进“三医联动”，支持分级诊疗体系、区内医共体“三通”建设。深化支付方式改革</w:t>
      </w:r>
      <w:r>
        <w:rPr>
          <w:rFonts w:hint="eastAsia" w:ascii="方正仿宋_GBK" w:hAnsi="方正仿宋_GBK" w:eastAsia="方正仿宋_GBK" w:cs="方正仿宋_GBK"/>
          <w:b w:val="0"/>
          <w:bCs w:val="0"/>
          <w:color w:val="auto"/>
          <w:sz w:val="32"/>
          <w:szCs w:val="32"/>
          <w:highlight w:val="none"/>
          <w:u w:val="none"/>
          <w:lang w:eastAsia="zh-CN"/>
        </w:rPr>
        <w:t>，</w:t>
      </w:r>
      <w:r>
        <w:rPr>
          <w:rFonts w:hint="eastAsia" w:ascii="方正仿宋_GBK" w:hAnsi="方正仿宋_GBK" w:eastAsia="方正仿宋_GBK" w:cs="方正仿宋_GBK"/>
          <w:b w:val="0"/>
          <w:bCs w:val="0"/>
          <w:color w:val="auto"/>
          <w:sz w:val="32"/>
          <w:szCs w:val="32"/>
          <w:highlight w:val="none"/>
          <w:u w:val="none"/>
        </w:rPr>
        <w:t>推进按疾病诊断相关分组付费、按床日付费等支付方式，探索按人头付费与慢性病管理相结合的支付方式。深化药品及医用耗材集中采购制度改革</w:t>
      </w:r>
      <w:r>
        <w:rPr>
          <w:rFonts w:hint="eastAsia" w:ascii="方正仿宋_GBK" w:hAnsi="方正仿宋_GBK" w:eastAsia="方正仿宋_GBK" w:cs="方正仿宋_GBK"/>
          <w:b w:val="0"/>
          <w:bCs w:val="0"/>
          <w:color w:val="auto"/>
          <w:sz w:val="32"/>
          <w:szCs w:val="32"/>
          <w:highlight w:val="none"/>
          <w:u w:val="none"/>
          <w:lang w:eastAsia="zh-CN"/>
        </w:rPr>
        <w:t>，</w:t>
      </w:r>
      <w:r>
        <w:rPr>
          <w:rFonts w:hint="eastAsia" w:ascii="方正仿宋_GBK" w:hAnsi="方正仿宋_GBK" w:eastAsia="方正仿宋_GBK" w:cs="方正仿宋_GBK"/>
          <w:b w:val="0"/>
          <w:bCs w:val="0"/>
          <w:color w:val="auto"/>
          <w:sz w:val="32"/>
          <w:szCs w:val="32"/>
          <w:highlight w:val="none"/>
          <w:u w:val="none"/>
        </w:rPr>
        <w:t>按全市统一部署，建立以量换价、量价挂钩、招采合一的集中采购制度，完善药品和医用耗材集中采购机制，大力推进药品和医用耗材分类采购和线上采购。</w:t>
      </w:r>
      <w:r>
        <w:rPr>
          <w:rFonts w:hint="eastAsia" w:ascii="方正仿宋_GBK" w:hAnsi="方正仿宋_GBK" w:eastAsia="方正仿宋_GBK" w:cs="方正仿宋_GBK"/>
          <w:b w:val="0"/>
          <w:bCs w:val="0"/>
          <w:color w:val="auto"/>
          <w:sz w:val="32"/>
          <w:szCs w:val="32"/>
          <w:highlight w:val="none"/>
          <w:u w:val="none"/>
          <w:lang w:eastAsia="zh-CN"/>
        </w:rPr>
        <w:t>积极落实职工基本医疗保险门诊共济保障机制。</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rPr>
      </w:pPr>
      <w:bookmarkStart w:id="14" w:name="_Toc54345663"/>
      <w:bookmarkStart w:id="15" w:name="_Toc61283967"/>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第三节 完善</w:t>
      </w:r>
      <w:r>
        <w:rPr>
          <w:rFonts w:hint="eastAsia" w:ascii="方正楷体_GBK" w:hAnsi="方正楷体_GBK" w:eastAsia="方正楷体_GBK" w:cs="方正楷体_GBK"/>
          <w:b w:val="0"/>
          <w:bCs w:val="0"/>
          <w:color w:val="auto"/>
          <w:sz w:val="32"/>
          <w:szCs w:val="32"/>
          <w:highlight w:val="none"/>
          <w:u w:val="none"/>
          <w:lang w:val="en-US" w:eastAsia="zh-CN"/>
        </w:rPr>
        <w:t>调整</w:t>
      </w:r>
      <w:r>
        <w:rPr>
          <w:rFonts w:hint="eastAsia" w:ascii="方正楷体_GBK" w:hAnsi="方正楷体_GBK" w:eastAsia="方正楷体_GBK" w:cs="方正楷体_GBK"/>
          <w:b w:val="0"/>
          <w:bCs w:val="0"/>
          <w:color w:val="auto"/>
          <w:sz w:val="32"/>
          <w:szCs w:val="32"/>
          <w:highlight w:val="none"/>
          <w:u w:val="none"/>
        </w:rPr>
        <w:t>社会保险待遇</w:t>
      </w:r>
      <w:bookmarkEnd w:id="14"/>
      <w:r>
        <w:rPr>
          <w:rFonts w:hint="eastAsia" w:ascii="方正楷体_GBK" w:hAnsi="方正楷体_GBK" w:eastAsia="方正楷体_GBK" w:cs="方正楷体_GBK"/>
          <w:b w:val="0"/>
          <w:bCs w:val="0"/>
          <w:color w:val="auto"/>
          <w:sz w:val="32"/>
          <w:szCs w:val="32"/>
          <w:highlight w:val="none"/>
          <w:u w:val="none"/>
        </w:rPr>
        <w:t>机制</w:t>
      </w:r>
      <w:bookmarkEnd w:id="15"/>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方正仿宋_GBK" w:hAnsi="方正仿宋_GBK" w:eastAsia="方正仿宋_GBK" w:cs="方正仿宋_GBK"/>
          <w:b w:val="0"/>
          <w:bCs w:val="0"/>
          <w:color w:val="auto"/>
          <w:sz w:val="32"/>
          <w:szCs w:val="32"/>
          <w:highlight w:val="none"/>
          <w:u w:val="none"/>
        </w:rPr>
      </w:pPr>
      <w:bookmarkStart w:id="16" w:name="_Toc54345664"/>
      <w:r>
        <w:rPr>
          <w:rFonts w:hint="eastAsia" w:ascii="方正仿宋_GBK" w:hAnsi="方正仿宋_GBK" w:eastAsia="方正仿宋_GBK" w:cs="方正仿宋_GBK"/>
          <w:b w:val="0"/>
          <w:bCs w:val="0"/>
          <w:color w:val="auto"/>
          <w:sz w:val="32"/>
          <w:szCs w:val="32"/>
          <w:highlight w:val="none"/>
          <w:u w:val="none"/>
        </w:rPr>
        <w:t>按照国家统一部署，落实退休人员基本养老金待遇随工资增长、物价上涨等因素而调整的正常机制，使广大参保人员共同分享发展成果。落实企业职工基本养老保险待遇计发基数过渡办法，实现平稳过渡。全面落实城乡居民基本养老保险待遇确定和正常调整机制，提高城乡居民基本养老保险基础养老金标准。健全与经济社会发展、职工收入增长相适应的工伤待遇调整机制，适度提高工伤保险待遇水平。</w:t>
      </w:r>
    </w:p>
    <w:bookmarkEnd w:id="16"/>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rPr>
      </w:pPr>
      <w:bookmarkStart w:id="17" w:name="_Toc61283968"/>
      <w:bookmarkStart w:id="18" w:name="_Toc60673743"/>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 xml:space="preserve">第四节  </w:t>
      </w:r>
      <w:bookmarkEnd w:id="17"/>
      <w:r>
        <w:rPr>
          <w:rFonts w:hint="eastAsia" w:ascii="方正楷体_GBK" w:hAnsi="方正楷体_GBK" w:eastAsia="方正楷体_GBK" w:cs="方正楷体_GBK"/>
          <w:b w:val="0"/>
          <w:bCs w:val="0"/>
          <w:color w:val="auto"/>
          <w:sz w:val="32"/>
          <w:szCs w:val="32"/>
          <w:highlight w:val="none"/>
          <w:u w:val="none"/>
          <w:lang w:eastAsia="zh-CN"/>
        </w:rPr>
        <w:t>维护社保</w:t>
      </w:r>
      <w:r>
        <w:rPr>
          <w:rFonts w:hint="eastAsia" w:ascii="方正楷体_GBK" w:hAnsi="方正楷体_GBK" w:eastAsia="方正楷体_GBK" w:cs="方正楷体_GBK"/>
          <w:b w:val="0"/>
          <w:bCs w:val="0"/>
          <w:color w:val="auto"/>
          <w:sz w:val="32"/>
          <w:szCs w:val="32"/>
          <w:highlight w:val="none"/>
          <w:u w:val="none"/>
        </w:rPr>
        <w:t>基金安全可持续运行</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严格实施社保基金收支两条线管理，</w:t>
      </w:r>
      <w:r>
        <w:rPr>
          <w:rFonts w:ascii="方正仿宋_GBK" w:hAnsi="方正仿宋_GBK" w:eastAsia="方正仿宋_GBK" w:cs="方正仿宋_GBK"/>
          <w:b w:val="0"/>
          <w:bCs w:val="0"/>
          <w:color w:val="auto"/>
          <w:sz w:val="32"/>
          <w:szCs w:val="32"/>
          <w:highlight w:val="none"/>
          <w:u w:val="none"/>
        </w:rPr>
        <w:t>认真贯彻实施社会保障基金预决算管理制度。</w:t>
      </w:r>
      <w:r>
        <w:rPr>
          <w:rFonts w:hint="eastAsia" w:ascii="方正仿宋_GBK" w:hAnsi="方正仿宋_GBK" w:eastAsia="方正仿宋_GBK" w:cs="方正仿宋_GBK"/>
          <w:b w:val="0"/>
          <w:bCs w:val="0"/>
          <w:color w:val="auto"/>
          <w:sz w:val="32"/>
          <w:szCs w:val="32"/>
          <w:highlight w:val="none"/>
          <w:u w:val="none"/>
        </w:rPr>
        <w:t>持续健全政策、经办、信息、监督“四位一体”基金管理风险防控体系，不断完善内控管理制度，加强基金运行风险分析研判，防范化解运行风险。保持打击欺诈骗保高压态势，强化社会保险稽核检查，加大社会保险领域违法犯罪行为打击力度，畅通行政执法与刑事司法衔接机制，严厉打击违法行为。多手段抓好养老、工伤保险待遇领取资格认证工作，严防基金跑、冒、滴、漏。健全工伤协议服务机构监管体系，强化工伤保险协议服务机构科学化布局，完善工伤保险服务监督经办规程。积极稳妥做好职业年金基金归集管理</w:t>
      </w:r>
      <w:r>
        <w:rPr>
          <w:rFonts w:hint="eastAsia" w:ascii="方正仿宋_GBK" w:hAnsi="方正仿宋_GBK" w:eastAsia="方正仿宋_GBK" w:cs="方正仿宋_GBK"/>
          <w:b w:val="0"/>
          <w:bCs w:val="0"/>
          <w:color w:val="auto"/>
          <w:sz w:val="32"/>
          <w:szCs w:val="32"/>
          <w:highlight w:val="none"/>
          <w:u w:val="none"/>
          <w:lang w:eastAsia="zh-CN"/>
        </w:rPr>
        <w:t>。</w:t>
      </w:r>
    </w:p>
    <w:bookmarkEnd w:id="18"/>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bookmarkStart w:id="19" w:name="_Toc61283969"/>
      <w:r>
        <w:rPr>
          <w:rFonts w:hint="eastAsia" w:ascii="方正仿宋_GBK" w:hAnsi="方正仿宋_GBK" w:eastAsia="方正仿宋_GBK" w:cs="方正仿宋_GBK"/>
          <w:b w:val="0"/>
          <w:bCs w:val="0"/>
          <w:color w:val="auto"/>
          <w:sz w:val="32"/>
          <w:szCs w:val="32"/>
          <w:highlight w:val="none"/>
          <w:u w:val="none"/>
        </w:rPr>
        <w:t>多措施提高医保基金使用环节的管理水平，</w:t>
      </w:r>
      <w:r>
        <w:rPr>
          <w:rFonts w:hint="eastAsia" w:ascii="方正仿宋_GBK" w:hAnsi="方正仿宋_GBK" w:eastAsia="方正仿宋_GBK" w:cs="方正仿宋_GBK"/>
          <w:b w:val="0"/>
          <w:bCs w:val="0"/>
          <w:color w:val="auto"/>
          <w:sz w:val="32"/>
          <w:szCs w:val="32"/>
          <w:highlight w:val="none"/>
          <w:u w:val="none"/>
          <w:lang w:eastAsia="zh-CN"/>
        </w:rPr>
        <w:t>推进医保支付方式改革，</w:t>
      </w:r>
      <w:r>
        <w:rPr>
          <w:rFonts w:hint="eastAsia" w:ascii="方正仿宋_GBK" w:hAnsi="方正仿宋_GBK" w:eastAsia="方正仿宋_GBK" w:cs="方正仿宋_GBK"/>
          <w:b w:val="0"/>
          <w:bCs w:val="0"/>
          <w:color w:val="auto"/>
          <w:sz w:val="32"/>
          <w:szCs w:val="32"/>
          <w:highlight w:val="none"/>
          <w:u w:val="none"/>
        </w:rPr>
        <w:t>采取日常稽核检查、专项稽核和聘请第三方机构检查等方式，不断加大对定点医药机构医保服务的管控，持续保持打击欺诈骗取医保基金高压态势，全力维护医保基金安全。加强医保政策宣传，畅通投诉举报渠道，按要求落实《重庆市欺诈骗取医疗保障基金行为举报奖励实施细则》，及时兑现举报奖励。充实监管执法力量，建立健全联合监管工作机制，提升智能监管能力。</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ascii="方正楷体_GBK" w:hAnsi="方正仿宋_GBK" w:eastAsia="方正楷体_GBK" w:cs="方正仿宋_GBK"/>
          <w:b w:val="0"/>
          <w:bCs w:val="0"/>
          <w:color w:val="auto"/>
          <w:sz w:val="32"/>
          <w:szCs w:val="32"/>
          <w:highlight w:val="none"/>
          <w:u w:val="none"/>
        </w:rPr>
      </w:pPr>
      <w:r>
        <w:rPr>
          <w:rFonts w:hint="eastAsia" w:ascii="方正楷体_GBK" w:hAnsi="方正仿宋_GBK" w:eastAsia="方正楷体_GBK" w:cs="方正仿宋_GBK"/>
          <w:b w:val="0"/>
          <w:bCs w:val="0"/>
          <w:color w:val="auto"/>
          <w:sz w:val="32"/>
          <w:szCs w:val="32"/>
          <w:highlight w:val="none"/>
          <w:u w:val="none"/>
        </w:rPr>
        <w:t>第五节  提升社会保障经办管理服务能力</w:t>
      </w:r>
      <w:bookmarkEnd w:id="19"/>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完善社会保障管理体系和服务网络，在提高管理精细化程度和服务水平上下更大功夫，提升社会保障治理效能。完善社会保险关系登记和转移接续的措施，健全精准认定机制，实现应保尽保、应助尽助、应享尽享。</w:t>
      </w:r>
      <w:r>
        <w:rPr>
          <w:rFonts w:hint="eastAsia" w:ascii="方正仿宋_GBK" w:hAnsi="方正仿宋_GBK" w:eastAsia="方正仿宋_GBK" w:cs="方正仿宋_GBK"/>
          <w:b w:val="0"/>
          <w:bCs w:val="0"/>
          <w:color w:val="auto"/>
          <w:sz w:val="32"/>
          <w:szCs w:val="32"/>
          <w:highlight w:val="none"/>
          <w:u w:val="none"/>
          <w:lang w:eastAsia="zh-CN"/>
        </w:rPr>
        <w:t>逐步接入</w:t>
      </w:r>
      <w:r>
        <w:rPr>
          <w:rFonts w:hint="eastAsia" w:ascii="方正仿宋_GBK" w:hAnsi="方正仿宋_GBK" w:eastAsia="方正仿宋_GBK" w:cs="方正仿宋_GBK"/>
          <w:b w:val="0"/>
          <w:bCs w:val="0"/>
          <w:color w:val="auto"/>
          <w:sz w:val="32"/>
          <w:szCs w:val="32"/>
          <w:highlight w:val="none"/>
          <w:u w:val="none"/>
        </w:rPr>
        <w:t>全国统一的社会保险公共服务平台，深入推进社保经办数字化转型。坚持传统服务方式和智能化服务创新并行，针对老年人、残疾人等群体的特点，提供更加贴心暖心的社会保障服务。以实现“综合柜员制、优先网办、全域通办”为目标，推动社保业务流程再造和服务重塑，夯实完善社保经办“不见面”服务基础，逐步拓宽“不见面”服务范围，合理下放业务权限，方便群众办事。推进社保经办数字化转型，推动网上服务、自助服务与实体大厅服务互补联动发展。推进电子档案在社保经办和公共服务中的应用。推进国有企业退休人员常态化移交，巩固市级退休人员社会化管理服务示范社区创建成果，</w:t>
      </w:r>
      <w:r>
        <w:rPr>
          <w:rFonts w:hint="eastAsia" w:ascii="方正仿宋_GBK" w:hAnsi="方正仿宋_GBK" w:eastAsia="方正仿宋_GBK" w:cs="方正仿宋_GBK"/>
          <w:b w:val="0"/>
          <w:bCs w:val="0"/>
          <w:color w:val="auto"/>
          <w:sz w:val="32"/>
          <w:szCs w:val="32"/>
          <w:highlight w:val="none"/>
          <w:u w:val="none"/>
          <w:lang w:eastAsia="zh-CN"/>
        </w:rPr>
        <w:t>启动</w:t>
      </w:r>
      <w:r>
        <w:rPr>
          <w:rFonts w:hint="eastAsia" w:ascii="方正仿宋_GBK" w:hAnsi="方正仿宋_GBK" w:eastAsia="方正仿宋_GBK" w:cs="方正仿宋_GBK"/>
          <w:b w:val="0"/>
          <w:bCs w:val="0"/>
          <w:color w:val="auto"/>
          <w:sz w:val="32"/>
          <w:szCs w:val="32"/>
          <w:highlight w:val="none"/>
          <w:u w:val="none"/>
        </w:rPr>
        <w:t>区级退休人员社会化管理服务示范社区创建工作。推进工伤保险医疗（康复）费用联网结算工作，建立医疗费预警机制，为工伤职工就医治疗提供方便快捷的“一站式”服务。强化经办服务建设，提升规范化、标准化、信息化、专业化水平。推行综合柜员经办服务制度。依托全国统一的医保信息平台，巩固跨省异地就医住院费用直接结算成果，</w:t>
      </w:r>
      <w:r>
        <w:rPr>
          <w:rFonts w:hint="eastAsia" w:ascii="方正仿宋_GBK" w:hAnsi="方正仿宋_GBK" w:eastAsia="方正仿宋_GBK" w:cs="方正仿宋_GBK"/>
          <w:b w:val="0"/>
          <w:bCs w:val="0"/>
          <w:color w:val="auto"/>
          <w:sz w:val="32"/>
          <w:szCs w:val="32"/>
          <w:highlight w:val="none"/>
          <w:u w:val="none"/>
          <w:lang w:eastAsia="zh-CN"/>
        </w:rPr>
        <w:t>落实</w:t>
      </w:r>
      <w:r>
        <w:rPr>
          <w:rFonts w:hint="eastAsia" w:ascii="方正仿宋_GBK" w:hAnsi="方正仿宋_GBK" w:eastAsia="方正仿宋_GBK" w:cs="方正仿宋_GBK"/>
          <w:b w:val="0"/>
          <w:bCs w:val="0"/>
          <w:color w:val="auto"/>
          <w:sz w:val="32"/>
          <w:szCs w:val="32"/>
          <w:highlight w:val="none"/>
          <w:u w:val="none"/>
        </w:rPr>
        <w:t>跨省异地就医门诊费用直接结算制度。</w:t>
      </w:r>
    </w:p>
    <w:p>
      <w:pPr>
        <w:spacing w:line="600" w:lineRule="exact"/>
        <w:jc w:val="center"/>
        <w:rPr>
          <w:rFonts w:ascii="Times New Roman" w:hAnsi="Times New Roman" w:eastAsia="方正黑体_GBK" w:cs="Times New Roman"/>
          <w:b w:val="0"/>
          <w:bCs w:val="0"/>
          <w:color w:val="auto"/>
          <w:sz w:val="28"/>
          <w:szCs w:val="28"/>
          <w:highlight w:val="none"/>
          <w:u w:val="none"/>
        </w:rPr>
      </w:pPr>
      <w:r>
        <w:rPr>
          <w:rFonts w:hint="eastAsia" w:ascii="Times New Roman" w:hAnsi="Times New Roman" w:eastAsia="方正黑体_GBK" w:cs="Times New Roman"/>
          <w:b w:val="0"/>
          <w:bCs w:val="0"/>
          <w:color w:val="auto"/>
          <w:sz w:val="28"/>
          <w:szCs w:val="28"/>
          <w:highlight w:val="none"/>
          <w:u w:val="none"/>
        </w:rPr>
        <w:t>专栏</w:t>
      </w:r>
      <w:r>
        <w:rPr>
          <w:rFonts w:hint="eastAsia" w:eastAsia="方正黑体_GBK" w:cs="Times New Roman"/>
          <w:b w:val="0"/>
          <w:bCs w:val="0"/>
          <w:color w:val="auto"/>
          <w:sz w:val="28"/>
          <w:szCs w:val="28"/>
          <w:highlight w:val="none"/>
          <w:u w:val="none"/>
          <w:lang w:val="en-US" w:eastAsia="zh-CN"/>
        </w:rPr>
        <w:t>5</w:t>
      </w:r>
      <w:r>
        <w:rPr>
          <w:rFonts w:hint="eastAsia" w:ascii="Times New Roman" w:hAnsi="Times New Roman" w:eastAsia="方正黑体_GBK" w:cs="Times New Roman"/>
          <w:b w:val="0"/>
          <w:bCs w:val="0"/>
          <w:color w:val="auto"/>
          <w:sz w:val="28"/>
          <w:szCs w:val="28"/>
          <w:highlight w:val="none"/>
          <w:u w:val="none"/>
        </w:rPr>
        <w:t xml:space="preserve">   社会保险重点任务</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2" w:type="dxa"/>
            <w:noWrap w:val="0"/>
            <w:vAlign w:val="top"/>
          </w:tcPr>
          <w:p>
            <w:pPr>
              <w:spacing w:line="340" w:lineRule="exact"/>
              <w:ind w:firstLine="480" w:firstLineChars="200"/>
              <w:contextualSpacing/>
              <w:rPr>
                <w:rFonts w:ascii="Times New Roman" w:hAnsi="Times New Roman" w:eastAsia="方正黑体_GBK" w:cs="Times New Roman"/>
                <w:b w:val="0"/>
                <w:bCs w:val="0"/>
                <w:color w:val="auto"/>
                <w:sz w:val="24"/>
                <w:szCs w:val="24"/>
                <w:highlight w:val="none"/>
                <w:u w:val="none"/>
              </w:rPr>
            </w:pPr>
            <w:r>
              <w:rPr>
                <w:rFonts w:hint="eastAsia" w:ascii="Times New Roman" w:hAnsi="Times New Roman" w:eastAsia="方正黑体_GBK" w:cs="Times New Roman"/>
                <w:b w:val="0"/>
                <w:bCs w:val="0"/>
                <w:color w:val="auto"/>
                <w:sz w:val="24"/>
                <w:szCs w:val="24"/>
                <w:highlight w:val="none"/>
                <w:u w:val="none"/>
              </w:rPr>
              <w:t>1.持续深入推进全民参保计划。</w:t>
            </w:r>
            <w:r>
              <w:rPr>
                <w:rFonts w:hint="eastAsia" w:ascii="Times New Roman" w:hAnsi="Times New Roman" w:eastAsia="方正仿宋_GBK" w:cs="Times New Roman"/>
                <w:b w:val="0"/>
                <w:bCs w:val="0"/>
                <w:color w:val="auto"/>
                <w:sz w:val="24"/>
                <w:szCs w:val="24"/>
                <w:highlight w:val="none"/>
                <w:u w:val="none"/>
              </w:rPr>
              <w:t>加强应保未保人员的动态分析和管理，继续推进精准扩面，努力实现社会保险法定人群全覆盖，城乡养老保险参保覆盖率保持在95%以上。</w:t>
            </w:r>
          </w:p>
          <w:p>
            <w:pPr>
              <w:spacing w:line="340" w:lineRule="exact"/>
              <w:ind w:firstLine="480" w:firstLineChars="200"/>
              <w:contextualSpacing/>
              <w:rPr>
                <w:rFonts w:ascii="Times New Roman" w:hAnsi="Times New Roman" w:eastAsia="方正仿宋_GBK" w:cs="Times New Roman"/>
                <w:b w:val="0"/>
                <w:bCs w:val="0"/>
                <w:color w:val="auto"/>
                <w:sz w:val="24"/>
                <w:szCs w:val="24"/>
                <w:highlight w:val="none"/>
                <w:u w:val="none"/>
              </w:rPr>
            </w:pPr>
            <w:r>
              <w:rPr>
                <w:rFonts w:hint="eastAsia" w:ascii="Times New Roman" w:hAnsi="Times New Roman" w:eastAsia="方正黑体_GBK" w:cs="Times New Roman"/>
                <w:b w:val="0"/>
                <w:bCs w:val="0"/>
                <w:color w:val="auto"/>
                <w:sz w:val="24"/>
                <w:szCs w:val="24"/>
                <w:highlight w:val="none"/>
                <w:u w:val="none"/>
              </w:rPr>
              <w:t>2.不断完善多支柱养老保险体系</w:t>
            </w:r>
            <w:r>
              <w:rPr>
                <w:rFonts w:hint="eastAsia" w:ascii="Times New Roman" w:hAnsi="Times New Roman" w:eastAsia="方正仿宋_GBK" w:cs="Times New Roman"/>
                <w:b w:val="0"/>
                <w:bCs w:val="0"/>
                <w:color w:val="auto"/>
                <w:sz w:val="24"/>
                <w:szCs w:val="24"/>
                <w:highlight w:val="none"/>
                <w:u w:val="none"/>
              </w:rPr>
              <w:t>。</w:t>
            </w:r>
            <w:r>
              <w:rPr>
                <w:rFonts w:hint="eastAsia" w:eastAsia="方正仿宋_GBK" w:cs="Times New Roman"/>
                <w:b w:val="0"/>
                <w:bCs w:val="0"/>
                <w:color w:val="auto"/>
                <w:sz w:val="24"/>
                <w:szCs w:val="24"/>
                <w:highlight w:val="none"/>
                <w:u w:val="none"/>
                <w:lang w:val="en-US" w:eastAsia="zh-CN"/>
              </w:rPr>
              <w:t>不断完善</w:t>
            </w:r>
            <w:r>
              <w:rPr>
                <w:rFonts w:hint="eastAsia" w:ascii="Times New Roman" w:hAnsi="Times New Roman" w:eastAsia="方正仿宋_GBK" w:cs="Times New Roman"/>
                <w:b w:val="0"/>
                <w:bCs w:val="0"/>
                <w:color w:val="auto"/>
                <w:sz w:val="24"/>
                <w:szCs w:val="24"/>
                <w:highlight w:val="none"/>
                <w:u w:val="none"/>
              </w:rPr>
              <w:t>养老保险体系，完善企业年金、职业年金制度，建立个人养老金制度，推动养老保险第三支柱发展。</w:t>
            </w:r>
          </w:p>
          <w:p>
            <w:pPr>
              <w:spacing w:line="340" w:lineRule="exact"/>
              <w:ind w:firstLine="480" w:firstLineChars="200"/>
              <w:contextualSpacing/>
              <w:rPr>
                <w:rFonts w:ascii="Times New Roman" w:hAnsi="Times New Roman" w:eastAsia="方正仿宋_GBK" w:cs="Times New Roman"/>
                <w:b w:val="0"/>
                <w:bCs w:val="0"/>
                <w:color w:val="auto"/>
                <w:sz w:val="24"/>
                <w:szCs w:val="24"/>
                <w:highlight w:val="none"/>
                <w:u w:val="none"/>
              </w:rPr>
            </w:pPr>
            <w:r>
              <w:rPr>
                <w:rFonts w:hint="eastAsia" w:ascii="Times New Roman" w:hAnsi="Times New Roman" w:eastAsia="方正黑体_GBK" w:cs="Times New Roman"/>
                <w:b w:val="0"/>
                <w:bCs w:val="0"/>
                <w:color w:val="auto"/>
                <w:sz w:val="24"/>
                <w:szCs w:val="24"/>
                <w:highlight w:val="none"/>
                <w:u w:val="none"/>
              </w:rPr>
              <w:t>3.探索建立</w:t>
            </w:r>
            <w:r>
              <w:rPr>
                <w:rFonts w:hint="eastAsia" w:eastAsia="方正黑体_GBK" w:cs="Times New Roman"/>
                <w:b w:val="0"/>
                <w:bCs w:val="0"/>
                <w:color w:val="auto"/>
                <w:sz w:val="24"/>
                <w:szCs w:val="24"/>
                <w:highlight w:val="none"/>
                <w:u w:val="none"/>
                <w:lang w:eastAsia="zh-CN"/>
              </w:rPr>
              <w:t>多环节</w:t>
            </w:r>
            <w:r>
              <w:rPr>
                <w:rFonts w:hint="eastAsia" w:ascii="Times New Roman" w:hAnsi="Times New Roman" w:eastAsia="方正黑体_GBK" w:cs="Times New Roman"/>
                <w:b w:val="0"/>
                <w:bCs w:val="0"/>
                <w:color w:val="auto"/>
                <w:sz w:val="24"/>
                <w:szCs w:val="24"/>
                <w:highlight w:val="none"/>
                <w:u w:val="none"/>
              </w:rPr>
              <w:t>工伤保险制度。</w:t>
            </w:r>
            <w:r>
              <w:rPr>
                <w:rFonts w:hint="eastAsia" w:ascii="Times New Roman" w:hAnsi="Times New Roman" w:eastAsia="方正仿宋_GBK" w:cs="Times New Roman"/>
                <w:b w:val="0"/>
                <w:bCs w:val="0"/>
                <w:color w:val="auto"/>
                <w:sz w:val="24"/>
                <w:szCs w:val="24"/>
                <w:highlight w:val="none"/>
                <w:u w:val="none"/>
              </w:rPr>
              <w:t>完善预防、补偿、康复三位一体的工伤保险制度，落实工伤预防费管理使用办法，有力开展工伤预防工作。探索建立新就业形态人员职业伤害保障制度。</w:t>
            </w:r>
          </w:p>
          <w:p>
            <w:pPr>
              <w:spacing w:line="340" w:lineRule="exact"/>
              <w:ind w:firstLine="480" w:firstLineChars="200"/>
              <w:contextualSpacing/>
              <w:rPr>
                <w:rFonts w:ascii="Times New Roman" w:hAnsi="Times New Roman" w:eastAsia="方正仿宋_GBK" w:cs="Times New Roman"/>
                <w:b w:val="0"/>
                <w:bCs w:val="0"/>
                <w:color w:val="auto"/>
                <w:sz w:val="24"/>
                <w:szCs w:val="24"/>
                <w:highlight w:val="none"/>
                <w:u w:val="none"/>
              </w:rPr>
            </w:pPr>
            <w:r>
              <w:rPr>
                <w:rFonts w:hint="eastAsia" w:ascii="Times New Roman" w:hAnsi="Times New Roman" w:eastAsia="方正黑体_GBK" w:cs="Times New Roman"/>
                <w:b w:val="0"/>
                <w:bCs w:val="0"/>
                <w:color w:val="auto"/>
                <w:sz w:val="24"/>
                <w:szCs w:val="24"/>
                <w:highlight w:val="none"/>
                <w:u w:val="none"/>
              </w:rPr>
              <w:t>4.推进实施综合柜员制。</w:t>
            </w:r>
            <w:r>
              <w:rPr>
                <w:rFonts w:hint="eastAsia" w:ascii="Times New Roman" w:hAnsi="Times New Roman" w:eastAsia="方正仿宋_GBK" w:cs="Times New Roman"/>
                <w:b w:val="0"/>
                <w:bCs w:val="0"/>
                <w:color w:val="auto"/>
                <w:sz w:val="24"/>
                <w:szCs w:val="24"/>
                <w:highlight w:val="none"/>
                <w:u w:val="none"/>
              </w:rPr>
              <w:t>推动社保业务流程再造和服务重塑，实施受办分离的综合柜员制，提升群众办理社保事务便捷性。</w:t>
            </w:r>
            <w:r>
              <w:rPr>
                <w:rFonts w:ascii="Times New Roman" w:hAnsi="Times New Roman" w:eastAsia="方正仿宋_GBK" w:cs="Times New Roman"/>
                <w:b w:val="0"/>
                <w:bCs w:val="0"/>
                <w:color w:val="auto"/>
                <w:sz w:val="24"/>
                <w:szCs w:val="24"/>
                <w:highlight w:val="none"/>
                <w:u w:val="none"/>
              </w:rPr>
              <w:t xml:space="preserve"> </w:t>
            </w:r>
          </w:p>
          <w:p>
            <w:pPr>
              <w:spacing w:line="340" w:lineRule="exact"/>
              <w:ind w:firstLine="480" w:firstLineChars="200"/>
              <w:contextualSpacing/>
              <w:jc w:val="left"/>
              <w:rPr>
                <w:rFonts w:ascii="Times New Roman" w:hAnsi="Times New Roman" w:eastAsia="方正仿宋_GBK" w:cs="Times New Roman"/>
                <w:b w:val="0"/>
                <w:bCs w:val="0"/>
                <w:color w:val="auto"/>
                <w:sz w:val="24"/>
                <w:szCs w:val="24"/>
                <w:highlight w:val="none"/>
                <w:u w:val="none"/>
              </w:rPr>
            </w:pPr>
            <w:r>
              <w:rPr>
                <w:rFonts w:hint="eastAsia" w:ascii="Times New Roman" w:hAnsi="Times New Roman" w:eastAsia="方正黑体_GBK" w:cs="Times New Roman"/>
                <w:b w:val="0"/>
                <w:bCs w:val="0"/>
                <w:color w:val="auto"/>
                <w:sz w:val="24"/>
                <w:szCs w:val="24"/>
                <w:highlight w:val="none"/>
                <w:u w:val="none"/>
              </w:rPr>
              <w:t>5.开展区级退休人员社会化管理服务示范社区创建。</w:t>
            </w:r>
            <w:r>
              <w:rPr>
                <w:rFonts w:hint="eastAsia" w:ascii="Times New Roman" w:hAnsi="Times New Roman" w:eastAsia="方正仿宋_GBK" w:cs="Times New Roman"/>
                <w:b w:val="0"/>
                <w:bCs w:val="0"/>
                <w:color w:val="auto"/>
                <w:sz w:val="24"/>
                <w:szCs w:val="24"/>
                <w:highlight w:val="none"/>
                <w:u w:val="none"/>
              </w:rPr>
              <w:t>强化退休人员社会化管理服务，启动区级退休人员社会化管理服务示范社区创建，建成</w:t>
            </w:r>
            <w:r>
              <w:rPr>
                <w:rFonts w:hint="eastAsia" w:eastAsia="方正仿宋_GBK" w:cs="Times New Roman"/>
                <w:b w:val="0"/>
                <w:bCs w:val="0"/>
                <w:color w:val="auto"/>
                <w:sz w:val="24"/>
                <w:szCs w:val="24"/>
                <w:highlight w:val="none"/>
                <w:u w:val="none"/>
                <w:lang w:val="en-US" w:eastAsia="zh-CN"/>
              </w:rPr>
              <w:t>2—3</w:t>
            </w:r>
            <w:r>
              <w:rPr>
                <w:rFonts w:hint="eastAsia" w:ascii="Times New Roman" w:hAnsi="Times New Roman" w:eastAsia="方正仿宋_GBK" w:cs="Times New Roman"/>
                <w:b w:val="0"/>
                <w:bCs w:val="0"/>
                <w:color w:val="auto"/>
                <w:sz w:val="24"/>
                <w:szCs w:val="24"/>
                <w:highlight w:val="none"/>
                <w:u w:val="none"/>
              </w:rPr>
              <w:t>个制度完善、组织健全、服务规范的示范社区</w:t>
            </w:r>
            <w:r>
              <w:rPr>
                <w:rFonts w:hint="eastAsia" w:eastAsia="方正仿宋_GBK" w:cs="Times New Roman"/>
                <w:b w:val="0"/>
                <w:bCs w:val="0"/>
                <w:color w:val="auto"/>
                <w:sz w:val="24"/>
                <w:szCs w:val="24"/>
                <w:highlight w:val="none"/>
                <w:u w:val="none"/>
                <w:lang w:eastAsia="zh-CN"/>
              </w:rPr>
              <w:t>。</w:t>
            </w:r>
          </w:p>
        </w:tc>
      </w:tr>
    </w:tbl>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黑体_GBK" w:hAnsi="方正黑体_GBK" w:eastAsia="方正黑体_GBK" w:cs="方正黑体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黑体_GBK" w:hAnsi="方正黑体_GBK" w:eastAsia="方正黑体_GBK" w:cs="方正黑体_GBK"/>
          <w:b w:val="0"/>
          <w:bCs w:val="0"/>
          <w:color w:val="auto"/>
          <w:sz w:val="32"/>
          <w:szCs w:val="32"/>
          <w:highlight w:val="none"/>
          <w:u w:val="none"/>
        </w:rPr>
      </w:pPr>
      <w:r>
        <w:rPr>
          <w:rFonts w:hint="eastAsia" w:ascii="方正黑体_GBK" w:hAnsi="方正黑体_GBK" w:eastAsia="方正黑体_GBK" w:cs="方正黑体_GBK"/>
          <w:b w:val="0"/>
          <w:bCs w:val="0"/>
          <w:color w:val="auto"/>
          <w:sz w:val="32"/>
          <w:szCs w:val="32"/>
          <w:highlight w:val="none"/>
          <w:u w:val="none"/>
        </w:rPr>
        <w:t>第四章  打造更高水平更</w:t>
      </w:r>
      <w:r>
        <w:rPr>
          <w:rFonts w:hint="eastAsia" w:ascii="方正黑体_GBK" w:hAnsi="方正黑体_GBK" w:eastAsia="方正黑体_GBK" w:cs="方正黑体_GBK"/>
          <w:b w:val="0"/>
          <w:bCs w:val="0"/>
          <w:color w:val="auto"/>
          <w:sz w:val="32"/>
          <w:szCs w:val="32"/>
          <w:highlight w:val="none"/>
          <w:u w:val="none"/>
          <w:lang w:eastAsia="zh-CN"/>
        </w:rPr>
        <w:t>具</w:t>
      </w:r>
      <w:r>
        <w:rPr>
          <w:rFonts w:hint="eastAsia" w:ascii="方正黑体_GBK" w:hAnsi="方正黑体_GBK" w:eastAsia="方正黑体_GBK" w:cs="方正黑体_GBK"/>
          <w:b w:val="0"/>
          <w:bCs w:val="0"/>
          <w:color w:val="auto"/>
          <w:sz w:val="32"/>
          <w:szCs w:val="32"/>
          <w:highlight w:val="none"/>
          <w:u w:val="none"/>
        </w:rPr>
        <w:t>活力的</w:t>
      </w:r>
      <w:r>
        <w:rPr>
          <w:rFonts w:hint="eastAsia" w:ascii="方正黑体_GBK" w:hAnsi="方正黑体_GBK" w:eastAsia="方正黑体_GBK" w:cs="方正黑体_GBK"/>
          <w:b w:val="0"/>
          <w:bCs w:val="0"/>
          <w:color w:val="auto"/>
          <w:sz w:val="32"/>
          <w:szCs w:val="32"/>
          <w:highlight w:val="none"/>
          <w:u w:val="none"/>
          <w:lang w:val="en-US" w:eastAsia="zh-CN"/>
        </w:rPr>
        <w:t>人才强区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lang w:val="en-US" w:eastAsia="zh-CN"/>
        </w:rPr>
        <w:t>全面贯彻落实习近平总书记关于新时代人才工作的新理念新战略新举措，</w:t>
      </w:r>
      <w:r>
        <w:rPr>
          <w:rFonts w:hint="eastAsia" w:ascii="方正仿宋_GBK" w:hAnsi="方正仿宋_GBK" w:eastAsia="方正仿宋_GBK" w:cs="方正仿宋_GBK"/>
          <w:b w:val="0"/>
          <w:bCs w:val="0"/>
          <w:color w:val="auto"/>
          <w:sz w:val="32"/>
          <w:szCs w:val="32"/>
          <w:highlight w:val="none"/>
          <w:u w:val="none"/>
        </w:rPr>
        <w:t>牢固树立人才引领发展的战略地位，</w:t>
      </w:r>
      <w:r>
        <w:rPr>
          <w:rFonts w:hint="eastAsia" w:ascii="方正仿宋_GBK" w:hAnsi="方正仿宋_GBK" w:eastAsia="方正仿宋_GBK" w:cs="方正仿宋_GBK"/>
          <w:b w:val="0"/>
          <w:bCs w:val="0"/>
          <w:color w:val="auto"/>
          <w:sz w:val="32"/>
          <w:szCs w:val="32"/>
          <w:highlight w:val="none"/>
          <w:u w:val="none"/>
          <w:lang w:eastAsia="zh-CN"/>
        </w:rPr>
        <w:t>进一步发挥人才在建设“一城三区一极”中的重要作用</w:t>
      </w:r>
      <w:r>
        <w:rPr>
          <w:rFonts w:hint="eastAsia" w:ascii="方正仿宋_GBK" w:hAnsi="方正仿宋_GBK" w:eastAsia="方正仿宋_GBK" w:cs="方正仿宋_GBK"/>
          <w:b w:val="0"/>
          <w:bCs w:val="0"/>
          <w:color w:val="auto"/>
          <w:sz w:val="32"/>
          <w:szCs w:val="32"/>
          <w:highlight w:val="none"/>
          <w:u w:val="none"/>
        </w:rPr>
        <w:t>。围绕创新驱动发展战略，健全高层次人才、</w:t>
      </w:r>
      <w:r>
        <w:rPr>
          <w:rFonts w:hint="default" w:ascii="方正仿宋_GBK" w:hAnsi="Times New Roman" w:eastAsia="方正仿宋_GBK" w:cs="Times New Roman"/>
          <w:b w:val="0"/>
          <w:bCs w:val="0"/>
          <w:color w:val="auto"/>
          <w:sz w:val="32"/>
          <w:szCs w:val="32"/>
          <w:highlight w:val="none"/>
          <w:u w:val="none"/>
          <w:lang w:val="en-US" w:eastAsia="zh-CN"/>
        </w:rPr>
        <w:t>专业技术</w:t>
      </w:r>
      <w:r>
        <w:rPr>
          <w:rFonts w:hint="eastAsia" w:ascii="方正仿宋_GBK" w:hAnsi="方正仿宋_GBK" w:eastAsia="方正仿宋_GBK" w:cs="方正仿宋_GBK"/>
          <w:b w:val="0"/>
          <w:bCs w:val="0"/>
          <w:color w:val="auto"/>
          <w:sz w:val="32"/>
          <w:szCs w:val="32"/>
          <w:highlight w:val="none"/>
          <w:u w:val="none"/>
        </w:rPr>
        <w:t>人才、高技能人才培养链和供应链，全方位培养、引进、用好人才</w:t>
      </w:r>
      <w:r>
        <w:rPr>
          <w:rFonts w:hint="eastAsia" w:ascii="方正仿宋_GBK" w:hAnsi="方正仿宋_GBK" w:eastAsia="方正仿宋_GBK" w:cs="方正仿宋_GBK"/>
          <w:b w:val="0"/>
          <w:bCs w:val="0"/>
          <w:color w:val="auto"/>
          <w:sz w:val="32"/>
          <w:szCs w:val="32"/>
          <w:highlight w:val="none"/>
          <w:u w:val="none"/>
          <w:lang w:eastAsia="zh-CN"/>
        </w:rPr>
        <w:t>，助力</w:t>
      </w:r>
      <w:r>
        <w:rPr>
          <w:rFonts w:hint="eastAsia" w:ascii="方正仿宋_GBK" w:hAnsi="方正仿宋_GBK" w:eastAsia="方正仿宋_GBK" w:cs="方正仿宋_GBK"/>
          <w:b w:val="0"/>
          <w:bCs w:val="0"/>
          <w:color w:val="auto"/>
          <w:sz w:val="32"/>
          <w:szCs w:val="32"/>
          <w:highlight w:val="none"/>
          <w:u w:val="none"/>
          <w:lang w:val="en-US" w:eastAsia="zh-CN"/>
        </w:rPr>
        <w:t>重庆</w:t>
      </w:r>
      <w:r>
        <w:rPr>
          <w:rFonts w:hint="eastAsia" w:ascii="方正仿宋_GBK" w:hAnsi="方正仿宋_GBK" w:eastAsia="方正仿宋_GBK" w:cs="方正仿宋_GBK"/>
          <w:b w:val="0"/>
          <w:bCs w:val="0"/>
          <w:color w:val="auto"/>
          <w:sz w:val="32"/>
          <w:szCs w:val="32"/>
          <w:highlight w:val="none"/>
          <w:u w:val="none"/>
          <w:lang w:eastAsia="zh-CN"/>
        </w:rPr>
        <w:t>加快建设全国人才重要高地。</w:t>
      </w:r>
      <w:r>
        <w:rPr>
          <w:rFonts w:hint="eastAsia" w:ascii="方正仿宋_GBK" w:hAnsi="方正仿宋_GBK" w:eastAsia="方正仿宋_GBK" w:cs="方正仿宋_GBK"/>
          <w:b w:val="0"/>
          <w:bCs w:val="0"/>
          <w:color w:val="auto"/>
          <w:sz w:val="32"/>
          <w:szCs w:val="32"/>
          <w:highlight w:val="none"/>
          <w:u w:val="none"/>
        </w:rPr>
        <w:t>推动人才政策科学化、引才工作精准化、人才服务智能化，为推动全区经济社会高质量发展提供智力支持和人才支撑。</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lang w:eastAsia="zh-CN"/>
        </w:rPr>
      </w:pPr>
      <w:r>
        <w:rPr>
          <w:rFonts w:hint="eastAsia" w:ascii="方正楷体_GBK" w:hAnsi="方正楷体_GBK" w:eastAsia="方正楷体_GBK" w:cs="方正楷体_GBK"/>
          <w:b w:val="0"/>
          <w:bCs w:val="0"/>
          <w:color w:val="auto"/>
          <w:sz w:val="32"/>
          <w:szCs w:val="32"/>
          <w:highlight w:val="none"/>
          <w:u w:val="none"/>
        </w:rPr>
        <w:t>第</w:t>
      </w:r>
      <w:r>
        <w:rPr>
          <w:rFonts w:hint="eastAsia" w:ascii="方正楷体_GBK" w:hAnsi="方正楷体_GBK" w:eastAsia="方正楷体_GBK" w:cs="方正楷体_GBK"/>
          <w:b w:val="0"/>
          <w:bCs w:val="0"/>
          <w:color w:val="auto"/>
          <w:sz w:val="32"/>
          <w:szCs w:val="32"/>
          <w:highlight w:val="none"/>
          <w:u w:val="none"/>
          <w:lang w:eastAsia="zh-CN"/>
        </w:rPr>
        <w:t>一</w:t>
      </w:r>
      <w:r>
        <w:rPr>
          <w:rFonts w:hint="eastAsia" w:ascii="方正楷体_GBK" w:hAnsi="方正楷体_GBK" w:eastAsia="方正楷体_GBK" w:cs="方正楷体_GBK"/>
          <w:b w:val="0"/>
          <w:bCs w:val="0"/>
          <w:color w:val="auto"/>
          <w:sz w:val="32"/>
          <w:szCs w:val="32"/>
          <w:highlight w:val="none"/>
          <w:u w:val="none"/>
        </w:rPr>
        <w:t>节  加强</w:t>
      </w:r>
      <w:r>
        <w:rPr>
          <w:rFonts w:hint="eastAsia" w:ascii="方正楷体_GBK" w:hAnsi="方正楷体_GBK" w:eastAsia="方正楷体_GBK" w:cs="方正楷体_GBK"/>
          <w:b w:val="0"/>
          <w:bCs w:val="0"/>
          <w:color w:val="auto"/>
          <w:sz w:val="32"/>
          <w:szCs w:val="32"/>
          <w:highlight w:val="none"/>
          <w:u w:val="none"/>
          <w:lang w:val="en-US" w:eastAsia="zh-CN"/>
        </w:rPr>
        <w:t>专业技术</w:t>
      </w:r>
      <w:r>
        <w:rPr>
          <w:rFonts w:hint="eastAsia" w:ascii="方正楷体_GBK" w:hAnsi="方正楷体_GBK" w:eastAsia="方正楷体_GBK" w:cs="方正楷体_GBK"/>
          <w:b w:val="0"/>
          <w:bCs w:val="0"/>
          <w:color w:val="auto"/>
          <w:sz w:val="32"/>
          <w:szCs w:val="32"/>
          <w:highlight w:val="none"/>
          <w:u w:val="none"/>
        </w:rPr>
        <w:t>人才队伍建设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eastAsia="方正仿宋_GBK"/>
          <w:b w:val="0"/>
          <w:bCs w:val="0"/>
          <w:color w:val="auto"/>
          <w:kern w:val="0"/>
          <w:sz w:val="32"/>
          <w:szCs w:val="32"/>
          <w:highlight w:val="none"/>
          <w:u w:val="none"/>
          <w:lang w:eastAsia="zh-CN"/>
        </w:rPr>
      </w:pPr>
      <w:r>
        <w:rPr>
          <w:rFonts w:hint="eastAsia" w:ascii="方正仿宋_GBK" w:eastAsia="方正仿宋_GBK"/>
          <w:b w:val="0"/>
          <w:bCs w:val="0"/>
          <w:color w:val="auto"/>
          <w:sz w:val="32"/>
          <w:szCs w:val="32"/>
          <w:highlight w:val="none"/>
          <w:u w:val="none"/>
        </w:rPr>
        <w:t>加强专业技术人才队伍建设，建立完善专业技术人才职业发展通道，造就一批高素质专业技术人才队伍。</w:t>
      </w:r>
      <w:r>
        <w:rPr>
          <w:rFonts w:hint="eastAsia" w:ascii="Times New Roman" w:hAnsi="Times New Roman" w:eastAsia="方正仿宋_GBK" w:cs="Times New Roman"/>
          <w:b w:val="0"/>
          <w:bCs w:val="0"/>
          <w:color w:val="auto"/>
          <w:kern w:val="0"/>
          <w:sz w:val="32"/>
          <w:szCs w:val="32"/>
          <w:highlight w:val="none"/>
          <w:u w:val="none"/>
        </w:rPr>
        <w:t>建立人才引入机制，制定良好的人才引进政策，为专业技术</w:t>
      </w:r>
      <w:r>
        <w:rPr>
          <w:rFonts w:hint="eastAsia" w:ascii="方正仿宋_GBK" w:eastAsia="方正仿宋_GBK"/>
          <w:b w:val="0"/>
          <w:bCs w:val="0"/>
          <w:color w:val="auto"/>
          <w:sz w:val="32"/>
          <w:szCs w:val="32"/>
          <w:highlight w:val="none"/>
          <w:u w:val="none"/>
        </w:rPr>
        <w:t>人才</w:t>
      </w:r>
      <w:r>
        <w:rPr>
          <w:rFonts w:hint="eastAsia" w:ascii="Times New Roman" w:hAnsi="Times New Roman" w:eastAsia="方正仿宋_GBK" w:cs="Times New Roman"/>
          <w:b w:val="0"/>
          <w:bCs w:val="0"/>
          <w:color w:val="auto"/>
          <w:kern w:val="0"/>
          <w:sz w:val="32"/>
          <w:szCs w:val="32"/>
          <w:highlight w:val="none"/>
          <w:u w:val="none"/>
        </w:rPr>
        <w:t>的工作、生活提供良好的环境</w:t>
      </w:r>
      <w:r>
        <w:rPr>
          <w:rFonts w:hint="eastAsia" w:eastAsia="方正仿宋_GBK"/>
          <w:b w:val="0"/>
          <w:bCs w:val="0"/>
          <w:color w:val="auto"/>
          <w:kern w:val="0"/>
          <w:sz w:val="32"/>
          <w:szCs w:val="32"/>
          <w:highlight w:val="none"/>
          <w:u w:val="none"/>
          <w:lang w:eastAsia="zh-CN"/>
        </w:rPr>
        <w:t>。</w:t>
      </w:r>
      <w:r>
        <w:rPr>
          <w:rFonts w:hint="eastAsia" w:ascii="方正仿宋_GBK" w:eastAsia="方正仿宋_GBK"/>
          <w:b w:val="0"/>
          <w:bCs w:val="0"/>
          <w:color w:val="auto"/>
          <w:sz w:val="32"/>
          <w:szCs w:val="32"/>
          <w:highlight w:val="none"/>
          <w:u w:val="none"/>
        </w:rPr>
        <w:t>进一步深化职称改革，完善评价标准、程序和方法，</w:t>
      </w:r>
      <w:r>
        <w:rPr>
          <w:rFonts w:hint="eastAsia" w:ascii="方正仿宋_GBK" w:hAnsi="Times New Roman" w:eastAsia="方正仿宋_GBK" w:cs="Times New Roman"/>
          <w:b w:val="0"/>
          <w:bCs w:val="0"/>
          <w:color w:val="auto"/>
          <w:sz w:val="32"/>
          <w:szCs w:val="32"/>
          <w:highlight w:val="none"/>
          <w:u w:val="none"/>
        </w:rPr>
        <w:t>向科</w:t>
      </w:r>
      <w:r>
        <w:rPr>
          <w:rFonts w:hint="eastAsia" w:ascii="方正仿宋_GBK" w:eastAsia="方正仿宋_GBK"/>
          <w:b w:val="0"/>
          <w:bCs w:val="0"/>
          <w:color w:val="auto"/>
          <w:sz w:val="32"/>
          <w:szCs w:val="32"/>
          <w:highlight w:val="none"/>
          <w:u w:val="none"/>
        </w:rPr>
        <w:t>技创新人才、企业人才和基层人才适度倾斜。</w:t>
      </w:r>
      <w:r>
        <w:rPr>
          <w:rFonts w:hint="eastAsia" w:ascii="方正仿宋_GBK" w:hAnsi="Times New Roman" w:eastAsia="方正仿宋_GBK" w:cs="Times New Roman"/>
          <w:b w:val="0"/>
          <w:bCs w:val="0"/>
          <w:color w:val="auto"/>
          <w:sz w:val="32"/>
          <w:szCs w:val="32"/>
          <w:highlight w:val="none"/>
          <w:u w:val="none"/>
        </w:rPr>
        <w:t>着力提升专业技术人才能力素质</w:t>
      </w:r>
      <w:r>
        <w:rPr>
          <w:rFonts w:hint="eastAsia" w:ascii="方正仿宋_GBK" w:hAnsi="Times New Roman" w:eastAsia="方正仿宋_GBK" w:cs="Times New Roman"/>
          <w:b w:val="0"/>
          <w:bCs w:val="0"/>
          <w:color w:val="auto"/>
          <w:sz w:val="32"/>
          <w:szCs w:val="32"/>
          <w:highlight w:val="none"/>
          <w:u w:val="none"/>
          <w:lang w:eastAsia="zh-CN"/>
        </w:rPr>
        <w:t>，</w:t>
      </w:r>
      <w:r>
        <w:rPr>
          <w:rFonts w:hint="eastAsia" w:ascii="方正仿宋_GBK" w:hAnsi="Times New Roman" w:eastAsia="方正仿宋_GBK" w:cs="Times New Roman"/>
          <w:b w:val="0"/>
          <w:bCs w:val="0"/>
          <w:color w:val="auto"/>
          <w:sz w:val="32"/>
          <w:szCs w:val="32"/>
          <w:highlight w:val="none"/>
          <w:u w:val="none"/>
        </w:rPr>
        <w:t>创新专业技术人才培养模式</w:t>
      </w:r>
      <w:r>
        <w:rPr>
          <w:rFonts w:hint="eastAsia" w:ascii="方正仿宋_GBK" w:hAnsi="Times New Roman" w:eastAsia="方正仿宋_GBK" w:cs="Times New Roman"/>
          <w:b w:val="0"/>
          <w:bCs w:val="0"/>
          <w:color w:val="auto"/>
          <w:sz w:val="32"/>
          <w:szCs w:val="32"/>
          <w:highlight w:val="none"/>
          <w:u w:val="none"/>
          <w:lang w:eastAsia="zh-CN"/>
        </w:rPr>
        <w:t>，</w:t>
      </w:r>
      <w:r>
        <w:rPr>
          <w:rFonts w:hint="eastAsia" w:ascii="方正仿宋_GBK" w:hAnsi="Times New Roman" w:eastAsia="方正仿宋_GBK" w:cs="Times New Roman"/>
          <w:b w:val="0"/>
          <w:bCs w:val="0"/>
          <w:color w:val="auto"/>
          <w:sz w:val="32"/>
          <w:szCs w:val="32"/>
          <w:highlight w:val="none"/>
          <w:u w:val="none"/>
        </w:rPr>
        <w:t>突出经济社会发展需求导向，根据区域特点、产业发展规划，动态调整学科专业设置，创新培养模式，注重培养急需的高素质应用型人才。加强专业技术人员继续教育，</w:t>
      </w:r>
      <w:r>
        <w:rPr>
          <w:rFonts w:hint="default" w:ascii="方正仿宋_GBK" w:hAnsi="Times New Roman" w:eastAsia="方正仿宋_GBK" w:cs="Times New Roman"/>
          <w:b w:val="0"/>
          <w:bCs w:val="0"/>
          <w:color w:val="auto"/>
          <w:sz w:val="32"/>
          <w:szCs w:val="32"/>
          <w:highlight w:val="none"/>
          <w:u w:val="none"/>
          <w:lang w:val="en-US" w:eastAsia="zh-CN"/>
        </w:rPr>
        <w:t>实施专业技术人才知识更新工程</w:t>
      </w:r>
      <w:r>
        <w:rPr>
          <w:rFonts w:hint="eastAsia" w:ascii="方正仿宋_GBK" w:hAnsi="Times New Roman" w:eastAsia="方正仿宋_GBK" w:cs="Times New Roman"/>
          <w:b w:val="0"/>
          <w:bCs w:val="0"/>
          <w:color w:val="auto"/>
          <w:sz w:val="32"/>
          <w:szCs w:val="32"/>
          <w:highlight w:val="none"/>
          <w:u w:val="none"/>
          <w:lang w:val="en-US" w:eastAsia="zh-CN"/>
        </w:rPr>
        <w:t>，</w:t>
      </w:r>
      <w:r>
        <w:rPr>
          <w:rFonts w:hint="default" w:ascii="方正仿宋_GBK" w:hAnsi="Times New Roman" w:eastAsia="方正仿宋_GBK" w:cs="Times New Roman"/>
          <w:b w:val="0"/>
          <w:bCs w:val="0"/>
          <w:color w:val="auto"/>
          <w:sz w:val="32"/>
          <w:szCs w:val="32"/>
          <w:highlight w:val="none"/>
          <w:u w:val="none"/>
        </w:rPr>
        <w:t>坚持以需求为导向，继续实施高级研修项目，</w:t>
      </w:r>
      <w:r>
        <w:rPr>
          <w:rFonts w:hint="eastAsia" w:ascii="方正仿宋_GBK" w:hAnsi="Times New Roman" w:eastAsia="方正仿宋_GBK" w:cs="Times New Roman"/>
          <w:b w:val="0"/>
          <w:bCs w:val="0"/>
          <w:color w:val="auto"/>
          <w:sz w:val="32"/>
          <w:szCs w:val="32"/>
          <w:highlight w:val="none"/>
          <w:u w:val="none"/>
        </w:rPr>
        <w:t>推进继续教育制度与工作考核、岗位聘用、职称评聘等人事管理制度的衔接。建立定期</w:t>
      </w:r>
      <w:r>
        <w:rPr>
          <w:rFonts w:hint="eastAsia" w:ascii="方正仿宋_GBK" w:eastAsia="方正仿宋_GBK" w:cs="Times New Roman"/>
          <w:b w:val="0"/>
          <w:bCs w:val="0"/>
          <w:color w:val="auto"/>
          <w:sz w:val="32"/>
          <w:szCs w:val="32"/>
          <w:highlight w:val="none"/>
          <w:u w:val="none"/>
          <w:lang w:eastAsia="zh-CN"/>
        </w:rPr>
        <w:t>选派</w:t>
      </w:r>
      <w:r>
        <w:rPr>
          <w:rFonts w:hint="eastAsia" w:ascii="方正仿宋_GBK" w:hAnsi="Times New Roman" w:eastAsia="方正仿宋_GBK" w:cs="Times New Roman"/>
          <w:b w:val="0"/>
          <w:bCs w:val="0"/>
          <w:color w:val="auto"/>
          <w:sz w:val="32"/>
          <w:szCs w:val="32"/>
          <w:highlight w:val="none"/>
          <w:u w:val="none"/>
        </w:rPr>
        <w:t>优秀专业技术人才到高等学校、职业院校、医疗机构、科研院所等进修学习制度。加强对新晋中、高级专业技术职称的专业技术人才专项培训工作。充分利用继续教育基地、各类教育培训机构和远程教育等资源，开展形式多样的继续教育活动，不断提升专业技术人才岗位适应、职业发展和实践能力。</w:t>
      </w:r>
      <w:r>
        <w:rPr>
          <w:rFonts w:hint="eastAsia" w:ascii="方正仿宋_GBK" w:hAnsi="Times New Roman" w:eastAsia="方正仿宋_GBK" w:cs="Times New Roman"/>
          <w:b w:val="0"/>
          <w:bCs w:val="0"/>
          <w:color w:val="auto"/>
          <w:sz w:val="32"/>
          <w:szCs w:val="32"/>
          <w:highlight w:val="none"/>
          <w:u w:val="none"/>
          <w:lang w:val="en-US" w:eastAsia="zh-CN"/>
        </w:rPr>
        <w:t>建</w:t>
      </w:r>
      <w:r>
        <w:rPr>
          <w:rFonts w:hint="eastAsia" w:ascii="方正仿宋_GBK" w:eastAsia="方正仿宋_GBK"/>
          <w:b w:val="0"/>
          <w:bCs w:val="0"/>
          <w:color w:val="auto"/>
          <w:sz w:val="32"/>
          <w:szCs w:val="32"/>
          <w:highlight w:val="none"/>
          <w:u w:val="none"/>
          <w:lang w:val="en-US" w:eastAsia="zh-CN"/>
        </w:rPr>
        <w:t>设专业技术人才数据平台，</w:t>
      </w:r>
      <w:r>
        <w:rPr>
          <w:rFonts w:hint="eastAsia" w:ascii="方正仿宋_GBK" w:hAnsi="Times New Roman" w:eastAsia="方正仿宋_GBK" w:cs="Times New Roman"/>
          <w:b w:val="0"/>
          <w:bCs w:val="0"/>
          <w:color w:val="auto"/>
          <w:sz w:val="32"/>
          <w:szCs w:val="32"/>
          <w:highlight w:val="none"/>
          <w:u w:val="none"/>
          <w:lang w:val="en-US" w:eastAsia="zh-CN"/>
        </w:rPr>
        <w:t>依托“互联网+”等模式，构建</w:t>
      </w:r>
      <w:r>
        <w:rPr>
          <w:rFonts w:eastAsia="方正仿宋_GBK"/>
          <w:b w:val="0"/>
          <w:bCs w:val="0"/>
          <w:color w:val="auto"/>
          <w:kern w:val="0"/>
          <w:sz w:val="32"/>
          <w:szCs w:val="32"/>
          <w:highlight w:val="none"/>
          <w:u w:val="none"/>
        </w:rPr>
        <w:t>多形式、多渠道、多层次、全方位的</w:t>
      </w:r>
      <w:r>
        <w:rPr>
          <w:rFonts w:hint="eastAsia" w:eastAsia="方正仿宋_GBK"/>
          <w:b w:val="0"/>
          <w:bCs w:val="0"/>
          <w:color w:val="auto"/>
          <w:kern w:val="0"/>
          <w:sz w:val="32"/>
          <w:szCs w:val="32"/>
          <w:highlight w:val="none"/>
          <w:u w:val="none"/>
          <w:lang w:eastAsia="zh-CN"/>
        </w:rPr>
        <w:t>人才</w:t>
      </w:r>
      <w:r>
        <w:rPr>
          <w:rFonts w:eastAsia="方正仿宋_GBK"/>
          <w:b w:val="0"/>
          <w:bCs w:val="0"/>
          <w:color w:val="auto"/>
          <w:kern w:val="0"/>
          <w:sz w:val="32"/>
          <w:szCs w:val="32"/>
          <w:highlight w:val="none"/>
          <w:u w:val="none"/>
        </w:rPr>
        <w:t>信息化公共服务体系</w:t>
      </w:r>
      <w:r>
        <w:rPr>
          <w:rFonts w:hint="eastAsia" w:eastAsia="方正仿宋_GBK"/>
          <w:b w:val="0"/>
          <w:bCs w:val="0"/>
          <w:color w:val="auto"/>
          <w:kern w:val="0"/>
          <w:sz w:val="32"/>
          <w:szCs w:val="32"/>
          <w:highlight w:val="none"/>
          <w:u w:val="none"/>
          <w:lang w:eastAsia="zh-CN"/>
        </w:rPr>
        <w:t>，</w:t>
      </w:r>
      <w:r>
        <w:rPr>
          <w:rFonts w:hint="eastAsia" w:ascii="方正仿宋_GBK" w:hAnsi="Times New Roman" w:eastAsia="方正仿宋_GBK" w:cs="Times New Roman"/>
          <w:b w:val="0"/>
          <w:bCs w:val="0"/>
          <w:color w:val="auto"/>
          <w:sz w:val="32"/>
          <w:szCs w:val="32"/>
          <w:highlight w:val="none"/>
          <w:u w:val="none"/>
          <w:lang w:val="en-US" w:eastAsia="zh-CN"/>
        </w:rPr>
        <w:t>为专业技术人才提供优质高效便捷服务</w:t>
      </w:r>
      <w:r>
        <w:rPr>
          <w:rFonts w:eastAsia="方正仿宋_GBK"/>
          <w:b w:val="0"/>
          <w:bCs w:val="0"/>
          <w:color w:val="auto"/>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eastAsia="方正仿宋_GBK"/>
          <w:b w:val="0"/>
          <w:bCs w:val="0"/>
          <w:color w:val="auto"/>
          <w:kern w:val="0"/>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lang w:eastAsia="zh-CN"/>
        </w:rPr>
      </w:pPr>
      <w:r>
        <w:rPr>
          <w:rFonts w:hint="eastAsia" w:ascii="方正楷体_GBK" w:hAnsi="方正楷体_GBK" w:eastAsia="方正楷体_GBK" w:cs="方正楷体_GBK"/>
          <w:b w:val="0"/>
          <w:bCs w:val="0"/>
          <w:color w:val="auto"/>
          <w:sz w:val="32"/>
          <w:szCs w:val="32"/>
          <w:highlight w:val="none"/>
          <w:u w:val="none"/>
          <w:lang w:eastAsia="zh-CN"/>
        </w:rPr>
        <w:t xml:space="preserve">第二节 </w:t>
      </w:r>
      <w:r>
        <w:rPr>
          <w:rFonts w:hint="eastAsia" w:ascii="方正楷体_GBK" w:hAnsi="方正楷体_GBK" w:eastAsia="方正楷体_GBK" w:cs="方正楷体_GBK"/>
          <w:b w:val="0"/>
          <w:bCs w:val="0"/>
          <w:color w:val="auto"/>
          <w:sz w:val="32"/>
          <w:szCs w:val="32"/>
          <w:highlight w:val="none"/>
          <w:u w:val="none"/>
          <w:lang w:val="en-US" w:eastAsia="zh-CN"/>
        </w:rPr>
        <w:t xml:space="preserve"> </w:t>
      </w:r>
      <w:r>
        <w:rPr>
          <w:rFonts w:hint="eastAsia" w:ascii="方正楷体_GBK" w:hAnsi="方正楷体_GBK" w:eastAsia="方正楷体_GBK" w:cs="方正楷体_GBK"/>
          <w:b w:val="0"/>
          <w:bCs w:val="0"/>
          <w:color w:val="auto"/>
          <w:sz w:val="32"/>
          <w:szCs w:val="32"/>
          <w:highlight w:val="none"/>
          <w:u w:val="none"/>
          <w:lang w:eastAsia="zh-CN"/>
        </w:rPr>
        <w:t>加强技能人才队伍建设</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方正仿宋_GBK" w:eastAsia="方正仿宋_GBK" w:cs="Times New Roman"/>
          <w:b w:val="0"/>
          <w:bCs w:val="0"/>
          <w:color w:val="auto"/>
          <w:kern w:val="2"/>
          <w:sz w:val="32"/>
          <w:szCs w:val="32"/>
          <w:highlight w:val="none"/>
          <w:u w:val="none"/>
          <w:lang w:val="en-US" w:eastAsia="zh-CN" w:bidi="ar-SA"/>
        </w:rPr>
      </w:pPr>
      <w:r>
        <w:rPr>
          <w:rFonts w:hint="eastAsia" w:ascii="方正仿宋_GBK" w:hAnsi="方正仿宋_GBK" w:eastAsia="方正仿宋_GBK" w:cs="方正仿宋_GBK"/>
          <w:b w:val="0"/>
          <w:bCs w:val="0"/>
          <w:color w:val="auto"/>
          <w:sz w:val="32"/>
          <w:szCs w:val="32"/>
          <w:highlight w:val="none"/>
          <w:u w:val="none"/>
        </w:rPr>
        <w:t>推动人才政策、人才服务</w:t>
      </w:r>
      <w:r>
        <w:rPr>
          <w:rFonts w:hint="eastAsia" w:ascii="方正仿宋_GBK" w:hAnsi="方正仿宋_GBK" w:eastAsia="方正仿宋_GBK" w:cs="方正仿宋_GBK"/>
          <w:b w:val="0"/>
          <w:bCs w:val="0"/>
          <w:color w:val="auto"/>
          <w:sz w:val="32"/>
          <w:szCs w:val="32"/>
          <w:highlight w:val="none"/>
          <w:u w:val="none"/>
          <w:lang w:val="en-US" w:eastAsia="zh-CN"/>
        </w:rPr>
        <w:t>向技能人才倾斜</w:t>
      </w:r>
      <w:r>
        <w:rPr>
          <w:rFonts w:hint="eastAsia" w:ascii="方正仿宋_GBK" w:hAnsi="方正仿宋_GBK" w:eastAsia="方正仿宋_GBK" w:cs="方正仿宋_GBK"/>
          <w:b w:val="0"/>
          <w:bCs w:val="0"/>
          <w:color w:val="auto"/>
          <w:sz w:val="32"/>
          <w:szCs w:val="32"/>
          <w:highlight w:val="none"/>
          <w:u w:val="none"/>
          <w:lang w:eastAsia="zh-CN"/>
        </w:rPr>
        <w:t>。</w:t>
      </w:r>
      <w:r>
        <w:rPr>
          <w:rFonts w:hint="eastAsia" w:ascii="方正仿宋_GBK" w:hAnsi="方正仿宋_GBK" w:eastAsia="方正仿宋_GBK" w:cs="方正仿宋_GBK"/>
          <w:b w:val="0"/>
          <w:bCs w:val="0"/>
          <w:color w:val="auto"/>
          <w:sz w:val="32"/>
          <w:szCs w:val="32"/>
          <w:highlight w:val="none"/>
          <w:u w:val="none"/>
        </w:rPr>
        <w:t>弘扬工匠精神，实施“</w:t>
      </w:r>
      <w:r>
        <w:rPr>
          <w:rFonts w:hint="eastAsia" w:ascii="方正仿宋_GBK" w:hAnsi="方正仿宋_GBK" w:eastAsia="方正仿宋_GBK" w:cs="方正仿宋_GBK"/>
          <w:b w:val="0"/>
          <w:bCs w:val="0"/>
          <w:color w:val="auto"/>
          <w:sz w:val="32"/>
          <w:szCs w:val="32"/>
          <w:highlight w:val="none"/>
          <w:u w:val="none"/>
          <w:lang w:eastAsia="zh-CN"/>
        </w:rPr>
        <w:t>万盛</w:t>
      </w:r>
      <w:r>
        <w:rPr>
          <w:rFonts w:hint="eastAsia" w:ascii="方正仿宋_GBK" w:hAnsi="方正仿宋_GBK" w:eastAsia="方正仿宋_GBK" w:cs="方正仿宋_GBK"/>
          <w:b w:val="0"/>
          <w:bCs w:val="0"/>
          <w:color w:val="auto"/>
          <w:sz w:val="32"/>
          <w:szCs w:val="32"/>
          <w:highlight w:val="none"/>
          <w:u w:val="none"/>
        </w:rPr>
        <w:t>工匠”行动计划，大力培养智能人才、技能人才。完善以企业为主体、职业院校为基础，学校教育与企业培养紧密联系、政府推动与社会支持相结合的高技能人才培养培训体系，加快建设知识型、技能型、创新型高技能人才队伍。</w:t>
      </w:r>
      <w:r>
        <w:rPr>
          <w:rFonts w:ascii="Times New Roman" w:hAnsi="方正仿宋_GBK" w:eastAsia="方正仿宋_GBK" w:cs="Times New Roman"/>
          <w:b w:val="0"/>
          <w:bCs w:val="0"/>
          <w:color w:val="auto"/>
          <w:sz w:val="32"/>
          <w:szCs w:val="32"/>
          <w:highlight w:val="none"/>
          <w:u w:val="none"/>
        </w:rPr>
        <w:t>推动</w:t>
      </w:r>
      <w:r>
        <w:rPr>
          <w:rFonts w:hint="eastAsia" w:ascii="Times New Roman" w:hAnsi="方正仿宋_GBK" w:eastAsia="方正仿宋_GBK" w:cs="Times New Roman"/>
          <w:b w:val="0"/>
          <w:bCs w:val="0"/>
          <w:color w:val="auto"/>
          <w:sz w:val="32"/>
          <w:szCs w:val="32"/>
          <w:highlight w:val="none"/>
          <w:u w:val="none"/>
          <w:lang w:eastAsia="zh-CN"/>
        </w:rPr>
        <w:t>职业</w:t>
      </w:r>
      <w:r>
        <w:rPr>
          <w:rFonts w:ascii="Times New Roman" w:hAnsi="方正仿宋_GBK" w:eastAsia="方正仿宋_GBK" w:cs="Times New Roman"/>
          <w:b w:val="0"/>
          <w:bCs w:val="0"/>
          <w:color w:val="auto"/>
          <w:sz w:val="32"/>
          <w:szCs w:val="32"/>
          <w:highlight w:val="none"/>
          <w:u w:val="none"/>
        </w:rPr>
        <w:t>技能等</w:t>
      </w:r>
      <w:r>
        <w:rPr>
          <w:rFonts w:hint="eastAsia" w:hAnsi="方正仿宋_GBK" w:eastAsia="方正仿宋_GBK" w:cs="Times New Roman"/>
          <w:b w:val="0"/>
          <w:bCs w:val="0"/>
          <w:color w:val="auto"/>
          <w:sz w:val="32"/>
          <w:szCs w:val="32"/>
          <w:highlight w:val="none"/>
          <w:u w:val="none"/>
          <w:lang w:eastAsia="zh-CN"/>
        </w:rPr>
        <w:t>级</w:t>
      </w:r>
      <w:r>
        <w:rPr>
          <w:rFonts w:ascii="Times New Roman" w:hAnsi="方正仿宋_GBK" w:eastAsia="方正仿宋_GBK" w:cs="Times New Roman"/>
          <w:b w:val="0"/>
          <w:bCs w:val="0"/>
          <w:color w:val="auto"/>
          <w:sz w:val="32"/>
          <w:szCs w:val="32"/>
          <w:highlight w:val="none"/>
          <w:u w:val="none"/>
        </w:rPr>
        <w:t>评价</w:t>
      </w:r>
      <w:r>
        <w:rPr>
          <w:rFonts w:hint="eastAsia" w:ascii="Times New Roman" w:hAnsi="方正仿宋_GBK" w:eastAsia="方正仿宋_GBK" w:cs="Times New Roman"/>
          <w:b w:val="0"/>
          <w:bCs w:val="0"/>
          <w:color w:val="auto"/>
          <w:sz w:val="32"/>
          <w:szCs w:val="32"/>
          <w:highlight w:val="none"/>
          <w:u w:val="none"/>
          <w:lang w:eastAsia="zh-CN"/>
        </w:rPr>
        <w:t>制度</w:t>
      </w:r>
      <w:r>
        <w:rPr>
          <w:rFonts w:ascii="Times New Roman" w:hAnsi="方正仿宋_GBK" w:eastAsia="方正仿宋_GBK" w:cs="Times New Roman"/>
          <w:b w:val="0"/>
          <w:bCs w:val="0"/>
          <w:color w:val="auto"/>
          <w:sz w:val="32"/>
          <w:szCs w:val="32"/>
          <w:highlight w:val="none"/>
          <w:u w:val="none"/>
        </w:rPr>
        <w:t>改革</w:t>
      </w:r>
      <w:r>
        <w:rPr>
          <w:rFonts w:hint="eastAsia" w:ascii="Times New Roman" w:hAnsi="方正仿宋_GBK" w:eastAsia="方正仿宋_GBK" w:cs="Times New Roman"/>
          <w:b w:val="0"/>
          <w:bCs w:val="0"/>
          <w:color w:val="auto"/>
          <w:sz w:val="32"/>
          <w:szCs w:val="32"/>
          <w:highlight w:val="none"/>
          <w:u w:val="none"/>
          <w:lang w:eastAsia="zh-CN"/>
        </w:rPr>
        <w:t>，积极开展职业技能等级评价试点，</w:t>
      </w:r>
      <w:r>
        <w:rPr>
          <w:rFonts w:hint="eastAsia" w:ascii="Times New Roman" w:hAnsi="方正仿宋_GBK" w:eastAsia="方正仿宋_GBK" w:cs="Times New Roman"/>
          <w:b w:val="0"/>
          <w:bCs w:val="0"/>
          <w:color w:val="auto"/>
          <w:sz w:val="32"/>
          <w:szCs w:val="32"/>
          <w:highlight w:val="none"/>
          <w:u w:val="none"/>
          <w:lang w:val="en-US" w:eastAsia="zh-CN"/>
        </w:rPr>
        <w:t>推动更多符合条件的机构参与到其中，</w:t>
      </w:r>
      <w:r>
        <w:rPr>
          <w:rFonts w:hint="eastAsia" w:ascii="Times New Roman" w:hAnsi="方正仿宋_GBK" w:eastAsia="方正仿宋_GBK" w:cs="Times New Roman"/>
          <w:b w:val="0"/>
          <w:bCs w:val="0"/>
          <w:color w:val="auto"/>
          <w:sz w:val="32"/>
          <w:szCs w:val="32"/>
          <w:highlight w:val="none"/>
          <w:u w:val="none"/>
          <w:lang w:eastAsia="zh-CN"/>
        </w:rPr>
        <w:t>重点加大对技艺精湛的高技能人才评价力度，优化技能人才队伍结构。积极开展机关事业单位工勤人员职业技能等级考试考评</w:t>
      </w:r>
      <w:r>
        <w:rPr>
          <w:rFonts w:hint="eastAsia" w:ascii="Times New Roman" w:hAnsi="方正仿宋_GBK" w:eastAsia="方正仿宋_GBK" w:cs="Times New Roman"/>
          <w:b w:val="0"/>
          <w:bCs w:val="0"/>
          <w:color w:val="auto"/>
          <w:kern w:val="2"/>
          <w:sz w:val="32"/>
          <w:szCs w:val="32"/>
          <w:highlight w:val="none"/>
          <w:u w:val="none"/>
          <w:lang w:val="en-US" w:eastAsia="zh-CN" w:bidi="ar-SA"/>
        </w:rPr>
        <w:t>。全面拓展鉴定职业能力。建立高技能人才考评专家队伍，围绕</w:t>
      </w:r>
      <w:r>
        <w:rPr>
          <w:rFonts w:hint="eastAsia" w:hAnsi="方正仿宋_GBK" w:eastAsia="方正仿宋_GBK" w:cs="Times New Roman"/>
          <w:b w:val="0"/>
          <w:bCs w:val="0"/>
          <w:color w:val="auto"/>
          <w:kern w:val="2"/>
          <w:sz w:val="32"/>
          <w:szCs w:val="32"/>
          <w:highlight w:val="none"/>
          <w:u w:val="none"/>
          <w:lang w:val="en-US" w:eastAsia="zh-CN" w:bidi="ar-SA"/>
        </w:rPr>
        <w:t>新一代信息技术、新能源和新材料产业</w:t>
      </w:r>
      <w:r>
        <w:rPr>
          <w:rFonts w:hint="eastAsia" w:ascii="Times New Roman" w:hAnsi="方正仿宋_GBK" w:eastAsia="方正仿宋_GBK" w:cs="Times New Roman"/>
          <w:b w:val="0"/>
          <w:bCs w:val="0"/>
          <w:color w:val="auto"/>
          <w:kern w:val="2"/>
          <w:sz w:val="32"/>
          <w:szCs w:val="32"/>
          <w:highlight w:val="none"/>
          <w:u w:val="none"/>
          <w:lang w:val="en-US" w:eastAsia="zh-CN" w:bidi="ar-SA"/>
        </w:rPr>
        <w:t>等与区内重点产业相关的职业工种培育技能人才考评专家，重点</w:t>
      </w:r>
      <w:r>
        <w:rPr>
          <w:rFonts w:hint="eastAsia" w:hAnsi="方正仿宋_GBK" w:eastAsia="方正仿宋_GBK" w:cs="Times New Roman"/>
          <w:b w:val="0"/>
          <w:bCs w:val="0"/>
          <w:color w:val="auto"/>
          <w:kern w:val="2"/>
          <w:sz w:val="32"/>
          <w:szCs w:val="32"/>
          <w:highlight w:val="none"/>
          <w:u w:val="none"/>
          <w:lang w:val="en-US" w:eastAsia="zh-CN" w:bidi="ar-SA"/>
        </w:rPr>
        <w:t>从高级</w:t>
      </w:r>
      <w:r>
        <w:rPr>
          <w:rFonts w:hint="default" w:ascii="方正仿宋_GBK" w:hAnsi="Times New Roman" w:eastAsia="方正仿宋_GBK" w:cs="Times New Roman"/>
          <w:b w:val="0"/>
          <w:bCs w:val="0"/>
          <w:color w:val="auto"/>
          <w:sz w:val="32"/>
          <w:szCs w:val="32"/>
          <w:highlight w:val="none"/>
          <w:u w:val="none"/>
          <w:lang w:val="en-US" w:eastAsia="zh-CN"/>
        </w:rPr>
        <w:t>专业技术</w:t>
      </w:r>
      <w:r>
        <w:rPr>
          <w:rFonts w:hint="eastAsia" w:hAnsi="方正仿宋_GBK" w:eastAsia="方正仿宋_GBK" w:cs="Times New Roman"/>
          <w:b w:val="0"/>
          <w:bCs w:val="0"/>
          <w:color w:val="auto"/>
          <w:kern w:val="2"/>
          <w:sz w:val="32"/>
          <w:szCs w:val="32"/>
          <w:highlight w:val="none"/>
          <w:u w:val="none"/>
          <w:lang w:val="en-US" w:eastAsia="zh-CN" w:bidi="ar-SA"/>
        </w:rPr>
        <w:t>人才</w:t>
      </w:r>
      <w:r>
        <w:rPr>
          <w:rFonts w:hint="eastAsia" w:ascii="Times New Roman" w:hAnsi="方正仿宋_GBK" w:eastAsia="方正仿宋_GBK" w:cs="Times New Roman"/>
          <w:b w:val="0"/>
          <w:bCs w:val="0"/>
          <w:color w:val="auto"/>
          <w:kern w:val="2"/>
          <w:sz w:val="32"/>
          <w:szCs w:val="32"/>
          <w:highlight w:val="none"/>
          <w:u w:val="none"/>
          <w:lang w:val="en-US" w:eastAsia="zh-CN" w:bidi="ar-SA"/>
        </w:rPr>
        <w:t>中动员，为评价技能人才提供了专家队伍支撑。深入推进工程技术领域专业技术人才参加高技能人才评价工作，采取直接认定、综合评审和考核评价三种方式进行评价一批同时持有“双证”人才。</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lang w:val="en-US" w:eastAsia="zh-CN"/>
        </w:rPr>
      </w:pPr>
      <w:r>
        <w:rPr>
          <w:rFonts w:hint="eastAsia" w:ascii="方正楷体_GBK" w:hAnsi="方正楷体_GBK" w:eastAsia="方正楷体_GBK" w:cs="方正楷体_GBK"/>
          <w:b w:val="0"/>
          <w:bCs w:val="0"/>
          <w:color w:val="auto"/>
          <w:sz w:val="32"/>
          <w:szCs w:val="32"/>
          <w:highlight w:val="none"/>
          <w:u w:val="none"/>
          <w:lang w:val="en-US" w:eastAsia="zh-CN"/>
        </w:rPr>
        <w:t>第三节  持续推进事业单位人事制度改革</w:t>
      </w:r>
    </w:p>
    <w:p>
      <w:pPr>
        <w:keepNext w:val="0"/>
        <w:keepLines w:val="0"/>
        <w:pageBreakBefore w:val="0"/>
        <w:widowControl w:val="0"/>
        <w:kinsoku/>
        <w:wordWrap/>
        <w:overflowPunct/>
        <w:topLinePunct w:val="0"/>
        <w:autoSpaceDE/>
        <w:autoSpaceDN/>
        <w:bidi w:val="0"/>
        <w:adjustRightInd/>
        <w:snapToGrid/>
        <w:spacing w:line="594" w:lineRule="exact"/>
        <w:ind w:firstLine="630"/>
        <w:jc w:val="left"/>
        <w:textAlignment w:val="auto"/>
        <w:outlineLvl w:val="1"/>
        <w:rPr>
          <w:rFonts w:ascii="Times New Roman" w:hAnsi="Times New Roman" w:eastAsia="方正仿宋_GBK" w:cs="Times New Roman"/>
          <w:b w:val="0"/>
          <w:bCs w:val="0"/>
          <w:color w:val="auto"/>
          <w:kern w:val="0"/>
          <w:sz w:val="32"/>
          <w:szCs w:val="32"/>
          <w:highlight w:val="none"/>
          <w:u w:val="none"/>
        </w:rPr>
      </w:pPr>
      <w:r>
        <w:rPr>
          <w:rFonts w:hint="eastAsia" w:ascii="方正仿宋_GBK" w:eastAsia="方正仿宋_GBK"/>
          <w:b w:val="0"/>
          <w:bCs w:val="0"/>
          <w:color w:val="auto"/>
          <w:sz w:val="32"/>
          <w:szCs w:val="32"/>
          <w:highlight w:val="none"/>
          <w:u w:val="none"/>
          <w:lang w:eastAsia="zh-CN"/>
        </w:rPr>
        <w:t>继续深化事业单位人事制度改革，</w:t>
      </w:r>
      <w:r>
        <w:rPr>
          <w:rFonts w:eastAsia="方正仿宋_GBK"/>
          <w:b w:val="0"/>
          <w:bCs w:val="0"/>
          <w:color w:val="auto"/>
          <w:kern w:val="0"/>
          <w:sz w:val="32"/>
          <w:szCs w:val="32"/>
          <w:highlight w:val="none"/>
          <w:u w:val="none"/>
        </w:rPr>
        <w:t>完善岗位管理、公开招聘和聘用合同</w:t>
      </w:r>
      <w:r>
        <w:rPr>
          <w:rFonts w:hint="eastAsia" w:eastAsia="方正仿宋_GBK"/>
          <w:b w:val="0"/>
          <w:bCs w:val="0"/>
          <w:color w:val="auto"/>
          <w:kern w:val="0"/>
          <w:sz w:val="32"/>
          <w:szCs w:val="32"/>
          <w:highlight w:val="none"/>
          <w:u w:val="none"/>
          <w:lang w:eastAsia="zh-CN"/>
        </w:rPr>
        <w:t>等</w:t>
      </w:r>
      <w:r>
        <w:rPr>
          <w:rFonts w:eastAsia="方正仿宋_GBK"/>
          <w:b w:val="0"/>
          <w:bCs w:val="0"/>
          <w:color w:val="auto"/>
          <w:kern w:val="0"/>
          <w:sz w:val="32"/>
          <w:szCs w:val="32"/>
          <w:highlight w:val="none"/>
          <w:u w:val="none"/>
        </w:rPr>
        <w:t>制度</w:t>
      </w:r>
      <w:r>
        <w:rPr>
          <w:rFonts w:hint="eastAsia" w:eastAsia="方正仿宋_GBK"/>
          <w:b w:val="0"/>
          <w:bCs w:val="0"/>
          <w:color w:val="auto"/>
          <w:kern w:val="0"/>
          <w:sz w:val="32"/>
          <w:szCs w:val="32"/>
          <w:highlight w:val="none"/>
          <w:u w:val="none"/>
          <w:lang w:eastAsia="zh-CN"/>
        </w:rPr>
        <w:t>。</w:t>
      </w:r>
      <w:r>
        <w:rPr>
          <w:rFonts w:hint="eastAsia" w:ascii="Times New Roman" w:hAnsi="Times New Roman" w:eastAsia="方正仿宋_GBK" w:cs="Times New Roman"/>
          <w:b w:val="0"/>
          <w:bCs w:val="0"/>
          <w:color w:val="auto"/>
          <w:kern w:val="0"/>
          <w:sz w:val="32"/>
          <w:szCs w:val="32"/>
          <w:highlight w:val="none"/>
          <w:u w:val="none"/>
          <w:lang w:eastAsia="zh-CN"/>
        </w:rPr>
        <w:t>继续</w:t>
      </w:r>
      <w:r>
        <w:rPr>
          <w:rFonts w:ascii="Times New Roman" w:hAnsi="Times New Roman" w:eastAsia="方正仿宋_GBK" w:cs="Times New Roman"/>
          <w:b w:val="0"/>
          <w:bCs w:val="0"/>
          <w:color w:val="auto"/>
          <w:kern w:val="0"/>
          <w:sz w:val="32"/>
          <w:szCs w:val="32"/>
          <w:highlight w:val="none"/>
          <w:u w:val="none"/>
        </w:rPr>
        <w:t>实施岗位管理，全面推行和完善人员聘用制度。实现由固定用人向合同用人转变，由身份管理向岗位管理转变。</w:t>
      </w:r>
      <w:r>
        <w:rPr>
          <w:rFonts w:hint="eastAsia" w:ascii="Times New Roman" w:hAnsi="Times New Roman" w:eastAsia="方正仿宋_GBK" w:cs="Times New Roman"/>
          <w:b w:val="0"/>
          <w:bCs w:val="0"/>
          <w:color w:val="auto"/>
          <w:kern w:val="0"/>
          <w:sz w:val="32"/>
          <w:szCs w:val="32"/>
          <w:highlight w:val="none"/>
          <w:u w:val="none"/>
          <w:lang w:eastAsia="zh-CN"/>
        </w:rPr>
        <w:t>加强聘后管理，调动各类人员的积极性，探索</w:t>
      </w:r>
      <w:r>
        <w:rPr>
          <w:rFonts w:ascii="Times New Roman" w:hAnsi="Times New Roman" w:eastAsia="方正仿宋_GBK" w:cs="Times New Roman"/>
          <w:b w:val="0"/>
          <w:bCs w:val="0"/>
          <w:color w:val="auto"/>
          <w:kern w:val="0"/>
          <w:sz w:val="32"/>
          <w:szCs w:val="32"/>
          <w:highlight w:val="none"/>
          <w:u w:val="none"/>
        </w:rPr>
        <w:t>合理完善的考核制度，建立优胜劣汰、优上庸下、能出能进的灵活用人机制</w:t>
      </w:r>
      <w:r>
        <w:rPr>
          <w:rFonts w:hint="eastAsia" w:ascii="Times New Roman" w:hAnsi="Times New Roman" w:eastAsia="方正仿宋_GBK" w:cs="Times New Roman"/>
          <w:b w:val="0"/>
          <w:bCs w:val="0"/>
          <w:color w:val="auto"/>
          <w:kern w:val="0"/>
          <w:sz w:val="32"/>
          <w:szCs w:val="32"/>
          <w:highlight w:val="none"/>
          <w:u w:val="none"/>
          <w:lang w:eastAsia="zh-CN"/>
        </w:rPr>
        <w:t>。</w:t>
      </w:r>
      <w:r>
        <w:rPr>
          <w:rFonts w:hint="eastAsia" w:ascii="Times New Roman" w:hAnsi="Times New Roman" w:eastAsia="方正仿宋_GBK" w:cs="Times New Roman"/>
          <w:b w:val="0"/>
          <w:bCs w:val="0"/>
          <w:color w:val="auto"/>
          <w:kern w:val="0"/>
          <w:sz w:val="32"/>
          <w:szCs w:val="32"/>
          <w:highlight w:val="none"/>
          <w:u w:val="none"/>
        </w:rPr>
        <w:t>引入竞争机制，大力推行竞聘上岗制度和人员流动机制。疏通进出口，</w:t>
      </w:r>
      <w:r>
        <w:rPr>
          <w:rFonts w:hint="eastAsia" w:ascii="Times New Roman" w:hAnsi="Times New Roman" w:eastAsia="方正仿宋_GBK" w:cs="Times New Roman"/>
          <w:b w:val="0"/>
          <w:bCs w:val="0"/>
          <w:color w:val="auto"/>
          <w:kern w:val="0"/>
          <w:sz w:val="32"/>
          <w:szCs w:val="32"/>
          <w:highlight w:val="none"/>
          <w:u w:val="none"/>
          <w:lang w:eastAsia="zh-CN"/>
        </w:rPr>
        <w:t>继续</w:t>
      </w:r>
      <w:r>
        <w:rPr>
          <w:rFonts w:hint="eastAsia" w:ascii="Times New Roman" w:hAnsi="Times New Roman" w:eastAsia="方正仿宋_GBK" w:cs="Times New Roman"/>
          <w:b w:val="0"/>
          <w:bCs w:val="0"/>
          <w:color w:val="auto"/>
          <w:kern w:val="0"/>
          <w:sz w:val="32"/>
          <w:szCs w:val="32"/>
          <w:highlight w:val="none"/>
          <w:u w:val="none"/>
        </w:rPr>
        <w:t>全面实行公开招聘制度，</w:t>
      </w:r>
      <w:r>
        <w:rPr>
          <w:rFonts w:hint="eastAsia" w:ascii="Times New Roman" w:hAnsi="Times New Roman" w:eastAsia="方正仿宋_GBK" w:cs="Times New Roman"/>
          <w:b w:val="0"/>
          <w:bCs w:val="0"/>
          <w:color w:val="auto"/>
          <w:kern w:val="0"/>
          <w:sz w:val="32"/>
          <w:szCs w:val="32"/>
          <w:highlight w:val="none"/>
          <w:u w:val="none"/>
          <w:lang w:eastAsia="zh-CN"/>
        </w:rPr>
        <w:t>探索</w:t>
      </w:r>
      <w:r>
        <w:rPr>
          <w:rFonts w:hint="eastAsia" w:ascii="Times New Roman" w:hAnsi="Times New Roman" w:eastAsia="方正仿宋_GBK" w:cs="Times New Roman"/>
          <w:b w:val="0"/>
          <w:bCs w:val="0"/>
          <w:color w:val="auto"/>
          <w:kern w:val="0"/>
          <w:sz w:val="32"/>
          <w:szCs w:val="32"/>
          <w:highlight w:val="none"/>
          <w:u w:val="none"/>
        </w:rPr>
        <w:t>建立和完善人员</w:t>
      </w:r>
      <w:r>
        <w:rPr>
          <w:rFonts w:hint="eastAsia" w:ascii="Times New Roman" w:hAnsi="Times New Roman" w:eastAsia="方正仿宋_GBK" w:cs="Times New Roman"/>
          <w:b w:val="0"/>
          <w:bCs w:val="0"/>
          <w:color w:val="auto"/>
          <w:kern w:val="0"/>
          <w:sz w:val="32"/>
          <w:szCs w:val="32"/>
          <w:highlight w:val="none"/>
          <w:u w:val="none"/>
          <w:lang w:eastAsia="zh-CN"/>
        </w:rPr>
        <w:t>进出</w:t>
      </w:r>
      <w:r>
        <w:rPr>
          <w:rFonts w:hint="eastAsia" w:ascii="Times New Roman" w:hAnsi="Times New Roman" w:eastAsia="方正仿宋_GBK" w:cs="Times New Roman"/>
          <w:b w:val="0"/>
          <w:bCs w:val="0"/>
          <w:color w:val="auto"/>
          <w:kern w:val="0"/>
          <w:sz w:val="32"/>
          <w:szCs w:val="32"/>
          <w:highlight w:val="none"/>
          <w:u w:val="none"/>
        </w:rPr>
        <w:t>机制。</w:t>
      </w:r>
      <w:r>
        <w:rPr>
          <w:rFonts w:eastAsia="方正仿宋_GBK"/>
          <w:b w:val="0"/>
          <w:bCs w:val="0"/>
          <w:color w:val="auto"/>
          <w:kern w:val="0"/>
          <w:sz w:val="32"/>
          <w:szCs w:val="32"/>
          <w:highlight w:val="none"/>
          <w:u w:val="none"/>
        </w:rPr>
        <w:t>按照国家</w:t>
      </w:r>
      <w:r>
        <w:rPr>
          <w:rFonts w:hint="eastAsia" w:eastAsia="方正仿宋_GBK"/>
          <w:b w:val="0"/>
          <w:bCs w:val="0"/>
          <w:color w:val="auto"/>
          <w:kern w:val="0"/>
          <w:sz w:val="32"/>
          <w:szCs w:val="32"/>
          <w:highlight w:val="none"/>
          <w:u w:val="none"/>
          <w:lang w:eastAsia="zh-CN"/>
        </w:rPr>
        <w:t>和全市</w:t>
      </w:r>
      <w:r>
        <w:rPr>
          <w:rFonts w:eastAsia="方正仿宋_GBK"/>
          <w:b w:val="0"/>
          <w:bCs w:val="0"/>
          <w:color w:val="auto"/>
          <w:kern w:val="0"/>
          <w:sz w:val="32"/>
          <w:szCs w:val="32"/>
          <w:highlight w:val="none"/>
          <w:u w:val="none"/>
        </w:rPr>
        <w:t>统一部署，适时</w:t>
      </w:r>
      <w:r>
        <w:rPr>
          <w:rFonts w:hint="eastAsia" w:eastAsia="方正仿宋_GBK"/>
          <w:b w:val="0"/>
          <w:bCs w:val="0"/>
          <w:color w:val="auto"/>
          <w:kern w:val="0"/>
          <w:sz w:val="32"/>
          <w:szCs w:val="32"/>
          <w:highlight w:val="none"/>
          <w:u w:val="none"/>
          <w:lang w:eastAsia="zh-CN"/>
        </w:rPr>
        <w:t>推进</w:t>
      </w:r>
      <w:r>
        <w:rPr>
          <w:rFonts w:ascii="Times New Roman" w:hAnsi="Times New Roman" w:eastAsia="方正仿宋_GBK" w:cs="Times New Roman"/>
          <w:b w:val="0"/>
          <w:bCs w:val="0"/>
          <w:color w:val="auto"/>
          <w:kern w:val="0"/>
          <w:sz w:val="32"/>
          <w:szCs w:val="32"/>
          <w:highlight w:val="none"/>
          <w:u w:val="none"/>
        </w:rPr>
        <w:t>县以下事业单位管理岗位职员等级晋升制度</w:t>
      </w:r>
      <w:r>
        <w:rPr>
          <w:rFonts w:eastAsia="方正仿宋_GBK"/>
          <w:b w:val="0"/>
          <w:bCs w:val="0"/>
          <w:color w:val="auto"/>
          <w:kern w:val="0"/>
          <w:sz w:val="32"/>
          <w:szCs w:val="32"/>
          <w:highlight w:val="none"/>
          <w:u w:val="none"/>
        </w:rPr>
        <w:t>等工作。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第四节  改革完善事业单位工资制度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b w:val="0"/>
          <w:bCs w:val="0"/>
          <w:color w:val="auto"/>
          <w:sz w:val="32"/>
          <w:szCs w:val="32"/>
          <w:highlight w:val="none"/>
          <w:u w:val="none"/>
          <w:lang w:val="en-US" w:eastAsia="zh-CN"/>
        </w:rPr>
      </w:pPr>
      <w:r>
        <w:rPr>
          <w:rFonts w:hint="eastAsia" w:ascii="方正仿宋_GBK" w:hAnsi="方正仿宋_GBK" w:eastAsia="方正仿宋_GBK" w:cs="方正仿宋_GBK"/>
          <w:b w:val="0"/>
          <w:bCs w:val="0"/>
          <w:color w:val="auto"/>
          <w:sz w:val="32"/>
          <w:szCs w:val="32"/>
          <w:highlight w:val="none"/>
          <w:u w:val="none"/>
        </w:rPr>
        <w:t>按照国家和市级部署，完善事业单位岗位绩效工资制度，落实符合机关事业单位不同行业特点的收入分配制度。完善事业单位高层次人才激励机制，探索中职学校绩效工资倾斜办法，巩固公立医院薪酬制度改革成效，构建充分体现知识、技术等创新要素价值的事业单位收益分配机制。落实对基层和艰苦边远地区事业单位工作人员的工资待遇倾斜政策，落实义务教育教师工资待遇保障机制。完善特殊岗位津贴补贴制度，强化福利政策。加强机关事业单位工资管理、指导、监督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b w:val="0"/>
          <w:bCs w:val="0"/>
          <w:color w:val="auto"/>
          <w:kern w:val="0"/>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lang w:val="en-US" w:eastAsia="zh-CN"/>
        </w:rPr>
      </w:pPr>
      <w:r>
        <w:rPr>
          <w:rFonts w:hint="eastAsia" w:ascii="方正楷体_GBK" w:hAnsi="方正楷体_GBK" w:eastAsia="方正楷体_GBK" w:cs="方正楷体_GBK"/>
          <w:b w:val="0"/>
          <w:bCs w:val="0"/>
          <w:color w:val="auto"/>
          <w:sz w:val="32"/>
          <w:szCs w:val="32"/>
          <w:highlight w:val="none"/>
          <w:u w:val="none"/>
          <w:lang w:val="en-US" w:eastAsia="zh-CN"/>
        </w:rPr>
        <w:t>第五节  促进人才顺畅有序流动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b w:val="0"/>
          <w:bCs w:val="0"/>
          <w:color w:val="auto"/>
          <w:kern w:val="0"/>
          <w:sz w:val="32"/>
          <w:szCs w:val="32"/>
          <w:highlight w:val="none"/>
          <w:u w:val="none"/>
          <w:lang w:val="en-US" w:eastAsia="zh-CN" w:bidi="ar-SA"/>
        </w:rPr>
      </w:pPr>
      <w:r>
        <w:rPr>
          <w:rFonts w:hint="eastAsia" w:ascii="Times New Roman" w:hAnsi="Times New Roman" w:eastAsia="方正仿宋_GBK" w:cs="Times New Roman"/>
          <w:b w:val="0"/>
          <w:bCs w:val="0"/>
          <w:color w:val="auto"/>
          <w:kern w:val="0"/>
          <w:sz w:val="32"/>
          <w:szCs w:val="32"/>
          <w:highlight w:val="none"/>
          <w:u w:val="none"/>
          <w:lang w:val="en-US" w:eastAsia="zh-CN" w:bidi="ar-SA"/>
        </w:rPr>
        <w:t>充分发挥市场在人才资源配置中的决定性作用，更好发挥政府作用，进一步打破户籍、地域、身份、学历、人事关系等制约，加快人事档案管理服务信息化建设，完善社会保险转移接续办法，为人才流动、合理配置提供便利条件。健全人才向基层一线流动激励政策措施，加大职称、工资等政策倾斜力度，鼓励人才向最需要的地方流动。创新双向挂职、对口支援、短期工作、项目合作、兼职等灵活多样的人才柔性流动政策，组织各类人才开展学术交流、创业沙龙、技能培训、技能大赛和创新创业大赛等人才服务活动。深入实施专家服务基层行动计划，建立服务基层长效机制。进一步完善引导和鼓励高校毕业生到基层工作的政策措施，建立人才补充新机制。统筹实施高校毕业生基层服务项目，加大基层急需紧缺专业毕业生选派力度，切实落实工作生活补贴、参加社会保险等相关待遇，采取有效措施鼓励服务期满后留在基层工作。</w:t>
      </w:r>
      <w:r>
        <w:rPr>
          <w:rFonts w:hint="eastAsia" w:ascii="方正仿宋_GBK" w:hAnsi="方正仿宋_GBK" w:eastAsia="方正仿宋_GBK" w:cs="方正仿宋_GBK"/>
          <w:b w:val="0"/>
          <w:bCs w:val="0"/>
          <w:color w:val="auto"/>
          <w:sz w:val="32"/>
          <w:szCs w:val="32"/>
          <w:highlight w:val="none"/>
          <w:u w:val="none"/>
        </w:rPr>
        <w:t>全方位培养、引进、用好人才，加快引育创新型、应用型、技能型人才。</w:t>
      </w:r>
      <w:r>
        <w:rPr>
          <w:rFonts w:hint="eastAsia" w:ascii="方正仿宋_GBK" w:hAnsi="方正仿宋_GBK" w:eastAsia="方正仿宋_GBK" w:cs="方正仿宋_GBK"/>
          <w:b w:val="0"/>
          <w:bCs w:val="0"/>
          <w:color w:val="auto"/>
          <w:sz w:val="32"/>
          <w:szCs w:val="32"/>
          <w:highlight w:val="none"/>
          <w:u w:val="none"/>
          <w:lang w:eastAsia="zh-CN"/>
        </w:rPr>
        <w:t>配合</w:t>
      </w:r>
      <w:r>
        <w:rPr>
          <w:rFonts w:hint="eastAsia" w:ascii="方正仿宋_GBK" w:hAnsi="方正仿宋_GBK" w:eastAsia="方正仿宋_GBK" w:cs="方正仿宋_GBK"/>
          <w:b w:val="0"/>
          <w:bCs w:val="0"/>
          <w:color w:val="auto"/>
          <w:sz w:val="32"/>
          <w:szCs w:val="32"/>
          <w:highlight w:val="none"/>
          <w:u w:val="none"/>
        </w:rPr>
        <w:t>实施重庆英才计划，</w:t>
      </w:r>
      <w:r>
        <w:rPr>
          <w:rFonts w:hint="eastAsia" w:ascii="方正仿宋_GBK" w:hAnsi="方正仿宋_GBK" w:eastAsia="方正仿宋_GBK" w:cs="方正仿宋_GBK"/>
          <w:b w:val="0"/>
          <w:bCs w:val="0"/>
          <w:color w:val="auto"/>
          <w:sz w:val="32"/>
          <w:szCs w:val="32"/>
          <w:highlight w:val="none"/>
          <w:u w:val="none"/>
          <w:lang w:eastAsia="zh-CN"/>
        </w:rPr>
        <w:t>依托</w:t>
      </w:r>
      <w:r>
        <w:rPr>
          <w:rFonts w:hint="eastAsia" w:ascii="方正仿宋_GBK" w:hAnsi="方正仿宋_GBK" w:eastAsia="方正仿宋_GBK" w:cs="方正仿宋_GBK"/>
          <w:b w:val="0"/>
          <w:bCs w:val="0"/>
          <w:color w:val="auto"/>
          <w:sz w:val="32"/>
          <w:szCs w:val="32"/>
          <w:highlight w:val="none"/>
          <w:u w:val="none"/>
        </w:rPr>
        <w:t>重庆英才大会</w:t>
      </w:r>
      <w:r>
        <w:rPr>
          <w:rFonts w:hint="eastAsia" w:ascii="方正仿宋_GBK" w:hAnsi="方正仿宋_GBK" w:eastAsia="方正仿宋_GBK" w:cs="方正仿宋_GBK"/>
          <w:b w:val="0"/>
          <w:bCs w:val="0"/>
          <w:color w:val="auto"/>
          <w:sz w:val="32"/>
          <w:szCs w:val="32"/>
          <w:highlight w:val="none"/>
          <w:u w:val="none"/>
          <w:lang w:eastAsia="zh-CN"/>
        </w:rPr>
        <w:t>加大对高端人才的引进</w:t>
      </w:r>
      <w:r>
        <w:rPr>
          <w:rFonts w:hint="eastAsia" w:ascii="方正仿宋_GBK" w:hAnsi="方正仿宋_GBK" w:eastAsia="方正仿宋_GBK" w:cs="方正仿宋_GBK"/>
          <w:b w:val="0"/>
          <w:bCs w:val="0"/>
          <w:color w:val="auto"/>
          <w:sz w:val="32"/>
          <w:szCs w:val="32"/>
          <w:highlight w:val="none"/>
          <w:u w:val="none"/>
        </w:rPr>
        <w:t>。</w:t>
      </w:r>
      <w:r>
        <w:rPr>
          <w:rFonts w:hint="eastAsia" w:ascii="方正仿宋_GBK" w:hAnsi="方正仿宋_GBK" w:eastAsia="方正仿宋_GBK" w:cs="方正仿宋_GBK"/>
          <w:b w:val="0"/>
          <w:bCs w:val="0"/>
          <w:color w:val="auto"/>
          <w:sz w:val="32"/>
          <w:szCs w:val="32"/>
          <w:highlight w:val="none"/>
          <w:u w:val="none"/>
          <w:lang w:eastAsia="zh-CN"/>
        </w:rPr>
        <w:t>积极参加</w:t>
      </w:r>
      <w:r>
        <w:rPr>
          <w:rFonts w:hint="eastAsia" w:ascii="方正仿宋_GBK" w:hAnsi="方正仿宋_GBK" w:eastAsia="方正仿宋_GBK" w:cs="方正仿宋_GBK"/>
          <w:b w:val="0"/>
          <w:bCs w:val="0"/>
          <w:color w:val="auto"/>
          <w:sz w:val="32"/>
          <w:szCs w:val="32"/>
          <w:highlight w:val="none"/>
          <w:u w:val="none"/>
        </w:rPr>
        <w:t>百万英才兴重庆系列引才活动，</w:t>
      </w:r>
      <w:r>
        <w:rPr>
          <w:rFonts w:hint="eastAsia" w:ascii="方正仿宋_GBK" w:hAnsi="方正仿宋_GBK" w:eastAsia="方正仿宋_GBK" w:cs="方正仿宋_GBK"/>
          <w:b w:val="0"/>
          <w:bCs w:val="0"/>
          <w:color w:val="auto"/>
          <w:sz w:val="32"/>
          <w:szCs w:val="32"/>
          <w:highlight w:val="none"/>
          <w:u w:val="none"/>
          <w:lang w:eastAsia="zh-CN"/>
        </w:rPr>
        <w:t>吸引</w:t>
      </w:r>
      <w:r>
        <w:rPr>
          <w:rFonts w:hint="eastAsia" w:ascii="方正仿宋_GBK" w:hAnsi="方正仿宋_GBK" w:eastAsia="方正仿宋_GBK" w:cs="方正仿宋_GBK"/>
          <w:b w:val="0"/>
          <w:bCs w:val="0"/>
          <w:color w:val="auto"/>
          <w:sz w:val="32"/>
          <w:szCs w:val="32"/>
          <w:highlight w:val="none"/>
          <w:u w:val="none"/>
        </w:rPr>
        <w:t>大批“高精尖缺”人才</w:t>
      </w:r>
      <w:r>
        <w:rPr>
          <w:rFonts w:hint="eastAsia" w:ascii="方正仿宋_GBK" w:hAnsi="方正仿宋_GBK" w:eastAsia="方正仿宋_GBK" w:cs="方正仿宋_GBK"/>
          <w:b w:val="0"/>
          <w:bCs w:val="0"/>
          <w:color w:val="auto"/>
          <w:sz w:val="32"/>
          <w:szCs w:val="32"/>
          <w:highlight w:val="none"/>
          <w:u w:val="none"/>
          <w:lang w:eastAsia="zh-CN"/>
        </w:rPr>
        <w:t>工作在万盛</w:t>
      </w:r>
      <w:r>
        <w:rPr>
          <w:rFonts w:hint="eastAsia" w:ascii="方正仿宋_GBK" w:hAnsi="方正仿宋_GBK" w:eastAsia="方正仿宋_GBK" w:cs="方正仿宋_GBK"/>
          <w:b w:val="0"/>
          <w:bCs w:val="0"/>
          <w:color w:val="auto"/>
          <w:sz w:val="32"/>
          <w:szCs w:val="32"/>
          <w:highlight w:val="none"/>
          <w:u w:val="none"/>
        </w:rPr>
        <w:t>。继续提升人事考试招聘规范化和科学化水平，科学制定全区人事考试工作计划</w:t>
      </w:r>
      <w:r>
        <w:rPr>
          <w:rFonts w:hint="eastAsia" w:ascii="方正仿宋_GBK" w:hAnsi="方正仿宋_GBK" w:eastAsia="方正仿宋_GBK" w:cs="方正仿宋_GBK"/>
          <w:b w:val="0"/>
          <w:bCs w:val="0"/>
          <w:color w:val="auto"/>
          <w:sz w:val="32"/>
          <w:szCs w:val="32"/>
          <w:highlight w:val="none"/>
          <w:u w:val="none"/>
          <w:lang w:eastAsia="zh-CN"/>
        </w:rPr>
        <w:t>。</w:t>
      </w:r>
      <w:r>
        <w:rPr>
          <w:rFonts w:hint="eastAsia" w:ascii="方正仿宋_GBK" w:hAnsi="方正仿宋_GBK" w:eastAsia="方正仿宋_GBK" w:cs="方正仿宋_GBK"/>
          <w:b w:val="0"/>
          <w:bCs w:val="0"/>
          <w:color w:val="auto"/>
          <w:sz w:val="32"/>
          <w:szCs w:val="32"/>
          <w:highlight w:val="none"/>
          <w:u w:val="none"/>
        </w:rPr>
        <w:t>加强考试组织监管，</w:t>
      </w:r>
      <w:r>
        <w:rPr>
          <w:rFonts w:hint="eastAsia" w:ascii="方正仿宋_GBK" w:hAnsi="方正仿宋_GBK" w:eastAsia="方正仿宋_GBK" w:cs="方正仿宋_GBK"/>
          <w:b w:val="0"/>
          <w:bCs w:val="0"/>
          <w:color w:val="auto"/>
          <w:sz w:val="32"/>
          <w:szCs w:val="32"/>
          <w:highlight w:val="none"/>
          <w:u w:val="none"/>
          <w:lang w:eastAsia="zh-CN"/>
        </w:rPr>
        <w:t>强化</w:t>
      </w:r>
      <w:r>
        <w:rPr>
          <w:rFonts w:hint="eastAsia" w:ascii="方正仿宋_GBK" w:hAnsi="方正仿宋_GBK" w:eastAsia="方正仿宋_GBK" w:cs="方正仿宋_GBK"/>
          <w:b w:val="0"/>
          <w:bCs w:val="0"/>
          <w:color w:val="auto"/>
          <w:sz w:val="32"/>
          <w:szCs w:val="32"/>
          <w:highlight w:val="none"/>
          <w:u w:val="none"/>
        </w:rPr>
        <w:t>与其他部门间的协调配合，形成考试安全监管工作合力。</w:t>
      </w:r>
      <w:r>
        <w:rPr>
          <w:rFonts w:hint="eastAsia" w:ascii="方正仿宋_GBK" w:hAnsi="方正仿宋_GBK" w:eastAsia="方正仿宋_GBK" w:cs="方正仿宋_GBK"/>
          <w:b w:val="0"/>
          <w:bCs w:val="0"/>
          <w:color w:val="auto"/>
          <w:sz w:val="32"/>
          <w:szCs w:val="32"/>
          <w:highlight w:val="none"/>
          <w:u w:val="none"/>
          <w:lang w:val="en-US" w:eastAsia="zh-CN"/>
        </w:rPr>
        <w:t>做好</w:t>
      </w:r>
      <w:r>
        <w:rPr>
          <w:rFonts w:hint="eastAsia" w:ascii="Times New Roman" w:hAnsi="Times New Roman" w:eastAsia="方正仿宋_GBK" w:cs="Times New Roman"/>
          <w:b w:val="0"/>
          <w:bCs w:val="0"/>
          <w:color w:val="auto"/>
          <w:kern w:val="0"/>
          <w:sz w:val="32"/>
          <w:szCs w:val="32"/>
          <w:highlight w:val="none"/>
          <w:u w:val="none"/>
        </w:rPr>
        <w:t>市级部门及以上层级功勋荣誉表彰的评选推荐工作，</w:t>
      </w:r>
      <w:r>
        <w:rPr>
          <w:rFonts w:hint="eastAsia" w:eastAsia="方正仿宋_GBK" w:cs="Times New Roman"/>
          <w:b w:val="0"/>
          <w:bCs w:val="0"/>
          <w:color w:val="auto"/>
          <w:kern w:val="0"/>
          <w:sz w:val="32"/>
          <w:szCs w:val="32"/>
          <w:highlight w:val="none"/>
          <w:u w:val="none"/>
          <w:lang w:val="en-US" w:eastAsia="zh-CN"/>
        </w:rPr>
        <w:t>做好</w:t>
      </w:r>
      <w:r>
        <w:rPr>
          <w:rFonts w:hint="eastAsia" w:ascii="Times New Roman" w:hAnsi="Times New Roman" w:eastAsia="方正仿宋_GBK" w:cs="Times New Roman"/>
          <w:b w:val="0"/>
          <w:bCs w:val="0"/>
          <w:color w:val="auto"/>
          <w:kern w:val="0"/>
          <w:sz w:val="32"/>
          <w:szCs w:val="32"/>
          <w:highlight w:val="none"/>
          <w:u w:val="none"/>
        </w:rPr>
        <w:t>全区评比达标表彰工作</w:t>
      </w:r>
      <w:r>
        <w:rPr>
          <w:rFonts w:hint="eastAsia" w:ascii="Times New Roman" w:hAnsi="Times New Roman" w:eastAsia="方正仿宋_GBK" w:cs="Times New Roman"/>
          <w:b w:val="0"/>
          <w:bCs w:val="0"/>
          <w:color w:val="auto"/>
          <w:kern w:val="0"/>
          <w:sz w:val="32"/>
          <w:szCs w:val="32"/>
          <w:highlight w:val="none"/>
          <w:u w:val="none"/>
          <w:lang w:eastAsia="zh-CN"/>
        </w:rPr>
        <w:t>。</w:t>
      </w:r>
      <w:r>
        <w:rPr>
          <w:rFonts w:hint="default" w:ascii="Times New Roman" w:hAnsi="Times New Roman" w:eastAsia="方正仿宋_GBK" w:cs="Times New Roman"/>
          <w:b w:val="0"/>
          <w:bCs w:val="0"/>
          <w:color w:val="auto"/>
          <w:kern w:val="0"/>
          <w:sz w:val="32"/>
          <w:szCs w:val="32"/>
          <w:highlight w:val="none"/>
          <w:u w:val="none"/>
          <w:lang w:val="en-US" w:eastAsia="zh-CN" w:bidi="ar-SA"/>
        </w:rPr>
        <w:t>完善体制机制，确保表彰</w:t>
      </w:r>
      <w:r>
        <w:rPr>
          <w:rFonts w:hint="eastAsia" w:ascii="Times New Roman" w:hAnsi="Times New Roman" w:eastAsia="方正仿宋_GBK" w:cs="Times New Roman"/>
          <w:b w:val="0"/>
          <w:bCs w:val="0"/>
          <w:color w:val="auto"/>
          <w:kern w:val="0"/>
          <w:sz w:val="32"/>
          <w:szCs w:val="32"/>
          <w:highlight w:val="none"/>
          <w:u w:val="none"/>
          <w:lang w:val="en-US" w:eastAsia="zh-CN" w:bidi="ar-SA"/>
        </w:rPr>
        <w:t>奖励</w:t>
      </w:r>
      <w:r>
        <w:rPr>
          <w:rFonts w:hint="default" w:ascii="Times New Roman" w:hAnsi="Times New Roman" w:eastAsia="方正仿宋_GBK" w:cs="Times New Roman"/>
          <w:b w:val="0"/>
          <w:bCs w:val="0"/>
          <w:color w:val="auto"/>
          <w:kern w:val="0"/>
          <w:sz w:val="32"/>
          <w:szCs w:val="32"/>
          <w:highlight w:val="none"/>
          <w:u w:val="none"/>
          <w:lang w:val="en-US" w:eastAsia="zh-CN" w:bidi="ar-SA"/>
        </w:rPr>
        <w:t>工作有序开展。严把推荐关口，提升表彰</w:t>
      </w:r>
      <w:r>
        <w:rPr>
          <w:rFonts w:hint="eastAsia" w:ascii="Times New Roman" w:hAnsi="Times New Roman" w:eastAsia="方正仿宋_GBK" w:cs="Times New Roman"/>
          <w:b w:val="0"/>
          <w:bCs w:val="0"/>
          <w:color w:val="auto"/>
          <w:kern w:val="0"/>
          <w:sz w:val="32"/>
          <w:szCs w:val="32"/>
          <w:highlight w:val="none"/>
          <w:u w:val="none"/>
          <w:lang w:val="en-US" w:eastAsia="zh-CN" w:bidi="ar-SA"/>
        </w:rPr>
        <w:t>奖励</w:t>
      </w:r>
      <w:r>
        <w:rPr>
          <w:rFonts w:hint="default" w:ascii="Times New Roman" w:hAnsi="Times New Roman" w:eastAsia="方正仿宋_GBK" w:cs="Times New Roman"/>
          <w:b w:val="0"/>
          <w:bCs w:val="0"/>
          <w:color w:val="auto"/>
          <w:kern w:val="0"/>
          <w:sz w:val="32"/>
          <w:szCs w:val="32"/>
          <w:highlight w:val="none"/>
          <w:u w:val="none"/>
          <w:lang w:val="en-US" w:eastAsia="zh-CN" w:bidi="ar-SA"/>
        </w:rPr>
        <w:t>对象社会认可度</w:t>
      </w:r>
      <w:r>
        <w:rPr>
          <w:rFonts w:hint="eastAsia" w:ascii="Times New Roman" w:hAnsi="Times New Roman" w:eastAsia="方正仿宋_GBK" w:cs="Times New Roman"/>
          <w:b w:val="0"/>
          <w:bCs w:val="0"/>
          <w:color w:val="auto"/>
          <w:kern w:val="0"/>
          <w:sz w:val="32"/>
          <w:szCs w:val="32"/>
          <w:highlight w:val="none"/>
          <w:u w:val="none"/>
          <w:lang w:val="en-US" w:eastAsia="zh-CN" w:bidi="ar-SA"/>
        </w:rPr>
        <w:t>，体现时代性、导向性、实效性，丰富奖励形式，发挥</w:t>
      </w:r>
      <w:r>
        <w:rPr>
          <w:rFonts w:hint="eastAsia" w:eastAsia="方正仿宋_GBK" w:cs="Times New Roman"/>
          <w:b w:val="0"/>
          <w:bCs w:val="0"/>
          <w:color w:val="auto"/>
          <w:kern w:val="0"/>
          <w:sz w:val="32"/>
          <w:szCs w:val="32"/>
          <w:highlight w:val="none"/>
          <w:u w:val="none"/>
          <w:lang w:val="en-US" w:eastAsia="zh-CN" w:bidi="ar-SA"/>
        </w:rPr>
        <w:t>表彰</w:t>
      </w:r>
      <w:r>
        <w:rPr>
          <w:rFonts w:hint="eastAsia" w:ascii="Times New Roman" w:hAnsi="Times New Roman" w:eastAsia="方正仿宋_GBK" w:cs="Times New Roman"/>
          <w:b w:val="0"/>
          <w:bCs w:val="0"/>
          <w:color w:val="auto"/>
          <w:kern w:val="0"/>
          <w:sz w:val="32"/>
          <w:szCs w:val="32"/>
          <w:highlight w:val="none"/>
          <w:u w:val="none"/>
          <w:lang w:val="en-US" w:eastAsia="zh-CN" w:bidi="ar-SA"/>
        </w:rPr>
        <w:t>奖励的正向激励作用。</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both"/>
        <w:textAlignment w:val="auto"/>
        <w:outlineLvl w:val="9"/>
        <w:rPr>
          <w:rFonts w:hint="eastAsia"/>
          <w:b w:val="0"/>
          <w:bCs w:val="0"/>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sz w:val="28"/>
          <w:szCs w:val="28"/>
          <w:highlight w:val="none"/>
          <w:u w:val="none"/>
        </w:rPr>
      </w:pPr>
      <w:r>
        <w:rPr>
          <w:rFonts w:hint="default" w:ascii="Times New Roman" w:hAnsi="Times New Roman" w:eastAsia="方正黑体_GBK" w:cs="Times New Roman"/>
          <w:b w:val="0"/>
          <w:bCs w:val="0"/>
          <w:color w:val="auto"/>
          <w:sz w:val="28"/>
          <w:szCs w:val="28"/>
          <w:highlight w:val="none"/>
          <w:u w:val="none"/>
        </w:rPr>
        <w:t>专栏</w:t>
      </w:r>
      <w:r>
        <w:rPr>
          <w:rFonts w:hint="eastAsia" w:eastAsia="方正黑体_GBK" w:cs="Times New Roman"/>
          <w:b w:val="0"/>
          <w:bCs w:val="0"/>
          <w:color w:val="auto"/>
          <w:sz w:val="28"/>
          <w:szCs w:val="28"/>
          <w:highlight w:val="none"/>
          <w:u w:val="none"/>
          <w:lang w:val="en-US" w:eastAsia="zh-CN"/>
        </w:rPr>
        <w:t>6</w:t>
      </w:r>
      <w:r>
        <w:rPr>
          <w:rFonts w:hint="default" w:ascii="Times New Roman" w:hAnsi="Times New Roman" w:eastAsia="方正黑体_GBK" w:cs="Times New Roman"/>
          <w:b w:val="0"/>
          <w:bCs w:val="0"/>
          <w:color w:val="auto"/>
          <w:sz w:val="28"/>
          <w:szCs w:val="28"/>
          <w:highlight w:val="none"/>
          <w:u w:val="none"/>
        </w:rPr>
        <w:t xml:space="preserve">  人才人事系列支持计划</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26" w:type="dxa"/>
            <w:noWrap w:val="0"/>
            <w:vAlign w:val="top"/>
          </w:tcPr>
          <w:p>
            <w:pPr>
              <w:pStyle w:val="11"/>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pacing w:line="400" w:lineRule="exact"/>
              <w:ind w:left="0" w:leftChars="0" w:right="0" w:rightChars="0" w:firstLine="482"/>
              <w:jc w:val="both"/>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黑体_GBK" w:cs="Times New Roman"/>
                <w:b w:val="0"/>
                <w:bCs w:val="0"/>
                <w:color w:val="auto"/>
                <w:kern w:val="0"/>
                <w:sz w:val="24"/>
                <w:szCs w:val="24"/>
                <w:highlight w:val="none"/>
                <w:u w:val="none"/>
              </w:rPr>
              <w:t>1.博士后创新人才支持计划。</w:t>
            </w:r>
            <w:r>
              <w:rPr>
                <w:rFonts w:hint="eastAsia" w:ascii="Times New Roman" w:hAnsi="Times New Roman" w:eastAsia="方正仿宋_GBK" w:cs="Times New Roman"/>
                <w:b w:val="0"/>
                <w:bCs w:val="0"/>
                <w:color w:val="auto"/>
                <w:kern w:val="0"/>
                <w:sz w:val="24"/>
                <w:szCs w:val="24"/>
                <w:highlight w:val="none"/>
                <w:u w:val="none"/>
                <w:lang w:eastAsia="zh-CN"/>
              </w:rPr>
              <w:t>建成博士后科研工作站</w:t>
            </w:r>
            <w:r>
              <w:rPr>
                <w:rFonts w:hint="eastAsia" w:eastAsia="方正仿宋_GBK" w:cs="Times New Roman"/>
                <w:b w:val="0"/>
                <w:bCs w:val="0"/>
                <w:color w:val="auto"/>
                <w:kern w:val="0"/>
                <w:sz w:val="24"/>
                <w:szCs w:val="24"/>
                <w:highlight w:val="none"/>
                <w:u w:val="none"/>
                <w:lang w:val="en-US" w:eastAsia="zh-CN"/>
              </w:rPr>
              <w:t>1</w:t>
            </w:r>
            <w:r>
              <w:rPr>
                <w:rFonts w:hint="eastAsia" w:ascii="Times New Roman" w:hAnsi="Times New Roman" w:eastAsia="方正仿宋_GBK" w:cs="Times New Roman"/>
                <w:b w:val="0"/>
                <w:bCs w:val="0"/>
                <w:color w:val="auto"/>
                <w:kern w:val="0"/>
                <w:sz w:val="24"/>
                <w:szCs w:val="24"/>
                <w:highlight w:val="none"/>
                <w:u w:val="none"/>
                <w:lang w:val="en-US" w:eastAsia="zh-CN"/>
              </w:rPr>
              <w:t>个</w:t>
            </w:r>
            <w:r>
              <w:rPr>
                <w:rFonts w:hint="eastAsia" w:eastAsia="方正仿宋_GBK" w:cs="Times New Roman"/>
                <w:b w:val="0"/>
                <w:bCs w:val="0"/>
                <w:color w:val="auto"/>
                <w:kern w:val="0"/>
                <w:sz w:val="24"/>
                <w:szCs w:val="24"/>
                <w:highlight w:val="none"/>
                <w:u w:val="none"/>
                <w:lang w:val="en-US" w:eastAsia="zh-CN"/>
              </w:rPr>
              <w:t>以上</w:t>
            </w:r>
            <w:r>
              <w:rPr>
                <w:rFonts w:hint="eastAsia" w:ascii="Times New Roman" w:hAnsi="Times New Roman" w:eastAsia="方正仿宋_GBK" w:cs="Times New Roman"/>
                <w:b w:val="0"/>
                <w:bCs w:val="0"/>
                <w:color w:val="auto"/>
                <w:kern w:val="0"/>
                <w:sz w:val="24"/>
                <w:szCs w:val="24"/>
                <w:highlight w:val="none"/>
                <w:u w:val="none"/>
                <w:lang w:val="en-US" w:eastAsia="zh-CN"/>
              </w:rPr>
              <w:t>，促成科研成果转化，推动高新技术发展。</w:t>
            </w:r>
          </w:p>
          <w:p>
            <w:pPr>
              <w:pStyle w:val="11"/>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pacing w:line="400" w:lineRule="exact"/>
              <w:ind w:left="0" w:leftChars="0" w:right="0" w:rightChars="0" w:firstLine="482"/>
              <w:jc w:val="both"/>
              <w:textAlignment w:val="auto"/>
              <w:outlineLvl w:val="9"/>
              <w:rPr>
                <w:rFonts w:hint="default" w:ascii="Times New Roman" w:hAnsi="Times New Roman" w:eastAsia="方正仿宋_GBK" w:cs="Times New Roman"/>
                <w:b w:val="0"/>
                <w:bCs w:val="0"/>
                <w:color w:val="auto"/>
                <w:kern w:val="0"/>
                <w:sz w:val="24"/>
                <w:szCs w:val="24"/>
                <w:highlight w:val="none"/>
                <w:u w:val="none"/>
              </w:rPr>
            </w:pPr>
            <w:r>
              <w:rPr>
                <w:rFonts w:hint="default" w:ascii="Times New Roman" w:hAnsi="Times New Roman" w:eastAsia="方正黑体_GBK" w:cs="Times New Roman"/>
                <w:b w:val="0"/>
                <w:bCs w:val="0"/>
                <w:color w:val="auto"/>
                <w:kern w:val="0"/>
                <w:sz w:val="24"/>
                <w:szCs w:val="24"/>
                <w:highlight w:val="none"/>
                <w:u w:val="none"/>
              </w:rPr>
              <w:t>2.专业技术人才知识更新工程。</w:t>
            </w:r>
            <w:r>
              <w:rPr>
                <w:rFonts w:hint="default" w:ascii="Times New Roman" w:hAnsi="Times New Roman" w:eastAsia="方正仿宋_GBK" w:cs="Times New Roman"/>
                <w:b w:val="0"/>
                <w:bCs w:val="0"/>
                <w:color w:val="auto"/>
                <w:kern w:val="0"/>
                <w:sz w:val="24"/>
                <w:szCs w:val="24"/>
                <w:highlight w:val="none"/>
                <w:u w:val="none"/>
              </w:rPr>
              <w:t>动态管理建设一批专业技术人员继续教育基地，每年组织举办</w:t>
            </w:r>
            <w:r>
              <w:rPr>
                <w:rFonts w:hint="eastAsia" w:eastAsia="方正仿宋_GBK" w:cs="Times New Roman"/>
                <w:b w:val="0"/>
                <w:bCs w:val="0"/>
                <w:color w:val="auto"/>
                <w:kern w:val="0"/>
                <w:sz w:val="24"/>
                <w:szCs w:val="24"/>
                <w:highlight w:val="none"/>
                <w:u w:val="none"/>
                <w:lang w:val="en-US" w:eastAsia="zh-CN"/>
              </w:rPr>
              <w:t>1</w:t>
            </w:r>
            <w:r>
              <w:rPr>
                <w:rFonts w:hint="default" w:ascii="Times New Roman" w:hAnsi="Times New Roman" w:eastAsia="方正仿宋_GBK" w:cs="Times New Roman"/>
                <w:b w:val="0"/>
                <w:bCs w:val="0"/>
                <w:color w:val="auto"/>
                <w:kern w:val="0"/>
                <w:sz w:val="24"/>
                <w:szCs w:val="24"/>
                <w:highlight w:val="none"/>
                <w:u w:val="none"/>
              </w:rPr>
              <w:t>期左右高级研修项目。</w:t>
            </w:r>
          </w:p>
          <w:p>
            <w:pPr>
              <w:pStyle w:val="11"/>
              <w:keepNext w:val="0"/>
              <w:keepLines w:val="0"/>
              <w:pageBreakBefore w:val="0"/>
              <w:pBdr>
                <w:bottom w:val="none" w:color="auto" w:sz="0" w:space="0"/>
              </w:pBdr>
              <w:kinsoku/>
              <w:wordWrap/>
              <w:overflowPunct/>
              <w:topLinePunct w:val="0"/>
              <w:autoSpaceDE/>
              <w:autoSpaceDN/>
              <w:bidi w:val="0"/>
              <w:adjustRightInd/>
              <w:spacing w:line="400" w:lineRule="exact"/>
              <w:ind w:left="0" w:leftChars="0" w:right="0" w:rightChars="0" w:firstLine="480" w:firstLineChars="200"/>
              <w:jc w:val="both"/>
              <w:textAlignment w:val="auto"/>
              <w:outlineLvl w:val="9"/>
              <w:rPr>
                <w:rFonts w:hint="eastAsia" w:ascii="方正仿宋_GBK" w:hAnsi="方正仿宋_GBK" w:eastAsia="方正仿宋_GBK" w:cs="方正仿宋_GBK"/>
                <w:b w:val="0"/>
                <w:bCs w:val="0"/>
                <w:color w:val="auto"/>
                <w:kern w:val="0"/>
                <w:sz w:val="24"/>
                <w:szCs w:val="24"/>
                <w:highlight w:val="none"/>
                <w:u w:val="none"/>
              </w:rPr>
            </w:pPr>
            <w:r>
              <w:rPr>
                <w:rFonts w:hint="eastAsia" w:ascii="方正黑体_GBK" w:hAnsi="方正黑体_GBK" w:eastAsia="方正黑体_GBK" w:cs="方正黑体_GBK"/>
                <w:b w:val="0"/>
                <w:bCs w:val="0"/>
                <w:color w:val="auto"/>
                <w:kern w:val="0"/>
                <w:sz w:val="24"/>
                <w:szCs w:val="24"/>
                <w:highlight w:val="none"/>
                <w:u w:val="none"/>
                <w:lang w:val="en-US" w:eastAsia="zh-CN"/>
              </w:rPr>
              <w:t>3</w:t>
            </w:r>
            <w:r>
              <w:rPr>
                <w:rFonts w:hint="eastAsia" w:ascii="方正黑体_GBK" w:hAnsi="方正黑体_GBK" w:eastAsia="方正黑体_GBK" w:cs="方正黑体_GBK"/>
                <w:b w:val="0"/>
                <w:bCs w:val="0"/>
                <w:color w:val="auto"/>
                <w:kern w:val="0"/>
                <w:sz w:val="24"/>
                <w:szCs w:val="24"/>
                <w:highlight w:val="none"/>
                <w:u w:val="none"/>
              </w:rPr>
              <w:t>.青年英才储备专项。</w:t>
            </w:r>
            <w:r>
              <w:rPr>
                <w:rFonts w:hint="eastAsia" w:ascii="方正仿宋_GBK" w:hAnsi="方正仿宋_GBK" w:eastAsia="方正仿宋_GBK" w:cs="方正仿宋_GBK"/>
                <w:b w:val="0"/>
                <w:bCs w:val="0"/>
                <w:color w:val="auto"/>
                <w:kern w:val="0"/>
                <w:sz w:val="24"/>
                <w:szCs w:val="24"/>
                <w:highlight w:val="none"/>
                <w:u w:val="none"/>
              </w:rPr>
              <w:t>着眼于人才基础性培养和战略性开发，激励支持青年人才在渝创新创业，将</w:t>
            </w:r>
            <w:r>
              <w:rPr>
                <w:rFonts w:hint="eastAsia" w:ascii="方正仿宋_GBK" w:hAnsi="方正仿宋_GBK" w:eastAsia="方正仿宋_GBK" w:cs="方正仿宋_GBK"/>
                <w:b w:val="0"/>
                <w:bCs w:val="0"/>
                <w:color w:val="auto"/>
                <w:kern w:val="0"/>
                <w:sz w:val="24"/>
                <w:szCs w:val="24"/>
                <w:highlight w:val="none"/>
                <w:u w:val="none"/>
                <w:lang w:eastAsia="zh-CN"/>
              </w:rPr>
              <w:t>万盛</w:t>
            </w:r>
            <w:r>
              <w:rPr>
                <w:rFonts w:hint="eastAsia" w:ascii="方正仿宋_GBK" w:hAnsi="方正仿宋_GBK" w:eastAsia="方正仿宋_GBK" w:cs="方正仿宋_GBK"/>
                <w:b w:val="0"/>
                <w:bCs w:val="0"/>
                <w:color w:val="auto"/>
                <w:kern w:val="0"/>
                <w:sz w:val="24"/>
                <w:szCs w:val="24"/>
                <w:highlight w:val="none"/>
                <w:u w:val="none"/>
              </w:rPr>
              <w:t>打</w:t>
            </w:r>
            <w:r>
              <w:rPr>
                <w:rFonts w:hint="eastAsia" w:ascii="Times New Roman" w:hAnsi="Times New Roman" w:eastAsia="方正仿宋_GBK" w:cs="Times New Roman"/>
                <w:b w:val="0"/>
                <w:bCs w:val="0"/>
                <w:color w:val="auto"/>
                <w:kern w:val="0"/>
                <w:sz w:val="24"/>
                <w:szCs w:val="24"/>
                <w:highlight w:val="none"/>
                <w:u w:val="none"/>
              </w:rPr>
              <w:t>造成为全市优秀青年人才聚集地，“十四五”期间引进培育硕士及相应职称、职级的青年人才</w:t>
            </w:r>
            <w:r>
              <w:rPr>
                <w:rFonts w:hint="eastAsia" w:eastAsia="方正仿宋_GBK" w:cs="Times New Roman"/>
                <w:b w:val="0"/>
                <w:bCs w:val="0"/>
                <w:color w:val="auto"/>
                <w:kern w:val="0"/>
                <w:sz w:val="24"/>
                <w:szCs w:val="24"/>
                <w:highlight w:val="none"/>
                <w:u w:val="none"/>
                <w:lang w:val="en-US" w:eastAsia="zh-CN"/>
              </w:rPr>
              <w:t>300</w:t>
            </w:r>
            <w:r>
              <w:rPr>
                <w:rFonts w:hint="eastAsia" w:ascii="Times New Roman" w:hAnsi="Times New Roman" w:eastAsia="方正仿宋_GBK" w:cs="Times New Roman"/>
                <w:b w:val="0"/>
                <w:bCs w:val="0"/>
                <w:color w:val="auto"/>
                <w:kern w:val="0"/>
                <w:sz w:val="24"/>
                <w:szCs w:val="24"/>
                <w:highlight w:val="none"/>
                <w:u w:val="none"/>
              </w:rPr>
              <w:t>名</w:t>
            </w:r>
            <w:r>
              <w:rPr>
                <w:rFonts w:hint="eastAsia" w:ascii="方正仿宋_GBK" w:hAnsi="方正仿宋_GBK" w:eastAsia="方正仿宋_GBK" w:cs="方正仿宋_GBK"/>
                <w:b w:val="0"/>
                <w:bCs w:val="0"/>
                <w:color w:val="auto"/>
                <w:kern w:val="0"/>
                <w:sz w:val="24"/>
                <w:szCs w:val="24"/>
                <w:highlight w:val="none"/>
                <w:u w:val="none"/>
              </w:rPr>
              <w:t>。</w:t>
            </w:r>
          </w:p>
          <w:p>
            <w:pPr>
              <w:pStyle w:val="11"/>
              <w:keepNext w:val="0"/>
              <w:keepLines w:val="0"/>
              <w:pageBreakBefore w:val="0"/>
              <w:pBdr>
                <w:bottom w:val="none" w:color="auto" w:sz="0" w:space="0"/>
              </w:pBdr>
              <w:kinsoku/>
              <w:wordWrap/>
              <w:overflowPunct/>
              <w:topLinePunct w:val="0"/>
              <w:autoSpaceDE/>
              <w:autoSpaceDN/>
              <w:bidi w:val="0"/>
              <w:adjustRightInd/>
              <w:spacing w:line="400" w:lineRule="exact"/>
              <w:ind w:left="0" w:leftChars="0" w:right="0" w:rightChars="0" w:firstLine="480" w:firstLineChars="200"/>
              <w:jc w:val="both"/>
              <w:textAlignment w:val="auto"/>
              <w:outlineLvl w:val="9"/>
              <w:rPr>
                <w:rFonts w:hint="eastAsia" w:ascii="方正仿宋_GBK" w:hAnsi="方正仿宋_GBK" w:eastAsia="方正仿宋_GBK" w:cs="方正仿宋_GBK"/>
                <w:b w:val="0"/>
                <w:bCs w:val="0"/>
                <w:color w:val="auto"/>
                <w:kern w:val="0"/>
                <w:sz w:val="24"/>
                <w:szCs w:val="24"/>
                <w:highlight w:val="none"/>
                <w:u w:val="none"/>
                <w:lang w:val="en-US" w:eastAsia="zh-CN"/>
              </w:rPr>
            </w:pPr>
            <w:r>
              <w:rPr>
                <w:rFonts w:hint="eastAsia" w:ascii="方正黑体_GBK" w:hAnsi="方正黑体_GBK" w:eastAsia="方正黑体_GBK" w:cs="方正黑体_GBK"/>
                <w:b w:val="0"/>
                <w:bCs w:val="0"/>
                <w:color w:val="auto"/>
                <w:kern w:val="0"/>
                <w:sz w:val="24"/>
                <w:szCs w:val="24"/>
                <w:highlight w:val="none"/>
                <w:u w:val="none"/>
                <w:lang w:val="en-US" w:eastAsia="zh-CN"/>
              </w:rPr>
              <w:t>4</w:t>
            </w:r>
            <w:r>
              <w:rPr>
                <w:rFonts w:hint="eastAsia" w:ascii="方正黑体_GBK" w:hAnsi="方正黑体_GBK" w:eastAsia="方正黑体_GBK" w:cs="方正黑体_GBK"/>
                <w:b w:val="0"/>
                <w:bCs w:val="0"/>
                <w:color w:val="auto"/>
                <w:kern w:val="0"/>
                <w:sz w:val="24"/>
                <w:szCs w:val="24"/>
                <w:highlight w:val="none"/>
                <w:u w:val="none"/>
              </w:rPr>
              <w:t>.“百万英才兴重庆”系列引才活动。</w:t>
            </w:r>
            <w:r>
              <w:rPr>
                <w:rFonts w:hint="eastAsia" w:ascii="方正仿宋_GBK" w:hAnsi="方正仿宋_GBK" w:eastAsia="方正仿宋_GBK" w:cs="方正仿宋_GBK"/>
                <w:b w:val="0"/>
                <w:bCs w:val="0"/>
                <w:color w:val="auto"/>
                <w:kern w:val="0"/>
                <w:sz w:val="24"/>
                <w:szCs w:val="24"/>
                <w:highlight w:val="none"/>
                <w:u w:val="none"/>
              </w:rPr>
              <w:t>积极打造“百万英才兴重庆”引才品牌。“走出去、请进来”结合，每年定期“走出去”开展</w:t>
            </w:r>
            <w:r>
              <w:rPr>
                <w:rFonts w:hint="eastAsia" w:ascii="方正仿宋_GBK" w:hAnsi="方正仿宋_GBK" w:eastAsia="方正仿宋_GBK" w:cs="方正仿宋_GBK"/>
                <w:b w:val="0"/>
                <w:bCs w:val="0"/>
                <w:color w:val="auto"/>
                <w:kern w:val="0"/>
                <w:sz w:val="24"/>
                <w:szCs w:val="24"/>
                <w:highlight w:val="none"/>
                <w:u w:val="none"/>
                <w:lang w:eastAsia="zh-CN"/>
              </w:rPr>
              <w:t>市区内外</w:t>
            </w:r>
            <w:r>
              <w:rPr>
                <w:rFonts w:hint="eastAsia" w:ascii="方正仿宋_GBK" w:hAnsi="方正仿宋_GBK" w:eastAsia="方正仿宋_GBK" w:cs="方正仿宋_GBK"/>
                <w:b w:val="0"/>
                <w:bCs w:val="0"/>
                <w:color w:val="auto"/>
                <w:kern w:val="0"/>
                <w:sz w:val="24"/>
                <w:szCs w:val="24"/>
                <w:highlight w:val="none"/>
                <w:u w:val="none"/>
              </w:rPr>
              <w:t>引才专项活动，每年举办优秀人才及项目对接会等“请进来”引才活动，大力引进海内外高层次人才来渝就业创业。“十四五”期间，开展各类</w:t>
            </w:r>
            <w:r>
              <w:rPr>
                <w:rFonts w:hint="eastAsia" w:ascii="Times New Roman" w:hAnsi="Times New Roman" w:eastAsia="方正仿宋_GBK" w:cs="Times New Roman"/>
                <w:b w:val="0"/>
                <w:bCs w:val="0"/>
                <w:color w:val="auto"/>
                <w:kern w:val="0"/>
                <w:sz w:val="24"/>
                <w:szCs w:val="24"/>
                <w:highlight w:val="none"/>
                <w:u w:val="none"/>
              </w:rPr>
              <w:t>引才活动</w:t>
            </w:r>
            <w:r>
              <w:rPr>
                <w:rFonts w:hint="eastAsia" w:eastAsia="方正仿宋_GBK" w:cs="Times New Roman"/>
                <w:b w:val="0"/>
                <w:bCs w:val="0"/>
                <w:color w:val="auto"/>
                <w:kern w:val="0"/>
                <w:sz w:val="24"/>
                <w:szCs w:val="24"/>
                <w:highlight w:val="none"/>
                <w:u w:val="none"/>
                <w:lang w:val="en-US" w:eastAsia="zh-CN"/>
              </w:rPr>
              <w:t>10</w:t>
            </w:r>
            <w:r>
              <w:rPr>
                <w:rFonts w:hint="eastAsia" w:ascii="Times New Roman" w:hAnsi="Times New Roman" w:eastAsia="方正仿宋_GBK" w:cs="Times New Roman"/>
                <w:b w:val="0"/>
                <w:bCs w:val="0"/>
                <w:color w:val="auto"/>
                <w:kern w:val="0"/>
                <w:sz w:val="24"/>
                <w:szCs w:val="24"/>
                <w:highlight w:val="none"/>
                <w:u w:val="none"/>
              </w:rPr>
              <w:t>场次以</w:t>
            </w:r>
            <w:r>
              <w:rPr>
                <w:rFonts w:hint="eastAsia" w:ascii="方正仿宋_GBK" w:hAnsi="方正仿宋_GBK" w:eastAsia="方正仿宋_GBK" w:cs="方正仿宋_GBK"/>
                <w:b w:val="0"/>
                <w:bCs w:val="0"/>
                <w:color w:val="auto"/>
                <w:kern w:val="0"/>
                <w:sz w:val="24"/>
                <w:szCs w:val="24"/>
                <w:highlight w:val="none"/>
                <w:u w:val="none"/>
              </w:rPr>
              <w:t>上，引进各类“高精尖”和急</w:t>
            </w:r>
            <w:r>
              <w:rPr>
                <w:rFonts w:hint="eastAsia" w:ascii="Times New Roman" w:hAnsi="Times New Roman" w:eastAsia="方正仿宋_GBK" w:cs="Times New Roman"/>
                <w:b w:val="0"/>
                <w:bCs w:val="0"/>
                <w:color w:val="auto"/>
                <w:kern w:val="0"/>
                <w:sz w:val="24"/>
                <w:szCs w:val="24"/>
                <w:highlight w:val="none"/>
                <w:u w:val="none"/>
              </w:rPr>
              <w:t>需</w:t>
            </w:r>
            <w:r>
              <w:rPr>
                <w:rFonts w:hint="eastAsia" w:eastAsia="方正仿宋_GBK" w:cs="Times New Roman"/>
                <w:b w:val="0"/>
                <w:bCs w:val="0"/>
                <w:color w:val="auto"/>
                <w:kern w:val="0"/>
                <w:sz w:val="24"/>
                <w:szCs w:val="24"/>
                <w:highlight w:val="none"/>
                <w:u w:val="none"/>
                <w:lang w:eastAsia="zh-CN"/>
              </w:rPr>
              <w:t>紧缺</w:t>
            </w:r>
            <w:r>
              <w:rPr>
                <w:rFonts w:hint="eastAsia" w:ascii="Times New Roman" w:hAnsi="Times New Roman" w:eastAsia="方正仿宋_GBK" w:cs="Times New Roman"/>
                <w:b w:val="0"/>
                <w:bCs w:val="0"/>
                <w:color w:val="auto"/>
                <w:kern w:val="0"/>
                <w:sz w:val="24"/>
                <w:szCs w:val="24"/>
                <w:highlight w:val="none"/>
                <w:u w:val="none"/>
              </w:rPr>
              <w:t>人才</w:t>
            </w:r>
            <w:r>
              <w:rPr>
                <w:rFonts w:hint="eastAsia" w:eastAsia="方正仿宋_GBK" w:cs="Times New Roman"/>
                <w:b w:val="0"/>
                <w:bCs w:val="0"/>
                <w:color w:val="auto"/>
                <w:kern w:val="0"/>
                <w:sz w:val="24"/>
                <w:szCs w:val="24"/>
                <w:highlight w:val="none"/>
                <w:u w:val="none"/>
                <w:lang w:val="en-US" w:eastAsia="zh-CN"/>
              </w:rPr>
              <w:t>200</w:t>
            </w:r>
            <w:r>
              <w:rPr>
                <w:rFonts w:hint="eastAsia" w:ascii="Times New Roman" w:hAnsi="Times New Roman" w:eastAsia="方正仿宋_GBK" w:cs="Times New Roman"/>
                <w:b w:val="0"/>
                <w:bCs w:val="0"/>
                <w:color w:val="auto"/>
                <w:kern w:val="0"/>
                <w:sz w:val="24"/>
                <w:szCs w:val="24"/>
                <w:highlight w:val="none"/>
                <w:u w:val="none"/>
              </w:rPr>
              <w:t>人次</w:t>
            </w:r>
            <w:r>
              <w:rPr>
                <w:rFonts w:hint="eastAsia" w:ascii="方正仿宋_GBK" w:hAnsi="方正仿宋_GBK" w:eastAsia="方正仿宋_GBK" w:cs="方正仿宋_GBK"/>
                <w:b w:val="0"/>
                <w:bCs w:val="0"/>
                <w:color w:val="auto"/>
                <w:kern w:val="0"/>
                <w:sz w:val="24"/>
                <w:szCs w:val="24"/>
                <w:highlight w:val="none"/>
                <w:u w:val="none"/>
              </w:rPr>
              <w:t>。</w:t>
            </w:r>
          </w:p>
        </w:tc>
      </w:tr>
    </w:tbl>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黑体_GBK" w:hAnsi="方正黑体_GBK" w:eastAsia="方正黑体_GBK" w:cs="方正黑体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黑体_GBK" w:hAnsi="方正黑体_GBK" w:eastAsia="方正黑体_GBK" w:cs="方正黑体_GBK"/>
          <w:b w:val="0"/>
          <w:bCs w:val="0"/>
          <w:color w:val="auto"/>
          <w:sz w:val="32"/>
          <w:szCs w:val="32"/>
          <w:highlight w:val="none"/>
          <w:u w:val="none"/>
        </w:rPr>
      </w:pPr>
      <w:r>
        <w:rPr>
          <w:rFonts w:hint="eastAsia" w:ascii="方正黑体_GBK" w:hAnsi="方正黑体_GBK" w:eastAsia="方正黑体_GBK" w:cs="方正黑体_GBK"/>
          <w:b w:val="0"/>
          <w:bCs w:val="0"/>
          <w:color w:val="auto"/>
          <w:sz w:val="32"/>
          <w:szCs w:val="32"/>
          <w:highlight w:val="none"/>
          <w:u w:val="none"/>
        </w:rPr>
        <w:t>第五章  构建更加和谐劳动关系</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bookmarkStart w:id="20" w:name="_Toc1696251466"/>
      <w:bookmarkStart w:id="21" w:name="_Toc465489993"/>
      <w:bookmarkStart w:id="22" w:name="_Toc1846185265"/>
      <w:bookmarkStart w:id="23" w:name="_Toc1322456818"/>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主动应对产业转型升级、新经济新业态发展带来的劳动关系新变化，有效预防和化解劳动关系矛盾，加大对工资收入分配的调节力度，切实保障劳动者待遇和权益，构建规范有序、公正合理、合作共赢、和谐稳定的劳动关系。</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bookmarkStart w:id="24" w:name="_Toc61283979"/>
      <w:bookmarkStart w:id="25" w:name="_Toc54345673"/>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第一节  健全劳动关系协调机制</w:t>
      </w:r>
      <w:bookmarkEnd w:id="20"/>
      <w:bookmarkEnd w:id="21"/>
      <w:bookmarkEnd w:id="22"/>
      <w:bookmarkEnd w:id="23"/>
      <w:bookmarkEnd w:id="24"/>
      <w:bookmarkEnd w:id="25"/>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加强企业和职工协调劳动关系能力建设、政府调整劳动关系能力建设和社会组织参与协调劳动关系能力建设，加强协调劳动关系三方机制建设。建立健全电子劳动合同、集体合同等制度，指导共享用工规范健康发展。进一步健全和完善劳务派遣制度，强化监管作用，落实“谁审批、谁监管”责任，提升监管质效。开展对重点行业的突出用工问题治理。稳妥推进集体协商、集体合同制度，探索新形势下区域、行业集体协商模式和方法，扩大集体协商的覆盖面。</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bookmarkStart w:id="26" w:name="_Toc61283980"/>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第二节  深化企业工资收入分配制度改革</w:t>
      </w:r>
      <w:bookmarkEnd w:id="26"/>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加强工资收入分配指导，平衡好劳动者和企业方的利益，引导企业合理进行工资分配。坚持国有企业薪酬制度改革成果，</w:t>
      </w:r>
      <w:r>
        <w:rPr>
          <w:rFonts w:hint="eastAsia" w:ascii="方正仿宋_GBK" w:hAnsi="方正仿宋_GBK" w:eastAsia="方正仿宋_GBK" w:cs="方正仿宋_GBK"/>
          <w:b w:val="0"/>
          <w:bCs w:val="0"/>
          <w:color w:val="auto"/>
          <w:sz w:val="32"/>
          <w:szCs w:val="32"/>
          <w:highlight w:val="none"/>
          <w:u w:val="none"/>
          <w:lang w:val="en-US" w:eastAsia="zh-CN"/>
        </w:rPr>
        <w:t>指导</w:t>
      </w:r>
      <w:r>
        <w:rPr>
          <w:rFonts w:hint="eastAsia" w:ascii="方正仿宋_GBK" w:hAnsi="方正仿宋_GBK" w:eastAsia="方正仿宋_GBK" w:cs="方正仿宋_GBK"/>
          <w:b w:val="0"/>
          <w:bCs w:val="0"/>
          <w:color w:val="auto"/>
          <w:sz w:val="32"/>
          <w:szCs w:val="32"/>
          <w:highlight w:val="none"/>
          <w:u w:val="none"/>
        </w:rPr>
        <w:t>国有企业负责人薪酬和工资总额管理政策，建立健全与劳动力市场基本适应、与国有企业经济效益和劳动生产率挂钩的工资决定和正常增长机制。指导国有企业深化企业内部分配制度改革，完善国有企业市场化薪酬分配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sz w:val="32"/>
          <w:szCs w:val="32"/>
          <w:highlight w:val="none"/>
          <w:u w:val="none"/>
        </w:rPr>
      </w:pPr>
      <w:r>
        <w:rPr>
          <w:rFonts w:hint="eastAsia" w:ascii="Times New Roman" w:hAnsi="Times New Roman" w:eastAsia="方正黑体_GBK" w:cs="Times New Roman"/>
          <w:b w:val="0"/>
          <w:bCs w:val="0"/>
          <w:color w:val="auto"/>
          <w:sz w:val="28"/>
          <w:szCs w:val="28"/>
          <w:highlight w:val="none"/>
          <w:u w:val="none"/>
          <w:lang w:eastAsia="zh-CN"/>
        </w:rPr>
        <w:t>专栏</w:t>
      </w:r>
      <w:r>
        <w:rPr>
          <w:rFonts w:hint="eastAsia" w:eastAsia="方正黑体_GBK" w:cs="Times New Roman"/>
          <w:b w:val="0"/>
          <w:bCs w:val="0"/>
          <w:color w:val="auto"/>
          <w:sz w:val="28"/>
          <w:szCs w:val="28"/>
          <w:highlight w:val="none"/>
          <w:u w:val="none"/>
          <w:lang w:val="en-US" w:eastAsia="zh-CN"/>
        </w:rPr>
        <w:t>7</w:t>
      </w:r>
      <w:r>
        <w:rPr>
          <w:rFonts w:hint="default" w:ascii="Times New Roman" w:hAnsi="Times New Roman" w:eastAsia="方正黑体_GBK" w:cs="Times New Roman"/>
          <w:b w:val="0"/>
          <w:bCs w:val="0"/>
          <w:color w:val="auto"/>
          <w:sz w:val="28"/>
          <w:szCs w:val="28"/>
          <w:highlight w:val="none"/>
          <w:u w:val="none"/>
        </w:rPr>
        <w:t xml:space="preserve">  </w:t>
      </w:r>
      <w:r>
        <w:rPr>
          <w:rFonts w:hint="eastAsia" w:ascii="Times New Roman" w:hAnsi="Times New Roman" w:eastAsia="方正黑体_GBK" w:cs="Times New Roman"/>
          <w:b w:val="0"/>
          <w:bCs w:val="0"/>
          <w:color w:val="auto"/>
          <w:sz w:val="28"/>
          <w:szCs w:val="28"/>
          <w:highlight w:val="none"/>
          <w:u w:val="none"/>
        </w:rPr>
        <w:t>劳动关系能力提升行动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84" w:type="dxa"/>
            <w:noWrap w:val="0"/>
            <w:vAlign w:val="top"/>
          </w:tcPr>
          <w:p>
            <w:pPr>
              <w:pStyle w:val="6"/>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480" w:firstLineChars="200"/>
              <w:textAlignment w:val="auto"/>
              <w:outlineLvl w:val="9"/>
              <w:rPr>
                <w:rFonts w:hint="eastAsia" w:ascii="Times New Roman" w:hAnsi="Times New Roman" w:eastAsia="方正仿宋_GBK" w:cs="Times New Roman"/>
                <w:b w:val="0"/>
                <w:bCs w:val="0"/>
                <w:color w:val="auto"/>
                <w:kern w:val="0"/>
                <w:sz w:val="24"/>
                <w:highlight w:val="none"/>
                <w:u w:val="none"/>
                <w:lang w:val="en-US" w:eastAsia="zh-CN"/>
              </w:rPr>
            </w:pPr>
            <w:r>
              <w:rPr>
                <w:rFonts w:hint="default" w:ascii="Times New Roman" w:hAnsi="Times New Roman" w:eastAsia="方正黑体_GBK" w:cs="Times New Roman"/>
                <w:b w:val="0"/>
                <w:bCs w:val="0"/>
                <w:color w:val="auto"/>
                <w:kern w:val="0"/>
                <w:sz w:val="24"/>
                <w:highlight w:val="none"/>
                <w:u w:val="none"/>
              </w:rPr>
              <w:t>1.实施和谐劳动关系培育计划。</w:t>
            </w:r>
            <w:r>
              <w:rPr>
                <w:rFonts w:hint="default" w:ascii="Times New Roman" w:hAnsi="Times New Roman" w:eastAsia="方正仿宋_GBK" w:cs="Times New Roman"/>
                <w:b w:val="0"/>
                <w:bCs w:val="0"/>
                <w:color w:val="auto"/>
                <w:kern w:val="0"/>
                <w:sz w:val="24"/>
                <w:highlight w:val="none"/>
                <w:u w:val="none"/>
                <w:lang w:val="en-US" w:eastAsia="zh-CN"/>
              </w:rPr>
              <w:t>打造一批金牌劳动关系协调员。</w:t>
            </w:r>
            <w:r>
              <w:rPr>
                <w:rFonts w:hint="eastAsia" w:eastAsia="方正仿宋_GBK" w:cs="Times New Roman"/>
                <w:b w:val="0"/>
                <w:bCs w:val="0"/>
                <w:color w:val="auto"/>
                <w:kern w:val="0"/>
                <w:sz w:val="24"/>
                <w:highlight w:val="none"/>
                <w:u w:val="none"/>
                <w:lang w:val="en-US" w:eastAsia="zh-CN"/>
              </w:rPr>
              <w:t>“十四五”期间，</w:t>
            </w:r>
            <w:r>
              <w:rPr>
                <w:rFonts w:hint="default" w:ascii="Times New Roman" w:hAnsi="Times New Roman" w:eastAsia="方正仿宋_GBK" w:cs="Times New Roman"/>
                <w:b w:val="0"/>
                <w:bCs w:val="0"/>
                <w:color w:val="auto"/>
                <w:kern w:val="0"/>
                <w:sz w:val="24"/>
                <w:highlight w:val="none"/>
                <w:u w:val="none"/>
                <w:lang w:val="en-US" w:eastAsia="zh-CN"/>
              </w:rPr>
              <w:t>力争实现镇（街道）基层配备的劳动关系协调员能够基本覆盖辖区小微企业的目标。打造一批和谐劳动关系企业</w:t>
            </w:r>
            <w:r>
              <w:rPr>
                <w:rFonts w:hint="eastAsia" w:eastAsia="方正仿宋_GBK" w:cs="Times New Roman"/>
                <w:b w:val="0"/>
                <w:bCs w:val="0"/>
                <w:color w:val="auto"/>
                <w:kern w:val="0"/>
                <w:sz w:val="24"/>
                <w:highlight w:val="none"/>
                <w:u w:val="none"/>
                <w:lang w:val="en-US" w:eastAsia="zh-CN"/>
              </w:rPr>
              <w:t>，</w:t>
            </w:r>
            <w:r>
              <w:rPr>
                <w:rFonts w:hint="default" w:ascii="Times New Roman" w:hAnsi="Times New Roman" w:eastAsia="方正仿宋_GBK" w:cs="Times New Roman"/>
                <w:b w:val="0"/>
                <w:bCs w:val="0"/>
                <w:color w:val="auto"/>
                <w:kern w:val="0"/>
                <w:sz w:val="24"/>
                <w:highlight w:val="none"/>
                <w:u w:val="none"/>
                <w:lang w:val="en-US" w:eastAsia="zh-CN"/>
              </w:rPr>
              <w:t>在重点企业中培育</w:t>
            </w:r>
            <w:r>
              <w:rPr>
                <w:rFonts w:hint="eastAsia" w:eastAsia="方正仿宋_GBK" w:cs="Times New Roman"/>
                <w:b w:val="0"/>
                <w:bCs w:val="0"/>
                <w:color w:val="auto"/>
                <w:kern w:val="0"/>
                <w:sz w:val="24"/>
                <w:highlight w:val="none"/>
                <w:u w:val="none"/>
                <w:lang w:val="en-US" w:eastAsia="zh-CN"/>
              </w:rPr>
              <w:t>3</w:t>
            </w:r>
            <w:r>
              <w:rPr>
                <w:rFonts w:hint="default" w:ascii="Times New Roman" w:hAnsi="Times New Roman" w:eastAsia="方正仿宋_GBK" w:cs="Times New Roman"/>
                <w:b w:val="0"/>
                <w:bCs w:val="0"/>
                <w:color w:val="auto"/>
                <w:kern w:val="0"/>
                <w:sz w:val="24"/>
                <w:highlight w:val="none"/>
                <w:u w:val="none"/>
                <w:lang w:val="en-US" w:eastAsia="zh-CN"/>
              </w:rPr>
              <w:t>户AAA级和谐劳动关系企业。</w:t>
            </w:r>
            <w:r>
              <w:rPr>
                <w:rFonts w:hint="eastAsia" w:ascii="Times New Roman" w:hAnsi="Times New Roman" w:eastAsia="方正仿宋_GBK" w:cs="Times New Roman"/>
                <w:b w:val="0"/>
                <w:bCs w:val="0"/>
                <w:color w:val="auto"/>
                <w:kern w:val="0"/>
                <w:sz w:val="24"/>
                <w:highlight w:val="none"/>
                <w:u w:val="none"/>
                <w:lang w:val="en-US" w:eastAsia="zh-CN"/>
              </w:rPr>
              <w:t>培育</w:t>
            </w:r>
            <w:r>
              <w:rPr>
                <w:rFonts w:hint="default" w:ascii="Times New Roman" w:hAnsi="Times New Roman" w:eastAsia="方正仿宋_GBK" w:cs="Times New Roman"/>
                <w:b w:val="0"/>
                <w:bCs w:val="0"/>
                <w:color w:val="auto"/>
                <w:kern w:val="0"/>
                <w:sz w:val="24"/>
                <w:highlight w:val="none"/>
                <w:u w:val="none"/>
                <w:lang w:val="en-US" w:eastAsia="zh-CN"/>
              </w:rPr>
              <w:t>金牌劳动人事争议调解组织</w:t>
            </w:r>
            <w:r>
              <w:rPr>
                <w:rFonts w:hint="eastAsia" w:eastAsia="方正仿宋_GBK" w:cs="Times New Roman"/>
                <w:b w:val="0"/>
                <w:bCs w:val="0"/>
                <w:color w:val="auto"/>
                <w:kern w:val="0"/>
                <w:sz w:val="24"/>
                <w:highlight w:val="none"/>
                <w:u w:val="none"/>
                <w:lang w:val="en-US" w:eastAsia="zh-CN"/>
              </w:rPr>
              <w:t>，</w:t>
            </w:r>
            <w:r>
              <w:rPr>
                <w:rFonts w:hint="eastAsia" w:ascii="Times New Roman" w:hAnsi="Times New Roman" w:eastAsia="方正仿宋_GBK" w:cs="Times New Roman"/>
                <w:b w:val="0"/>
                <w:bCs w:val="0"/>
                <w:color w:val="auto"/>
                <w:kern w:val="0"/>
                <w:sz w:val="24"/>
                <w:highlight w:val="none"/>
                <w:u w:val="none"/>
                <w:lang w:val="en-US" w:eastAsia="zh-CN"/>
              </w:rPr>
              <w:t>力争</w:t>
            </w:r>
            <w:r>
              <w:rPr>
                <w:rFonts w:hint="default" w:ascii="Times New Roman" w:hAnsi="Times New Roman" w:eastAsia="方正仿宋_GBK" w:cs="Times New Roman"/>
                <w:b w:val="0"/>
                <w:bCs w:val="0"/>
                <w:color w:val="auto"/>
                <w:kern w:val="0"/>
                <w:sz w:val="24"/>
                <w:highlight w:val="none"/>
                <w:u w:val="none"/>
                <w:lang w:val="en-US" w:eastAsia="zh-CN"/>
              </w:rPr>
              <w:t>在镇（街道）、园区、企业等基层劳动人事争议调解组织中着力打造金牌调解组织</w:t>
            </w:r>
            <w:r>
              <w:rPr>
                <w:rFonts w:hint="eastAsia" w:eastAsia="方正仿宋_GBK" w:cs="Times New Roman"/>
                <w:b w:val="0"/>
                <w:bCs w:val="0"/>
                <w:color w:val="auto"/>
                <w:kern w:val="0"/>
                <w:sz w:val="24"/>
                <w:highlight w:val="none"/>
                <w:u w:val="none"/>
                <w:lang w:val="en-US" w:eastAsia="zh-CN"/>
              </w:rPr>
              <w:t>1</w:t>
            </w:r>
            <w:r>
              <w:rPr>
                <w:rFonts w:hint="default" w:ascii="Times New Roman" w:hAnsi="Times New Roman" w:eastAsia="方正仿宋_GBK" w:cs="Times New Roman"/>
                <w:b w:val="0"/>
                <w:bCs w:val="0"/>
                <w:color w:val="auto"/>
                <w:kern w:val="0"/>
                <w:sz w:val="24"/>
                <w:highlight w:val="none"/>
                <w:u w:val="none"/>
                <w:lang w:val="en-US" w:eastAsia="zh-CN"/>
              </w:rPr>
              <w:t>个</w:t>
            </w:r>
            <w:r>
              <w:rPr>
                <w:rFonts w:hint="eastAsia" w:ascii="Times New Roman" w:hAnsi="Times New Roman" w:eastAsia="方正仿宋_GBK" w:cs="Times New Roman"/>
                <w:b w:val="0"/>
                <w:bCs w:val="0"/>
                <w:color w:val="auto"/>
                <w:kern w:val="0"/>
                <w:sz w:val="24"/>
                <w:highlight w:val="none"/>
                <w:u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480" w:firstLineChars="200"/>
              <w:textAlignment w:val="auto"/>
              <w:outlineLvl w:val="9"/>
              <w:rPr>
                <w:rFonts w:hint="default" w:ascii="Times New Roman" w:hAnsi="Times New Roman" w:eastAsia="方正仿宋_GBK" w:cs="Times New Roman"/>
                <w:b w:val="0"/>
                <w:bCs w:val="0"/>
                <w:color w:val="auto"/>
                <w:kern w:val="0"/>
                <w:sz w:val="24"/>
                <w:szCs w:val="22"/>
                <w:highlight w:val="none"/>
                <w:u w:val="none"/>
                <w:lang w:val="en-US" w:eastAsia="zh-CN"/>
              </w:rPr>
            </w:pPr>
            <w:r>
              <w:rPr>
                <w:rFonts w:hint="default" w:ascii="Times New Roman" w:hAnsi="Times New Roman" w:eastAsia="方正黑体_GBK" w:cs="Times New Roman"/>
                <w:b w:val="0"/>
                <w:bCs w:val="0"/>
                <w:color w:val="auto"/>
                <w:kern w:val="0"/>
                <w:sz w:val="24"/>
                <w:highlight w:val="none"/>
                <w:u w:val="none"/>
              </w:rPr>
              <w:t>2.实施重点企业用工指导计划。</w:t>
            </w:r>
            <w:r>
              <w:rPr>
                <w:rFonts w:hint="default" w:ascii="Times New Roman" w:hAnsi="Times New Roman" w:eastAsia="方正仿宋_GBK" w:cs="Times New Roman"/>
                <w:b w:val="0"/>
                <w:bCs w:val="0"/>
                <w:color w:val="auto"/>
                <w:kern w:val="0"/>
                <w:sz w:val="24"/>
                <w:szCs w:val="22"/>
                <w:highlight w:val="none"/>
                <w:u w:val="none"/>
                <w:lang w:val="en-US" w:eastAsia="zh-CN"/>
              </w:rPr>
              <w:t>在</w:t>
            </w:r>
            <w:r>
              <w:rPr>
                <w:rFonts w:hint="eastAsia" w:ascii="Times New Roman" w:hAnsi="Times New Roman" w:eastAsia="方正仿宋_GBK" w:cs="Times New Roman"/>
                <w:b w:val="0"/>
                <w:bCs w:val="0"/>
                <w:color w:val="auto"/>
                <w:kern w:val="0"/>
                <w:sz w:val="24"/>
                <w:szCs w:val="22"/>
                <w:highlight w:val="none"/>
                <w:u w:val="none"/>
                <w:lang w:val="en-US" w:eastAsia="zh-CN"/>
              </w:rPr>
              <w:t>本区</w:t>
            </w:r>
            <w:r>
              <w:rPr>
                <w:rFonts w:hint="default" w:ascii="Times New Roman" w:hAnsi="Times New Roman" w:eastAsia="方正仿宋_GBK" w:cs="Times New Roman"/>
                <w:b w:val="0"/>
                <w:bCs w:val="0"/>
                <w:color w:val="auto"/>
                <w:kern w:val="0"/>
                <w:sz w:val="24"/>
                <w:szCs w:val="22"/>
                <w:highlight w:val="none"/>
                <w:u w:val="none"/>
                <w:lang w:val="en-US" w:eastAsia="zh-CN"/>
              </w:rPr>
              <w:t>选取用工规模较大、生产经营存在较大困难的企业，特别是制造企业，建立企业用工监测机制，指导企业稳岗稳员，指导企业发挥集体协商协调劳动关系重要作用，尽量不裁员、少裁员，稳定劳动关系。</w:t>
            </w:r>
          </w:p>
          <w:p>
            <w:pPr>
              <w:pStyle w:val="6"/>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480" w:firstLineChars="200"/>
              <w:textAlignment w:val="auto"/>
              <w:outlineLvl w:val="9"/>
              <w:rPr>
                <w:rFonts w:hint="default" w:ascii="Times New Roman" w:hAnsi="Times New Roman" w:eastAsia="方正仿宋_GBK" w:cs="Times New Roman"/>
                <w:b w:val="0"/>
                <w:bCs w:val="0"/>
                <w:color w:val="auto"/>
                <w:kern w:val="0"/>
                <w:sz w:val="24"/>
                <w:highlight w:val="none"/>
                <w:u w:val="none"/>
              </w:rPr>
            </w:pPr>
            <w:r>
              <w:rPr>
                <w:rFonts w:hint="default" w:ascii="Times New Roman" w:hAnsi="Times New Roman" w:eastAsia="方正黑体_GBK" w:cs="Times New Roman"/>
                <w:b w:val="0"/>
                <w:bCs w:val="0"/>
                <w:color w:val="auto"/>
                <w:kern w:val="0"/>
                <w:sz w:val="24"/>
                <w:highlight w:val="none"/>
                <w:u w:val="none"/>
              </w:rPr>
              <w:t>3.实施企业薪酬指引计划。</w:t>
            </w:r>
            <w:r>
              <w:rPr>
                <w:rFonts w:hint="default" w:ascii="Times New Roman" w:hAnsi="Times New Roman" w:eastAsia="方正仿宋_GBK" w:cs="Times New Roman"/>
                <w:b w:val="0"/>
                <w:bCs w:val="0"/>
                <w:color w:val="auto"/>
                <w:kern w:val="0"/>
                <w:sz w:val="24"/>
                <w:szCs w:val="22"/>
                <w:highlight w:val="none"/>
                <w:u w:val="none"/>
                <w:lang w:val="en-US" w:eastAsia="zh-CN"/>
              </w:rPr>
              <w:t>指导企业建立健全符合企业实际的工资收入分配</w:t>
            </w:r>
            <w:r>
              <w:rPr>
                <w:rFonts w:hint="eastAsia" w:ascii="Times New Roman" w:hAnsi="Times New Roman" w:eastAsia="方正仿宋_GBK" w:cs="Times New Roman"/>
                <w:b w:val="0"/>
                <w:bCs w:val="0"/>
                <w:color w:val="auto"/>
                <w:kern w:val="0"/>
                <w:sz w:val="24"/>
                <w:szCs w:val="22"/>
                <w:highlight w:val="none"/>
                <w:u w:val="none"/>
                <w:lang w:val="en-US" w:eastAsia="zh-CN"/>
              </w:rPr>
              <w:t>制度。协同有关部门指导和监督国有企业工资分配制度改革，完善国有企业市场化薪酬分配机制，建立健全按业绩贡献决定薪酬的有效激励</w:t>
            </w:r>
            <w:r>
              <w:rPr>
                <w:rFonts w:hint="default" w:ascii="Times New Roman" w:hAnsi="Times New Roman" w:eastAsia="方正仿宋_GBK" w:cs="Times New Roman"/>
                <w:b w:val="0"/>
                <w:bCs w:val="0"/>
                <w:color w:val="auto"/>
                <w:kern w:val="0"/>
                <w:sz w:val="24"/>
                <w:szCs w:val="22"/>
                <w:highlight w:val="none"/>
                <w:u w:val="none"/>
                <w:lang w:val="en-US" w:eastAsia="zh-CN"/>
              </w:rPr>
              <w:t>约束机制。</w:t>
            </w:r>
          </w:p>
        </w:tc>
      </w:tr>
    </w:tbl>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黑体_GBK" w:hAnsi="方正黑体_GBK" w:eastAsia="方正黑体_GBK" w:cs="方正黑体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lang w:eastAsia="zh-CN"/>
        </w:rPr>
        <w:t>第三节</w:t>
      </w:r>
      <w:r>
        <w:rPr>
          <w:rFonts w:hint="eastAsia" w:ascii="方正楷体_GBK" w:hAnsi="方正楷体_GBK" w:eastAsia="方正楷体_GBK" w:cs="方正楷体_GBK"/>
          <w:b w:val="0"/>
          <w:bCs w:val="0"/>
          <w:color w:val="auto"/>
          <w:sz w:val="32"/>
          <w:szCs w:val="32"/>
          <w:highlight w:val="none"/>
          <w:u w:val="none"/>
          <w:lang w:val="en-US" w:eastAsia="zh-CN"/>
        </w:rPr>
        <w:t xml:space="preserve">  </w:t>
      </w:r>
      <w:r>
        <w:rPr>
          <w:rFonts w:hint="eastAsia" w:ascii="方正楷体_GBK" w:hAnsi="方正楷体_GBK" w:eastAsia="方正楷体_GBK" w:cs="方正楷体_GBK"/>
          <w:b w:val="0"/>
          <w:bCs w:val="0"/>
          <w:color w:val="auto"/>
          <w:sz w:val="32"/>
          <w:szCs w:val="32"/>
          <w:highlight w:val="none"/>
          <w:u w:val="none"/>
        </w:rPr>
        <w:t>完善劳动人事争议调解仲裁体制机制</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健全争议多元处理机制，加强预防、做实调解、细化仲裁、强化服务，持续做好调解仲裁规范化、专业化、信息化建设。坚持预防为主、基层为主、调解为主的工作方针，发挥基层调解组织作用。落实仲裁员分片联系指导调解工作机制，发挥协商、调解在争议处理中的基础性作用。指导企业完善内部管理规章制度，减少劳资纠纷，建立预防机制。开展巡回仲裁、驻点调解、庭审观摩活动，进一步规范用人单位用工管理。完善劳动人事争议仲裁制度，加强与劳动保障监察、总工会、工商联、经信局等相关部门的联系，建立重大集体争议案件快速响应机制和横向部门协同处理机制。</w:t>
      </w:r>
      <w:r>
        <w:rPr>
          <w:rFonts w:hint="eastAsia" w:ascii="方正仿宋_GBK" w:hAnsi="方正仿宋_GBK" w:eastAsia="方正仿宋_GBK" w:cs="方正仿宋_GBK"/>
          <w:b w:val="0"/>
          <w:bCs w:val="0"/>
          <w:color w:val="auto"/>
          <w:sz w:val="32"/>
          <w:szCs w:val="32"/>
          <w:highlight w:val="none"/>
          <w:u w:val="none"/>
          <w:lang w:eastAsia="zh-CN"/>
        </w:rPr>
        <w:t>深入推进“互联网</w:t>
      </w:r>
      <w:r>
        <w:rPr>
          <w:rFonts w:hint="eastAsia" w:ascii="方正仿宋_GBK" w:hAnsi="方正仿宋_GBK" w:eastAsia="方正仿宋_GBK" w:cs="方正仿宋_GBK"/>
          <w:b w:val="0"/>
          <w:bCs w:val="0"/>
          <w:color w:val="auto"/>
          <w:sz w:val="32"/>
          <w:szCs w:val="32"/>
          <w:highlight w:val="none"/>
          <w:u w:val="none"/>
          <w:lang w:val="en-US" w:eastAsia="zh-CN"/>
        </w:rPr>
        <w:t>+调解仲裁</w:t>
      </w:r>
      <w:r>
        <w:rPr>
          <w:rFonts w:hint="eastAsia" w:ascii="方正仿宋_GBK" w:hAnsi="方正仿宋_GBK" w:eastAsia="方正仿宋_GBK" w:cs="方正仿宋_GBK"/>
          <w:b w:val="0"/>
          <w:bCs w:val="0"/>
          <w:color w:val="auto"/>
          <w:sz w:val="32"/>
          <w:szCs w:val="32"/>
          <w:highlight w:val="none"/>
          <w:u w:val="none"/>
          <w:lang w:eastAsia="zh-CN"/>
        </w:rPr>
        <w:t>”，推广运用“互联网</w:t>
      </w:r>
      <w:r>
        <w:rPr>
          <w:rFonts w:hint="eastAsia" w:ascii="方正仿宋_GBK" w:hAnsi="方正仿宋_GBK" w:eastAsia="方正仿宋_GBK" w:cs="方正仿宋_GBK"/>
          <w:b w:val="0"/>
          <w:bCs w:val="0"/>
          <w:color w:val="auto"/>
          <w:sz w:val="32"/>
          <w:szCs w:val="32"/>
          <w:highlight w:val="none"/>
          <w:u w:val="none"/>
          <w:lang w:val="en-US" w:eastAsia="zh-CN"/>
        </w:rPr>
        <w:t>+调解</w:t>
      </w:r>
      <w:r>
        <w:rPr>
          <w:rFonts w:hint="eastAsia" w:ascii="方正仿宋_GBK" w:hAnsi="方正仿宋_GBK" w:eastAsia="方正仿宋_GBK" w:cs="方正仿宋_GBK"/>
          <w:b w:val="0"/>
          <w:bCs w:val="0"/>
          <w:color w:val="auto"/>
          <w:sz w:val="32"/>
          <w:szCs w:val="32"/>
          <w:highlight w:val="none"/>
          <w:u w:val="none"/>
          <w:lang w:eastAsia="zh-CN"/>
        </w:rPr>
        <w:t>”平台线上办案。优化调解仲裁办案信息管理系统模块功能，推进仲裁庭审监控系统建设。</w:t>
      </w:r>
      <w:r>
        <w:rPr>
          <w:rFonts w:hint="eastAsia" w:ascii="方正仿宋_GBK" w:hAnsi="方正仿宋_GBK" w:eastAsia="方正仿宋_GBK" w:cs="方正仿宋_GBK"/>
          <w:b w:val="0"/>
          <w:bCs w:val="0"/>
          <w:color w:val="auto"/>
          <w:sz w:val="32"/>
          <w:szCs w:val="32"/>
          <w:highlight w:val="none"/>
          <w:u w:val="none"/>
        </w:rPr>
        <w:t>深化仲裁机构与人民法院沟通协作，积极探索建立诉讼与仲裁程序有效衔接、裁审标准统一的新规则、新制度，优化劳动争议处理程序，提高仲裁公信力，健全仲裁与诉讼在法律适用、信息共享、程序衔接等方面的合作机制。加大调解员</w:t>
      </w:r>
      <w:r>
        <w:rPr>
          <w:rFonts w:hint="eastAsia" w:ascii="方正仿宋_GBK" w:hAnsi="方正仿宋_GBK" w:eastAsia="方正仿宋_GBK" w:cs="方正仿宋_GBK"/>
          <w:b w:val="0"/>
          <w:bCs w:val="0"/>
          <w:color w:val="auto"/>
          <w:sz w:val="32"/>
          <w:szCs w:val="32"/>
          <w:highlight w:val="none"/>
          <w:u w:val="none"/>
          <w:lang w:eastAsia="zh-CN"/>
        </w:rPr>
        <w:t>、</w:t>
      </w:r>
      <w:r>
        <w:rPr>
          <w:rFonts w:hint="eastAsia" w:ascii="方正仿宋_GBK" w:hAnsi="方正仿宋_GBK" w:eastAsia="方正仿宋_GBK" w:cs="方正仿宋_GBK"/>
          <w:b w:val="0"/>
          <w:bCs w:val="0"/>
          <w:color w:val="auto"/>
          <w:sz w:val="32"/>
          <w:szCs w:val="32"/>
          <w:highlight w:val="none"/>
          <w:u w:val="none"/>
        </w:rPr>
        <w:t>仲裁员素质能力培训力度，强化学习培训。定期组织对调解员、仲裁员开展业务培训，提高调解员和仲裁员在调解仲裁中的业务能力，拓宽兼职仲裁员来源渠道，充分发挥兼职仲裁员作用</w:t>
      </w:r>
      <w:r>
        <w:rPr>
          <w:rFonts w:hint="eastAsia" w:ascii="方正仿宋_GBK" w:hAnsi="方正仿宋_GBK" w:eastAsia="方正仿宋_GBK" w:cs="方正仿宋_GBK"/>
          <w:b w:val="0"/>
          <w:bCs w:val="0"/>
          <w:color w:val="auto"/>
          <w:sz w:val="32"/>
          <w:szCs w:val="32"/>
          <w:highlight w:val="none"/>
          <w:u w:val="none"/>
          <w:lang w:eastAsia="zh-CN"/>
        </w:rPr>
        <w:t>，充实劳动争议调解力量</w:t>
      </w:r>
      <w:r>
        <w:rPr>
          <w:rFonts w:hint="eastAsia" w:ascii="方正仿宋_GBK" w:hAnsi="方正仿宋_GBK" w:eastAsia="方正仿宋_GBK" w:cs="方正仿宋_GBK"/>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sz w:val="28"/>
          <w:szCs w:val="28"/>
          <w:highlight w:val="none"/>
          <w:u w:val="none"/>
        </w:rPr>
      </w:pPr>
      <w:r>
        <w:rPr>
          <w:rFonts w:hint="default" w:ascii="Times New Roman" w:hAnsi="Times New Roman" w:eastAsia="方正黑体_GBK" w:cs="Times New Roman"/>
          <w:b w:val="0"/>
          <w:bCs w:val="0"/>
          <w:color w:val="auto"/>
          <w:sz w:val="28"/>
          <w:szCs w:val="28"/>
          <w:highlight w:val="none"/>
          <w:u w:val="none"/>
        </w:rPr>
        <w:t>专栏</w:t>
      </w:r>
      <w:r>
        <w:rPr>
          <w:rFonts w:hint="eastAsia" w:eastAsia="方正黑体_GBK" w:cs="Times New Roman"/>
          <w:b w:val="0"/>
          <w:bCs w:val="0"/>
          <w:color w:val="auto"/>
          <w:sz w:val="28"/>
          <w:szCs w:val="28"/>
          <w:highlight w:val="none"/>
          <w:u w:val="none"/>
          <w:lang w:val="en-US" w:eastAsia="zh-CN"/>
        </w:rPr>
        <w:t>8</w:t>
      </w:r>
      <w:r>
        <w:rPr>
          <w:rFonts w:hint="default" w:ascii="Times New Roman" w:hAnsi="Times New Roman" w:eastAsia="方正黑体_GBK" w:cs="Times New Roman"/>
          <w:b w:val="0"/>
          <w:bCs w:val="0"/>
          <w:color w:val="auto"/>
          <w:sz w:val="28"/>
          <w:szCs w:val="28"/>
          <w:highlight w:val="none"/>
          <w:u w:val="none"/>
        </w:rPr>
        <w:t xml:space="preserve">  劳动人事争议调解仲裁重点项目</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3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default" w:ascii="Times New Roman" w:hAnsi="Times New Roman" w:eastAsia="方正仿宋_GBK" w:cs="Times New Roman"/>
                <w:b w:val="0"/>
                <w:bCs w:val="0"/>
                <w:color w:val="auto"/>
                <w:kern w:val="0"/>
                <w:sz w:val="24"/>
                <w:highlight w:val="none"/>
                <w:u w:val="none"/>
              </w:rPr>
            </w:pPr>
            <w:r>
              <w:rPr>
                <w:rFonts w:hint="default" w:ascii="Times New Roman" w:hAnsi="Times New Roman" w:eastAsia="方正黑体_GBK" w:cs="Times New Roman"/>
                <w:b w:val="0"/>
                <w:bCs w:val="0"/>
                <w:color w:val="auto"/>
                <w:kern w:val="0"/>
                <w:sz w:val="24"/>
                <w:highlight w:val="none"/>
                <w:u w:val="none"/>
              </w:rPr>
              <w:t>1.劳动人事争议调解仲裁机构建设计划。</w:t>
            </w:r>
            <w:r>
              <w:rPr>
                <w:rFonts w:hint="eastAsia" w:ascii="方正仿宋_GBK" w:hAnsi="方正仿宋_GBK" w:eastAsia="方正仿宋_GBK" w:cs="方正仿宋_GBK"/>
                <w:b w:val="0"/>
                <w:bCs w:val="0"/>
                <w:color w:val="auto"/>
                <w:kern w:val="0"/>
                <w:sz w:val="24"/>
                <w:highlight w:val="none"/>
                <w:u w:val="none"/>
                <w:lang w:eastAsia="zh-CN"/>
              </w:rPr>
              <w:t>建成标准化、规范化示范</w:t>
            </w:r>
            <w:r>
              <w:rPr>
                <w:rFonts w:hint="default" w:ascii="方正仿宋_GBK" w:hAnsi="方正仿宋_GBK" w:eastAsia="方正仿宋_GBK" w:cs="方正仿宋_GBK"/>
                <w:b w:val="0"/>
                <w:bCs w:val="0"/>
                <w:color w:val="auto"/>
                <w:kern w:val="0"/>
                <w:sz w:val="24"/>
                <w:highlight w:val="none"/>
                <w:u w:val="none"/>
              </w:rPr>
              <w:t>仲裁</w:t>
            </w:r>
            <w:r>
              <w:rPr>
                <w:rFonts w:hint="default" w:ascii="Times New Roman" w:hAnsi="Times New Roman" w:eastAsia="方正仿宋_GBK" w:cs="Times New Roman"/>
                <w:b w:val="0"/>
                <w:bCs w:val="0"/>
                <w:color w:val="auto"/>
                <w:kern w:val="0"/>
                <w:sz w:val="24"/>
                <w:highlight w:val="none"/>
                <w:u w:val="none"/>
              </w:rPr>
              <w:t>院</w:t>
            </w:r>
            <w:r>
              <w:rPr>
                <w:rFonts w:hint="eastAsia" w:eastAsia="方正仿宋_GBK" w:cs="Times New Roman"/>
                <w:b w:val="0"/>
                <w:bCs w:val="0"/>
                <w:color w:val="auto"/>
                <w:kern w:val="0"/>
                <w:sz w:val="24"/>
                <w:highlight w:val="none"/>
                <w:u w:val="none"/>
                <w:lang w:eastAsia="zh-CN"/>
              </w:rPr>
              <w:t>。</w:t>
            </w:r>
            <w:r>
              <w:rPr>
                <w:rFonts w:hint="default" w:ascii="Times New Roman" w:hAnsi="Times New Roman" w:eastAsia="方正仿宋_GBK" w:cs="Times New Roman"/>
                <w:b w:val="0"/>
                <w:bCs w:val="0"/>
                <w:color w:val="auto"/>
                <w:kern w:val="0"/>
                <w:sz w:val="24"/>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方正仿宋_GBK" w:hAnsi="方正仿宋_GBK" w:eastAsia="方正仿宋_GBK" w:cs="方正仿宋_GBK"/>
                <w:b w:val="0"/>
                <w:bCs w:val="0"/>
                <w:color w:val="auto"/>
                <w:kern w:val="0"/>
                <w:sz w:val="24"/>
                <w:highlight w:val="none"/>
                <w:u w:val="none"/>
              </w:rPr>
            </w:pPr>
            <w:r>
              <w:rPr>
                <w:rFonts w:hint="default" w:ascii="Times New Roman" w:hAnsi="Times New Roman" w:eastAsia="方正黑体_GBK" w:cs="Times New Roman"/>
                <w:b w:val="0"/>
                <w:bCs w:val="0"/>
                <w:color w:val="auto"/>
                <w:kern w:val="0"/>
                <w:sz w:val="24"/>
                <w:highlight w:val="none"/>
                <w:u w:val="none"/>
              </w:rPr>
              <w:t>2.深入</w:t>
            </w:r>
            <w:r>
              <w:rPr>
                <w:rFonts w:hint="eastAsia" w:ascii="方正黑体_GBK" w:hAnsi="方正黑体_GBK" w:eastAsia="方正黑体_GBK" w:cs="方正黑体_GBK"/>
                <w:b w:val="0"/>
                <w:bCs w:val="0"/>
                <w:color w:val="auto"/>
                <w:kern w:val="0"/>
                <w:sz w:val="24"/>
                <w:highlight w:val="none"/>
                <w:u w:val="none"/>
              </w:rPr>
              <w:t>推进“互联网+调解仲裁”。</w:t>
            </w:r>
            <w:r>
              <w:rPr>
                <w:rFonts w:hint="default" w:ascii="Times New Roman" w:hAnsi="Times New Roman" w:eastAsia="方正仿宋_GBK" w:cs="Times New Roman"/>
                <w:b w:val="0"/>
                <w:bCs w:val="0"/>
                <w:color w:val="auto"/>
                <w:kern w:val="0"/>
                <w:sz w:val="24"/>
                <w:highlight w:val="none"/>
                <w:u w:val="none"/>
              </w:rPr>
              <w:t>推广</w:t>
            </w:r>
            <w:r>
              <w:rPr>
                <w:rFonts w:hint="eastAsia" w:ascii="方正仿宋_GBK" w:hAnsi="方正仿宋_GBK" w:eastAsia="方正仿宋_GBK" w:cs="方正仿宋_GBK"/>
                <w:b w:val="0"/>
                <w:bCs w:val="0"/>
                <w:color w:val="auto"/>
                <w:kern w:val="0"/>
                <w:sz w:val="24"/>
                <w:highlight w:val="none"/>
                <w:u w:val="none"/>
              </w:rPr>
              <w:t>运用“互联网+调解”平台线上办案。优化调解仲裁办案信息管理系统模块功能，推进仲裁庭审监控系统建设</w:t>
            </w:r>
            <w:r>
              <w:rPr>
                <w:rFonts w:hint="eastAsia" w:ascii="方正仿宋_GBK" w:hAnsi="方正仿宋_GBK" w:eastAsia="方正仿宋_GBK" w:cs="方正仿宋_GBK"/>
                <w:b w:val="0"/>
                <w:bCs w:val="0"/>
                <w:color w:val="auto"/>
                <w:kern w:val="0"/>
                <w:sz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color w:val="auto"/>
                <w:kern w:val="0"/>
                <w:sz w:val="24"/>
                <w:highlight w:val="none"/>
                <w:u w:val="none"/>
              </w:rPr>
            </w:pPr>
            <w:r>
              <w:rPr>
                <w:rFonts w:hint="default" w:ascii="Times New Roman" w:hAnsi="Times New Roman" w:eastAsia="方正仿宋_GBK" w:cs="Times New Roman"/>
                <w:b w:val="0"/>
                <w:bCs w:val="0"/>
                <w:color w:val="auto"/>
                <w:kern w:val="0"/>
                <w:sz w:val="24"/>
                <w:highlight w:val="none"/>
                <w:u w:val="none"/>
              </w:rPr>
              <w:t xml:space="preserve">    </w:t>
            </w:r>
            <w:r>
              <w:rPr>
                <w:rFonts w:hint="default" w:ascii="Times New Roman" w:hAnsi="Times New Roman" w:eastAsia="方正黑体_GBK" w:cs="Times New Roman"/>
                <w:b w:val="0"/>
                <w:bCs w:val="0"/>
                <w:color w:val="auto"/>
                <w:kern w:val="0"/>
                <w:sz w:val="24"/>
                <w:highlight w:val="none"/>
                <w:u w:val="none"/>
              </w:rPr>
              <w:t>3.调解员、仲裁员队伍建设计划。</w:t>
            </w:r>
            <w:r>
              <w:rPr>
                <w:rFonts w:hint="default" w:ascii="Times New Roman" w:hAnsi="Times New Roman" w:eastAsia="方正仿宋_GBK" w:cs="Times New Roman"/>
                <w:b w:val="0"/>
                <w:bCs w:val="0"/>
                <w:color w:val="auto"/>
                <w:kern w:val="0"/>
                <w:sz w:val="24"/>
                <w:highlight w:val="none"/>
                <w:u w:val="none"/>
              </w:rPr>
              <w:t>强化调解员仲裁员管理，有序扩大兼职仲裁员、调解员队伍，增加持证兼职仲裁员</w:t>
            </w:r>
            <w:r>
              <w:rPr>
                <w:rFonts w:hint="eastAsia" w:eastAsia="方正仿宋_GBK" w:cs="Times New Roman"/>
                <w:b w:val="0"/>
                <w:bCs w:val="0"/>
                <w:color w:val="auto"/>
                <w:kern w:val="0"/>
                <w:sz w:val="24"/>
                <w:highlight w:val="none"/>
                <w:u w:val="none"/>
                <w:lang w:val="en-US" w:eastAsia="zh-CN"/>
              </w:rPr>
              <w:t>3</w:t>
            </w:r>
            <w:r>
              <w:rPr>
                <w:rFonts w:hint="default" w:ascii="Times New Roman" w:hAnsi="Times New Roman" w:eastAsia="方正仿宋_GBK" w:cs="Times New Roman"/>
                <w:b w:val="0"/>
                <w:bCs w:val="0"/>
                <w:color w:val="auto"/>
                <w:kern w:val="0"/>
                <w:sz w:val="24"/>
                <w:highlight w:val="none"/>
                <w:u w:val="none"/>
              </w:rPr>
              <w:t>名，持证调解员</w:t>
            </w:r>
            <w:r>
              <w:rPr>
                <w:rFonts w:hint="eastAsia" w:eastAsia="方正仿宋_GBK" w:cs="Times New Roman"/>
                <w:b w:val="0"/>
                <w:bCs w:val="0"/>
                <w:color w:val="auto"/>
                <w:kern w:val="0"/>
                <w:sz w:val="24"/>
                <w:highlight w:val="none"/>
                <w:u w:val="none"/>
                <w:lang w:val="en-US" w:eastAsia="zh-CN"/>
              </w:rPr>
              <w:t>8</w:t>
            </w:r>
            <w:r>
              <w:rPr>
                <w:rFonts w:hint="default" w:ascii="Times New Roman" w:hAnsi="Times New Roman" w:eastAsia="方正仿宋_GBK" w:cs="Times New Roman"/>
                <w:b w:val="0"/>
                <w:bCs w:val="0"/>
                <w:color w:val="auto"/>
                <w:kern w:val="0"/>
                <w:sz w:val="24"/>
                <w:highlight w:val="none"/>
                <w:u w:val="none"/>
              </w:rPr>
              <w:t>名。</w:t>
            </w:r>
          </w:p>
        </w:tc>
      </w:tr>
    </w:tbl>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第四节  提升劳动保障监察执法效能</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黑体_GBK" w:hAnsi="方正黑体_GBK" w:eastAsia="方正黑体_GBK" w:cs="方正黑体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以落实《保障农民工工资支付条例》为抓手，持续推进根治拖欠农民工工资工作，落实各项保障工资支付制度。加强劳动保障监察制度建设，完善劳动保障守法诚信体系，规范企业守法诚信等级评价、重大违法行为社会公布、拖欠农民工工资“黑名单”管理。规范执法程序，创新执法方式，严格遵守行政处罚自由裁量权制度。探索新就业形态劳动保障权益维护机制。根据全市的统一要求推进智慧监察系统建设，建立健全农民工工资支付监控预警系统，完善劳动保障监察移动执法、书面审查和主动巡查辅助系统，落实劳动保障监察执法办案系统和举报投诉案件市级联动处理系统。持续推进劳动保障监察机构和队伍建设，巩固市级劳动保障监察执法示范区成果，探索建立镇街、园区劳动保障</w:t>
      </w:r>
      <w:r>
        <w:rPr>
          <w:rFonts w:hint="eastAsia" w:ascii="方正仿宋_GBK" w:hAnsi="方正仿宋_GBK" w:eastAsia="方正仿宋_GBK" w:cs="方正仿宋_GBK"/>
          <w:b w:val="0"/>
          <w:bCs w:val="0"/>
          <w:color w:val="auto"/>
          <w:sz w:val="32"/>
          <w:szCs w:val="32"/>
          <w:highlight w:val="none"/>
          <w:u w:val="none"/>
          <w:lang w:val="en-US" w:eastAsia="zh-CN"/>
        </w:rPr>
        <w:t>权益</w:t>
      </w:r>
      <w:r>
        <w:rPr>
          <w:rFonts w:hint="eastAsia" w:ascii="方正仿宋_GBK" w:hAnsi="方正仿宋_GBK" w:eastAsia="方正仿宋_GBK" w:cs="方正仿宋_GBK"/>
          <w:b w:val="0"/>
          <w:bCs w:val="0"/>
          <w:color w:val="auto"/>
          <w:sz w:val="32"/>
          <w:szCs w:val="32"/>
          <w:highlight w:val="none"/>
          <w:u w:val="none"/>
        </w:rPr>
        <w:t>维护工作机制。</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黑体_GBK" w:hAnsi="方正黑体_GBK" w:eastAsia="方正黑体_GBK" w:cs="方正黑体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黑体_GBK" w:hAnsi="方正黑体_GBK" w:eastAsia="方正黑体_GBK" w:cs="方正黑体_GBK"/>
          <w:b w:val="0"/>
          <w:bCs w:val="0"/>
          <w:color w:val="auto"/>
          <w:sz w:val="32"/>
          <w:szCs w:val="32"/>
          <w:highlight w:val="none"/>
          <w:u w:val="none"/>
        </w:rPr>
      </w:pPr>
      <w:r>
        <w:rPr>
          <w:rFonts w:hint="eastAsia" w:ascii="方正黑体_GBK" w:hAnsi="方正黑体_GBK" w:eastAsia="方正黑体_GBK" w:cs="方正黑体_GBK"/>
          <w:b w:val="0"/>
          <w:bCs w:val="0"/>
          <w:color w:val="auto"/>
          <w:sz w:val="32"/>
          <w:szCs w:val="32"/>
          <w:highlight w:val="none"/>
          <w:u w:val="none"/>
        </w:rPr>
        <w:t xml:space="preserve">第六章  </w:t>
      </w:r>
      <w:r>
        <w:rPr>
          <w:rFonts w:hint="eastAsia" w:ascii="方正黑体_GBK" w:hAnsi="方正黑体_GBK" w:eastAsia="方正黑体_GBK" w:cs="方正黑体_GBK"/>
          <w:b w:val="0"/>
          <w:bCs w:val="0"/>
          <w:color w:val="auto"/>
          <w:sz w:val="32"/>
          <w:szCs w:val="32"/>
          <w:highlight w:val="none"/>
          <w:u w:val="none"/>
          <w:lang w:eastAsia="zh-CN"/>
        </w:rPr>
        <w:t>提供</w:t>
      </w:r>
      <w:r>
        <w:rPr>
          <w:rFonts w:hint="eastAsia" w:ascii="方正黑体_GBK" w:hAnsi="方正黑体_GBK" w:eastAsia="方正黑体_GBK" w:cs="方正黑体_GBK"/>
          <w:b w:val="0"/>
          <w:bCs w:val="0"/>
          <w:color w:val="auto"/>
          <w:sz w:val="32"/>
          <w:szCs w:val="32"/>
          <w:highlight w:val="none"/>
          <w:u w:val="none"/>
        </w:rPr>
        <w:t>更优质高效公共服务</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健全人力社保公共服务制度，提升公共服务能力，推动人力资源社会保障公共服务更加均衡、更高质量、更加便捷、更可持续。</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bookmarkStart w:id="27" w:name="_Toc61283984"/>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第一节  加强人社系统行风建设</w:t>
      </w:r>
      <w:bookmarkEnd w:id="27"/>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加强人力社保公共服务设施建设，补齐农村和基层公共服务短板，推进人力社保公共服务一体化协同发展。全面加强人社系统干部队伍建设，常态化开展业务技能练兵比武活动，培育选拔一批政治过硬、业务精通、作风优良的服务能手。深入实施“人社服务快办”行动，设立“一件事一次办”综合窗口和网上办事专栏，推进“打包办”“提速办”“简便办”“跨省办”“满意办”五办服务；全面推动政务服务“好差评”工作，实现现场服务“一次一评”“一事一评”；推进高频政务服务向基层延伸和政务服务应用适老化改造，为老年人等特殊群众提供便利服务。深度挖掘宣传“人社服务标兵”，组织开展标兵选手“市县行”活动，发挥典型示范引领作用。持续开展行风建设问题专项整改，及时受理反映问题，通报行风建设负面案例。</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bookmarkStart w:id="28" w:name="_Toc61283985"/>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第二节  推进人社基本公共服务标准化建设</w:t>
      </w:r>
      <w:bookmarkEnd w:id="28"/>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建立健全人社基本公共服务标准体系。对标市</w:t>
      </w:r>
      <w:r>
        <w:rPr>
          <w:rFonts w:hint="eastAsia" w:ascii="方正仿宋_GBK" w:hAnsi="方正仿宋_GBK" w:eastAsia="方正仿宋_GBK" w:cs="方正仿宋_GBK"/>
          <w:b w:val="0"/>
          <w:bCs w:val="0"/>
          <w:color w:val="auto"/>
          <w:sz w:val="32"/>
          <w:szCs w:val="32"/>
          <w:highlight w:val="none"/>
          <w:u w:val="none"/>
          <w:lang w:eastAsia="zh-CN"/>
        </w:rPr>
        <w:t>、区两</w:t>
      </w:r>
      <w:r>
        <w:rPr>
          <w:rFonts w:hint="eastAsia" w:ascii="方正仿宋_GBK" w:hAnsi="方正仿宋_GBK" w:eastAsia="方正仿宋_GBK" w:cs="方正仿宋_GBK"/>
          <w:b w:val="0"/>
          <w:bCs w:val="0"/>
          <w:color w:val="auto"/>
          <w:sz w:val="32"/>
          <w:szCs w:val="32"/>
          <w:highlight w:val="none"/>
          <w:u w:val="none"/>
        </w:rPr>
        <w:t>级的指导意见和要求，建立健全政务服务事项清单及办事指南的动态调整机制，为企业和群众办事提供清晰指引。探索开展区域性人社基本公共服务标准体系协作联动，促进区域内人社基本公共服务有效链接。将优化服务、提高满意的好经验、好做法转化为内部标准，探索制定增强基层平台服务能力的地方标准。发挥社会保险公共服务标准化示范基地的示范效应，实现</w:t>
      </w:r>
      <w:r>
        <w:rPr>
          <w:rFonts w:hint="eastAsia" w:ascii="方正仿宋_GBK" w:hAnsi="方正仿宋_GBK" w:eastAsia="方正仿宋_GBK" w:cs="方正仿宋_GBK"/>
          <w:b w:val="0"/>
          <w:bCs w:val="0"/>
          <w:color w:val="auto"/>
          <w:sz w:val="32"/>
          <w:szCs w:val="32"/>
          <w:highlight w:val="none"/>
          <w:u w:val="none"/>
          <w:lang w:eastAsia="zh-CN"/>
        </w:rPr>
        <w:t>全区</w:t>
      </w:r>
      <w:r>
        <w:rPr>
          <w:rFonts w:hint="eastAsia" w:ascii="方正仿宋_GBK" w:hAnsi="方正仿宋_GBK" w:eastAsia="方正仿宋_GBK" w:cs="方正仿宋_GBK"/>
          <w:b w:val="0"/>
          <w:bCs w:val="0"/>
          <w:color w:val="auto"/>
          <w:sz w:val="32"/>
          <w:szCs w:val="32"/>
          <w:highlight w:val="none"/>
          <w:u w:val="none"/>
        </w:rPr>
        <w:t>社保经办机构政策执行、业务流程、信息系统、经办方式、服务手段、风险控制</w:t>
      </w:r>
      <w:r>
        <w:rPr>
          <w:rFonts w:hint="eastAsia" w:ascii="方正仿宋_GBK" w:hAnsi="方正仿宋_GBK" w:eastAsia="方正仿宋_GBK" w:cs="方正仿宋_GBK"/>
          <w:b w:val="0"/>
          <w:bCs w:val="0"/>
          <w:color w:val="auto"/>
          <w:sz w:val="32"/>
          <w:szCs w:val="32"/>
          <w:highlight w:val="none"/>
          <w:u w:val="none"/>
          <w:lang w:eastAsia="zh-CN"/>
        </w:rPr>
        <w:t>与</w:t>
      </w:r>
      <w:r>
        <w:rPr>
          <w:rFonts w:hint="eastAsia" w:ascii="方正仿宋_GBK" w:hAnsi="方正仿宋_GBK" w:eastAsia="方正仿宋_GBK" w:cs="方正仿宋_GBK"/>
          <w:b w:val="0"/>
          <w:bCs w:val="0"/>
          <w:color w:val="auto"/>
          <w:sz w:val="32"/>
          <w:szCs w:val="32"/>
          <w:highlight w:val="none"/>
          <w:u w:val="none"/>
        </w:rPr>
        <w:t>全市</w:t>
      </w:r>
      <w:r>
        <w:rPr>
          <w:rFonts w:hint="eastAsia" w:ascii="方正仿宋_GBK" w:hAnsi="方正仿宋_GBK" w:eastAsia="方正仿宋_GBK" w:cs="方正仿宋_GBK"/>
          <w:b w:val="0"/>
          <w:bCs w:val="0"/>
          <w:color w:val="auto"/>
          <w:sz w:val="32"/>
          <w:szCs w:val="32"/>
          <w:highlight w:val="none"/>
          <w:u w:val="none"/>
          <w:lang w:eastAsia="zh-CN"/>
        </w:rPr>
        <w:t>保持一致</w:t>
      </w:r>
      <w:r>
        <w:rPr>
          <w:rFonts w:hint="eastAsia" w:ascii="方正仿宋_GBK" w:hAnsi="方正仿宋_GBK" w:eastAsia="方正仿宋_GBK" w:cs="方正仿宋_GBK"/>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黑体_GBK" w:hAnsi="方正黑体_GBK" w:eastAsia="方正黑体_GBK" w:cs="方正黑体_GBK"/>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z w:val="32"/>
          <w:szCs w:val="32"/>
          <w:highlight w:val="none"/>
          <w:u w:val="none"/>
        </w:rPr>
      </w:pPr>
      <w:r>
        <w:rPr>
          <w:rFonts w:hint="eastAsia" w:ascii="方正楷体_GBK" w:hAnsi="方正楷体_GBK" w:eastAsia="方正楷体_GBK" w:cs="方正楷体_GBK"/>
          <w:b w:val="0"/>
          <w:bCs w:val="0"/>
          <w:color w:val="auto"/>
          <w:sz w:val="32"/>
          <w:szCs w:val="32"/>
          <w:highlight w:val="none"/>
          <w:u w:val="none"/>
        </w:rPr>
        <w:t>第三节  推进“智慧人社”建设</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实施人社信息化创新提升行动，促进互联网、大数据、区块链、人工智能等信息技术与业务工作深度融合，推进人社信息化向智能化升级数字化转型。按照全市人社业务流程再造重塑和信息系统一体化整合工作步骤，应用线上公共服务平台、线下综合柜员制受理服务平台</w:t>
      </w:r>
      <w:r>
        <w:rPr>
          <w:rFonts w:hint="eastAsia" w:ascii="方正仿宋_GBK" w:hAnsi="方正仿宋_GBK" w:eastAsia="方正仿宋_GBK" w:cs="方正仿宋_GBK"/>
          <w:b w:val="0"/>
          <w:bCs w:val="0"/>
          <w:color w:val="auto"/>
          <w:sz w:val="32"/>
          <w:szCs w:val="32"/>
          <w:highlight w:val="none"/>
          <w:u w:val="none"/>
          <w:lang w:eastAsia="zh-CN"/>
        </w:rPr>
        <w:t>和</w:t>
      </w:r>
      <w:r>
        <w:rPr>
          <w:rFonts w:hint="eastAsia" w:ascii="方正仿宋_GBK" w:hAnsi="方正仿宋_GBK" w:eastAsia="方正仿宋_GBK" w:cs="方正仿宋_GBK"/>
          <w:b w:val="0"/>
          <w:bCs w:val="0"/>
          <w:color w:val="auto"/>
          <w:sz w:val="32"/>
          <w:szCs w:val="32"/>
          <w:highlight w:val="none"/>
          <w:u w:val="none"/>
        </w:rPr>
        <w:t>全领域业务经办信息处理平台，</w:t>
      </w:r>
      <w:r>
        <w:rPr>
          <w:rFonts w:hint="eastAsia" w:ascii="方正仿宋_GBK" w:hAnsi="方正仿宋_GBK" w:eastAsia="方正仿宋_GBK" w:cs="方正仿宋_GBK"/>
          <w:b w:val="0"/>
          <w:bCs w:val="0"/>
          <w:color w:val="auto"/>
          <w:sz w:val="32"/>
          <w:szCs w:val="32"/>
          <w:highlight w:val="none"/>
          <w:u w:val="none"/>
          <w:lang w:eastAsia="zh-CN"/>
        </w:rPr>
        <w:t>推进</w:t>
      </w:r>
      <w:r>
        <w:rPr>
          <w:rFonts w:hint="eastAsia" w:ascii="方正仿宋_GBK" w:hAnsi="方正仿宋_GBK" w:eastAsia="方正仿宋_GBK" w:cs="方正仿宋_GBK"/>
          <w:b w:val="0"/>
          <w:bCs w:val="0"/>
          <w:color w:val="auto"/>
          <w:sz w:val="32"/>
          <w:szCs w:val="32"/>
          <w:highlight w:val="none"/>
          <w:u w:val="none"/>
        </w:rPr>
        <w:t>人社领域“全业务上网”“一网通办”“跨省通办”。健全数据共享机制，依托部级、市级共享交换平台，强化跨层级、跨部门信息共享和内部业务协同，实现“全数据共享”。探索以大数据技术构建“人社电子档案袋”，</w:t>
      </w:r>
      <w:r>
        <w:rPr>
          <w:rFonts w:hint="default" w:ascii="Times New Roman" w:hAnsi="Times New Roman" w:eastAsia="方正仿宋_GBK" w:cs="Times New Roman"/>
          <w:b w:val="0"/>
          <w:bCs w:val="0"/>
          <w:color w:val="auto"/>
          <w:sz w:val="32"/>
          <w:szCs w:val="32"/>
          <w:highlight w:val="none"/>
          <w:u w:val="none"/>
        </w:rPr>
        <w:t>5G、AR、区块链等新兴</w:t>
      </w:r>
      <w:r>
        <w:rPr>
          <w:rFonts w:hint="eastAsia" w:ascii="方正仿宋_GBK" w:hAnsi="方正仿宋_GBK" w:eastAsia="方正仿宋_GBK" w:cs="方正仿宋_GBK"/>
          <w:b w:val="0"/>
          <w:bCs w:val="0"/>
          <w:color w:val="auto"/>
          <w:sz w:val="32"/>
          <w:szCs w:val="32"/>
          <w:highlight w:val="none"/>
          <w:u w:val="none"/>
        </w:rPr>
        <w:t>技术在视频办事服务、</w:t>
      </w:r>
      <w:r>
        <w:rPr>
          <w:rFonts w:hint="eastAsia" w:ascii="方正仿宋_GBK" w:hAnsi="方正仿宋_GBK" w:eastAsia="方正仿宋_GBK" w:cs="方正仿宋_GBK"/>
          <w:b w:val="0"/>
          <w:bCs w:val="0"/>
          <w:color w:val="auto"/>
          <w:sz w:val="32"/>
          <w:szCs w:val="32"/>
          <w:highlight w:val="none"/>
          <w:u w:val="none"/>
          <w:lang w:eastAsia="zh-CN"/>
        </w:rPr>
        <w:t>智能咨询、</w:t>
      </w:r>
      <w:r>
        <w:rPr>
          <w:rFonts w:hint="eastAsia" w:ascii="方正仿宋_GBK" w:hAnsi="方正仿宋_GBK" w:eastAsia="方正仿宋_GBK" w:cs="方正仿宋_GBK"/>
          <w:b w:val="0"/>
          <w:bCs w:val="0"/>
          <w:color w:val="auto"/>
          <w:sz w:val="32"/>
          <w:szCs w:val="32"/>
          <w:highlight w:val="none"/>
          <w:u w:val="none"/>
        </w:rPr>
        <w:t>电子劳动合同等方面应用。健全信息系统、运行网络</w:t>
      </w:r>
      <w:r>
        <w:rPr>
          <w:rFonts w:hint="eastAsia" w:ascii="方正仿宋_GBK" w:hAnsi="方正仿宋_GBK" w:eastAsia="方正仿宋_GBK" w:cs="方正仿宋_GBK"/>
          <w:b w:val="0"/>
          <w:bCs w:val="0"/>
          <w:color w:val="auto"/>
          <w:sz w:val="32"/>
          <w:szCs w:val="32"/>
          <w:highlight w:val="none"/>
          <w:u w:val="none"/>
          <w:lang w:eastAsia="zh-CN"/>
        </w:rPr>
        <w:t>、终端</w:t>
      </w:r>
      <w:r>
        <w:rPr>
          <w:rFonts w:hint="eastAsia" w:ascii="方正仿宋_GBK" w:hAnsi="方正仿宋_GBK" w:eastAsia="方正仿宋_GBK" w:cs="方正仿宋_GBK"/>
          <w:b w:val="0"/>
          <w:bCs w:val="0"/>
          <w:color w:val="auto"/>
          <w:sz w:val="32"/>
          <w:szCs w:val="32"/>
          <w:highlight w:val="none"/>
          <w:u w:val="none"/>
        </w:rPr>
        <w:t>等运维安全保障制度，加强人社数据资源安全保障和隐私保护，推进基础设施、软硬件、终端设备国产化，建立健全人社网络和信息系统密码保障体系。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color w:val="auto"/>
          <w:sz w:val="28"/>
          <w:szCs w:val="28"/>
          <w:highlight w:val="none"/>
          <w:u w:val="none"/>
        </w:rPr>
      </w:pPr>
      <w:r>
        <w:rPr>
          <w:rFonts w:hint="default" w:ascii="Times New Roman" w:hAnsi="Times New Roman" w:eastAsia="方正黑体_GBK" w:cs="Times New Roman"/>
          <w:b w:val="0"/>
          <w:bCs w:val="0"/>
          <w:color w:val="auto"/>
          <w:sz w:val="28"/>
          <w:szCs w:val="28"/>
          <w:highlight w:val="none"/>
          <w:u w:val="none"/>
        </w:rPr>
        <w:t>专栏</w:t>
      </w:r>
      <w:r>
        <w:rPr>
          <w:rFonts w:hint="eastAsia" w:eastAsia="方正黑体_GBK" w:cs="Times New Roman"/>
          <w:b w:val="0"/>
          <w:bCs w:val="0"/>
          <w:color w:val="auto"/>
          <w:sz w:val="28"/>
          <w:szCs w:val="28"/>
          <w:highlight w:val="none"/>
          <w:u w:val="none"/>
          <w:lang w:val="en-US" w:eastAsia="zh-CN"/>
        </w:rPr>
        <w:t>9</w:t>
      </w:r>
      <w:r>
        <w:rPr>
          <w:rFonts w:hint="default" w:ascii="Times New Roman" w:hAnsi="Times New Roman" w:eastAsia="方正黑体_GBK" w:cs="Times New Roman"/>
          <w:b w:val="0"/>
          <w:bCs w:val="0"/>
          <w:color w:val="auto"/>
          <w:sz w:val="28"/>
          <w:szCs w:val="28"/>
          <w:highlight w:val="none"/>
          <w:u w:val="none"/>
        </w:rPr>
        <w:t xml:space="preserve">  </w:t>
      </w:r>
      <w:r>
        <w:rPr>
          <w:rFonts w:hint="eastAsia" w:ascii="方正黑体_GBK" w:hAnsi="方正黑体_GBK" w:eastAsia="方正黑体_GBK" w:cs="方正黑体_GBK"/>
          <w:b w:val="0"/>
          <w:bCs w:val="0"/>
          <w:color w:val="auto"/>
          <w:sz w:val="28"/>
          <w:szCs w:val="28"/>
          <w:highlight w:val="none"/>
          <w:u w:val="none"/>
        </w:rPr>
        <w:t>“智慧人社”信息化建设项目</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34" w:type="dxa"/>
            <w:noWrap w:val="0"/>
            <w:vAlign w:val="top"/>
          </w:tcPr>
          <w:p>
            <w:pPr>
              <w:pStyle w:val="2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方正仿宋_GBK" w:hAnsi="方正仿宋_GBK" w:eastAsia="方正仿宋_GBK" w:cs="方正仿宋_GBK"/>
                <w:b w:val="0"/>
                <w:bCs w:val="0"/>
                <w:color w:val="auto"/>
                <w:kern w:val="0"/>
                <w:sz w:val="24"/>
                <w:szCs w:val="24"/>
                <w:highlight w:val="none"/>
                <w:u w:val="none"/>
              </w:rPr>
            </w:pPr>
            <w:r>
              <w:rPr>
                <w:rFonts w:hint="eastAsia" w:ascii="方正黑体_GBK" w:hAnsi="方正黑体_GBK" w:eastAsia="方正黑体_GBK" w:cs="方正黑体_GBK"/>
                <w:b w:val="0"/>
                <w:bCs w:val="0"/>
                <w:color w:val="auto"/>
                <w:sz w:val="24"/>
                <w:szCs w:val="24"/>
                <w:highlight w:val="none"/>
                <w:u w:val="none"/>
              </w:rPr>
              <w:t>智慧人社”信息化建设项目。</w:t>
            </w:r>
            <w:r>
              <w:rPr>
                <w:rFonts w:hint="eastAsia" w:ascii="方正仿宋_GBK" w:hAnsi="方正仿宋_GBK" w:eastAsia="方正仿宋_GBK" w:cs="方正仿宋_GBK"/>
                <w:b w:val="0"/>
                <w:bCs w:val="0"/>
                <w:color w:val="auto"/>
                <w:kern w:val="0"/>
                <w:sz w:val="24"/>
                <w:szCs w:val="24"/>
                <w:highlight w:val="none"/>
                <w:u w:val="none"/>
              </w:rPr>
              <w:t>按照“一库、一系统、一平台”总体建设思路，整合构建以线上公共服务平台、线下综合柜员制受理服务平台、全领域业务经办信息处理平台为主体，以数据共享、智能监控、决策监管、可视化等为支撑的一体化综合服务管理和大数据分析应用平台。</w:t>
            </w:r>
            <w:r>
              <w:rPr>
                <w:rFonts w:hint="eastAsia" w:ascii="方正仿宋_GBK" w:hAnsi="方正仿宋_GBK" w:eastAsia="方正仿宋_GBK" w:cs="方正仿宋_GBK"/>
                <w:b w:val="0"/>
                <w:bCs w:val="0"/>
                <w:color w:val="auto"/>
                <w:kern w:val="0"/>
                <w:sz w:val="24"/>
                <w:szCs w:val="24"/>
                <w:highlight w:val="none"/>
                <w:u w:val="none"/>
                <w:lang w:eastAsia="zh-CN"/>
              </w:rPr>
              <w:t>“</w:t>
            </w:r>
            <w:r>
              <w:rPr>
                <w:rFonts w:hint="eastAsia" w:ascii="方正仿宋_GBK" w:hAnsi="方正仿宋_GBK" w:eastAsia="方正仿宋_GBK" w:cs="方正仿宋_GBK"/>
                <w:b w:val="0"/>
                <w:bCs w:val="0"/>
                <w:color w:val="auto"/>
                <w:kern w:val="0"/>
                <w:sz w:val="24"/>
                <w:szCs w:val="24"/>
                <w:highlight w:val="none"/>
                <w:u w:val="none"/>
                <w:lang w:val="en-US" w:eastAsia="zh-CN"/>
              </w:rPr>
              <w:t>十四五”期间，实现区、镇（街道）、村（社区）三级人力社保业务经办网络全部整合，实现一网通。</w:t>
            </w:r>
          </w:p>
        </w:tc>
      </w:tr>
    </w:tbl>
    <w:p>
      <w:pPr>
        <w:keepNext w:val="0"/>
        <w:keepLines w:val="0"/>
        <w:pageBreakBefore w:val="0"/>
        <w:widowControl w:val="0"/>
        <w:kinsoku/>
        <w:wordWrap/>
        <w:overflowPunct/>
        <w:topLinePunct w:val="0"/>
        <w:autoSpaceDE/>
        <w:autoSpaceDN/>
        <w:bidi w:val="0"/>
        <w:adjustRightInd/>
        <w:snapToGrid/>
        <w:spacing w:line="594" w:lineRule="exact"/>
        <w:ind w:left="0" w:right="0" w:rightChars="0"/>
        <w:jc w:val="center"/>
        <w:textAlignment w:val="auto"/>
        <w:outlineLvl w:val="9"/>
        <w:rPr>
          <w:rFonts w:hint="eastAsia" w:ascii="方正楷体_GBK" w:hAnsi="方正楷体_GBK" w:eastAsia="方正楷体_GBK" w:cs="方正楷体_GBK"/>
          <w:b w:val="0"/>
          <w:bCs w:val="0"/>
          <w:color w:val="auto"/>
          <w:spacing w:val="0"/>
          <w:kern w:val="21"/>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left="0" w:right="0" w:rightChars="0"/>
        <w:jc w:val="center"/>
        <w:textAlignment w:val="auto"/>
        <w:outlineLvl w:val="9"/>
        <w:rPr>
          <w:rFonts w:hint="eastAsia" w:ascii="方正楷体_GBK" w:hAnsi="方正楷体_GBK" w:eastAsia="方正楷体_GBK" w:cs="方正楷体_GBK"/>
          <w:b w:val="0"/>
          <w:bCs w:val="0"/>
          <w:color w:val="auto"/>
          <w:spacing w:val="0"/>
          <w:kern w:val="21"/>
          <w:sz w:val="32"/>
          <w:szCs w:val="32"/>
          <w:highlight w:val="none"/>
          <w:u w:val="none"/>
        </w:rPr>
      </w:pPr>
      <w:r>
        <w:rPr>
          <w:rFonts w:hint="eastAsia" w:ascii="方正楷体_GBK" w:hAnsi="方正楷体_GBK" w:eastAsia="方正楷体_GBK" w:cs="方正楷体_GBK"/>
          <w:b w:val="0"/>
          <w:bCs w:val="0"/>
          <w:color w:val="auto"/>
          <w:spacing w:val="0"/>
          <w:kern w:val="21"/>
          <w:sz w:val="32"/>
          <w:szCs w:val="32"/>
          <w:highlight w:val="none"/>
          <w:u w:val="none"/>
        </w:rPr>
        <w:t>第四节  推进社保卡“一卡通”建设</w:t>
      </w:r>
    </w:p>
    <w:p>
      <w:pPr>
        <w:keepNext w:val="0"/>
        <w:keepLines w:val="0"/>
        <w:pageBreakBefore w:val="0"/>
        <w:widowControl w:val="0"/>
        <w:kinsoku/>
        <w:wordWrap/>
        <w:overflowPunct/>
        <w:topLinePunct w:val="0"/>
        <w:autoSpaceDE/>
        <w:autoSpaceDN/>
        <w:bidi w:val="0"/>
        <w:adjustRightInd/>
        <w:snapToGrid/>
        <w:spacing w:line="594" w:lineRule="exact"/>
        <w:ind w:left="0"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kern w:val="21"/>
          <w:sz w:val="32"/>
          <w:szCs w:val="32"/>
          <w:highlight w:val="none"/>
          <w:u w:val="none"/>
        </w:rPr>
      </w:pPr>
      <w:r>
        <w:rPr>
          <w:rFonts w:hint="eastAsia" w:ascii="方正仿宋_GBK" w:hAnsi="方正仿宋_GBK" w:eastAsia="方正仿宋_GBK" w:cs="方正仿宋_GBK"/>
          <w:b w:val="0"/>
          <w:bCs w:val="0"/>
          <w:color w:val="auto"/>
          <w:spacing w:val="0"/>
          <w:kern w:val="21"/>
          <w:sz w:val="32"/>
          <w:szCs w:val="32"/>
          <w:highlight w:val="none"/>
          <w:u w:val="none"/>
        </w:rPr>
        <w:t>加快推进第三代社保卡自然过渡换发，大力</w:t>
      </w:r>
      <w:r>
        <w:rPr>
          <w:rFonts w:hint="eastAsia" w:ascii="方正仿宋_GBK" w:hAnsi="方正仿宋_GBK" w:eastAsia="方正仿宋_GBK" w:cs="方正仿宋_GBK"/>
          <w:b w:val="0"/>
          <w:bCs w:val="0"/>
          <w:color w:val="auto"/>
          <w:spacing w:val="0"/>
          <w:kern w:val="21"/>
          <w:sz w:val="32"/>
          <w:szCs w:val="32"/>
          <w:highlight w:val="none"/>
          <w:u w:val="none"/>
          <w:lang w:eastAsia="zh-CN"/>
        </w:rPr>
        <w:t>推进</w:t>
      </w:r>
      <w:r>
        <w:rPr>
          <w:rFonts w:hint="eastAsia" w:ascii="方正仿宋_GBK" w:hAnsi="方正仿宋_GBK" w:eastAsia="方正仿宋_GBK" w:cs="方正仿宋_GBK"/>
          <w:b w:val="0"/>
          <w:bCs w:val="0"/>
          <w:color w:val="auto"/>
          <w:spacing w:val="0"/>
          <w:kern w:val="21"/>
          <w:sz w:val="32"/>
          <w:szCs w:val="32"/>
          <w:highlight w:val="none"/>
          <w:u w:val="none"/>
        </w:rPr>
        <w:t>电子社保卡签发应用，实现实体社保卡与电子社保卡的协同并用，形成线上线下综合服务能力，打造人社业务用卡场景体验。充分发挥社保卡身份凭证、缴费和待遇领取、就医结算、信息记录、自助查询、金融支付等功能，在人社领域实现“全业务用卡”。按照“一卡通”“一码通”模式，推动社保卡“一卡通”综合应用平台</w:t>
      </w:r>
      <w:r>
        <w:rPr>
          <w:rFonts w:hint="eastAsia" w:ascii="方正仿宋_GBK" w:hAnsi="方正仿宋_GBK" w:eastAsia="方正仿宋_GBK" w:cs="方正仿宋_GBK"/>
          <w:b w:val="0"/>
          <w:bCs w:val="0"/>
          <w:color w:val="auto"/>
          <w:spacing w:val="0"/>
          <w:kern w:val="21"/>
          <w:sz w:val="32"/>
          <w:szCs w:val="32"/>
          <w:highlight w:val="none"/>
          <w:u w:val="none"/>
          <w:lang w:eastAsia="zh-CN"/>
        </w:rPr>
        <w:t>的应用</w:t>
      </w:r>
      <w:r>
        <w:rPr>
          <w:rFonts w:hint="eastAsia" w:ascii="方正仿宋_GBK" w:hAnsi="方正仿宋_GBK" w:eastAsia="方正仿宋_GBK" w:cs="方正仿宋_GBK"/>
          <w:b w:val="0"/>
          <w:bCs w:val="0"/>
          <w:color w:val="auto"/>
          <w:spacing w:val="0"/>
          <w:kern w:val="21"/>
          <w:sz w:val="32"/>
          <w:szCs w:val="32"/>
          <w:highlight w:val="none"/>
          <w:u w:val="none"/>
        </w:rPr>
        <w:t>，促进社保卡与渝快码深度融合，逐步实现社保卡在交通出行、旅游观光、文化体验、惠民惠农补贴发放、就医购药、信用服务等其他政务民生、金融领域的广泛应用，为智慧城市建设助力，成为市民群众身边的便民卡、贴心卡。</w:t>
      </w:r>
    </w:p>
    <w:p>
      <w:pPr>
        <w:keepNext w:val="0"/>
        <w:keepLines w:val="0"/>
        <w:pageBreakBefore w:val="0"/>
        <w:widowControl w:val="0"/>
        <w:kinsoku/>
        <w:wordWrap/>
        <w:overflowPunct/>
        <w:topLinePunct w:val="0"/>
        <w:autoSpaceDE/>
        <w:autoSpaceDN/>
        <w:bidi w:val="0"/>
        <w:adjustRightInd/>
        <w:snapToGrid/>
        <w:spacing w:line="594" w:lineRule="exact"/>
        <w:ind w:left="0" w:right="0" w:rightChars="0"/>
        <w:jc w:val="center"/>
        <w:textAlignment w:val="auto"/>
        <w:outlineLvl w:val="9"/>
        <w:rPr>
          <w:rFonts w:hint="eastAsia" w:ascii="方正黑体_GBK" w:hAnsi="方正黑体_GBK" w:eastAsia="方正黑体_GBK" w:cs="方正黑体_GBK"/>
          <w:b w:val="0"/>
          <w:bCs w:val="0"/>
          <w:color w:val="auto"/>
          <w:spacing w:val="0"/>
          <w:kern w:val="21"/>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left="0" w:right="0" w:rightChars="0"/>
        <w:jc w:val="center"/>
        <w:textAlignment w:val="auto"/>
        <w:outlineLvl w:val="9"/>
        <w:rPr>
          <w:rFonts w:hint="eastAsia" w:ascii="方正黑体_GBK" w:hAnsi="方正黑体_GBK" w:eastAsia="方正黑体_GBK" w:cs="方正黑体_GBK"/>
          <w:b w:val="0"/>
          <w:bCs w:val="0"/>
          <w:color w:val="auto"/>
          <w:spacing w:val="0"/>
          <w:kern w:val="21"/>
          <w:sz w:val="32"/>
          <w:szCs w:val="32"/>
          <w:highlight w:val="none"/>
          <w:u w:val="none"/>
        </w:rPr>
      </w:pPr>
      <w:r>
        <w:rPr>
          <w:rFonts w:hint="eastAsia" w:ascii="方正黑体_GBK" w:hAnsi="方正黑体_GBK" w:eastAsia="方正黑体_GBK" w:cs="方正黑体_GBK"/>
          <w:b w:val="0"/>
          <w:bCs w:val="0"/>
          <w:color w:val="auto"/>
          <w:spacing w:val="0"/>
          <w:kern w:val="21"/>
          <w:sz w:val="32"/>
          <w:szCs w:val="32"/>
          <w:highlight w:val="none"/>
          <w:u w:val="none"/>
        </w:rPr>
        <w:t>第</w:t>
      </w:r>
      <w:r>
        <w:rPr>
          <w:rFonts w:hint="eastAsia" w:ascii="方正黑体_GBK" w:hAnsi="方正黑体_GBK" w:eastAsia="方正黑体_GBK" w:cs="方正黑体_GBK"/>
          <w:b w:val="0"/>
          <w:bCs w:val="0"/>
          <w:color w:val="auto"/>
          <w:spacing w:val="0"/>
          <w:kern w:val="21"/>
          <w:sz w:val="32"/>
          <w:szCs w:val="32"/>
          <w:highlight w:val="none"/>
          <w:u w:val="none"/>
          <w:lang w:eastAsia="zh-CN"/>
        </w:rPr>
        <w:t>七</w:t>
      </w:r>
      <w:r>
        <w:rPr>
          <w:rFonts w:hint="eastAsia" w:ascii="方正黑体_GBK" w:hAnsi="方正黑体_GBK" w:eastAsia="方正黑体_GBK" w:cs="方正黑体_GBK"/>
          <w:b w:val="0"/>
          <w:bCs w:val="0"/>
          <w:color w:val="auto"/>
          <w:spacing w:val="0"/>
          <w:kern w:val="21"/>
          <w:sz w:val="32"/>
          <w:szCs w:val="32"/>
          <w:highlight w:val="none"/>
          <w:u w:val="none"/>
        </w:rPr>
        <w:t>章  推进毗邻区域协调发展</w:t>
      </w:r>
    </w:p>
    <w:p>
      <w:pPr>
        <w:keepNext w:val="0"/>
        <w:keepLines w:val="0"/>
        <w:pageBreakBefore w:val="0"/>
        <w:widowControl w:val="0"/>
        <w:kinsoku/>
        <w:wordWrap/>
        <w:overflowPunct/>
        <w:topLinePunct w:val="0"/>
        <w:autoSpaceDE/>
        <w:autoSpaceDN/>
        <w:bidi w:val="0"/>
        <w:adjustRightInd/>
        <w:snapToGrid/>
        <w:spacing w:line="594" w:lineRule="exact"/>
        <w:ind w:left="0" w:right="0" w:rightChars="0" w:firstLine="640" w:firstLineChars="200"/>
        <w:jc w:val="both"/>
        <w:textAlignment w:val="auto"/>
        <w:outlineLvl w:val="9"/>
        <w:rPr>
          <w:rFonts w:hint="eastAsia" w:eastAsia="方正仿宋_GBK"/>
          <w:b w:val="0"/>
          <w:bCs w:val="0"/>
          <w:color w:val="auto"/>
          <w:sz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right="0" w:rightChars="0" w:firstLine="640" w:firstLineChars="200"/>
        <w:jc w:val="both"/>
        <w:textAlignment w:val="auto"/>
        <w:outlineLvl w:val="9"/>
        <w:rPr>
          <w:rFonts w:hint="eastAsia"/>
          <w:b w:val="0"/>
          <w:bCs w:val="0"/>
          <w:color w:val="auto"/>
          <w:spacing w:val="0"/>
          <w:kern w:val="21"/>
          <w:sz w:val="32"/>
          <w:szCs w:val="32"/>
          <w:highlight w:val="none"/>
          <w:u w:val="none"/>
        </w:rPr>
      </w:pPr>
      <w:r>
        <w:rPr>
          <w:rFonts w:hint="eastAsia" w:eastAsia="方正仿宋_GBK"/>
          <w:b w:val="0"/>
          <w:bCs w:val="0"/>
          <w:color w:val="auto"/>
          <w:sz w:val="32"/>
          <w:u w:val="none"/>
          <w:lang w:val="en-US" w:eastAsia="zh-CN"/>
        </w:rPr>
        <w:t>积极融入成渝地区双城经济圈建设和全市“一区两群协调发展”，加强渝黔交流合作，助推綦江万盛“三化”发展，深化沟通协调机制，实现资源共享、要素互通、制度互联、待遇互认，充分发挥人力社保在乡村振兴战略中的职能作用，促进形成人力社保事业协同发展的新局面</w:t>
      </w:r>
      <w:r>
        <w:rPr>
          <w:rFonts w:hint="eastAsia" w:ascii="方正仿宋_GBK" w:hAnsi="方正仿宋_GBK" w:eastAsia="方正仿宋_GBK" w:cs="方正仿宋_GBK"/>
          <w:b w:val="0"/>
          <w:bCs w:val="0"/>
          <w:color w:val="auto"/>
          <w:spacing w:val="0"/>
          <w:kern w:val="21"/>
          <w:sz w:val="32"/>
          <w:szCs w:val="32"/>
          <w:highlight w:val="none"/>
          <w:u w:val="none"/>
          <w:lang w:val="en-US" w:eastAsia="zh-CN" w:bidi="ar-SA"/>
        </w:rPr>
        <w:t>。</w:t>
      </w:r>
    </w:p>
    <w:p>
      <w:pPr>
        <w:pStyle w:val="10"/>
        <w:keepNext w:val="0"/>
        <w:keepLines w:val="0"/>
        <w:pageBreakBefore w:val="0"/>
        <w:widowControl w:val="0"/>
        <w:kinsoku/>
        <w:wordWrap/>
        <w:overflowPunct/>
        <w:topLinePunct w:val="0"/>
        <w:autoSpaceDE/>
        <w:autoSpaceDN/>
        <w:bidi w:val="0"/>
        <w:adjustRightInd/>
        <w:spacing w:line="594" w:lineRule="exact"/>
        <w:ind w:left="0"/>
        <w:textAlignment w:val="auto"/>
        <w:rPr>
          <w:rFonts w:hint="eastAsia"/>
          <w:b w:val="0"/>
          <w:bCs w:val="0"/>
          <w:color w:val="auto"/>
          <w:spacing w:val="0"/>
          <w:kern w:val="21"/>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left="0" w:right="0" w:rightChars="0"/>
        <w:jc w:val="center"/>
        <w:textAlignment w:val="auto"/>
        <w:outlineLvl w:val="9"/>
        <w:rPr>
          <w:rFonts w:hint="eastAsia" w:ascii="方正楷体_GBK" w:hAnsi="方正楷体_GBK" w:eastAsia="方正楷体_GBK" w:cs="方正楷体_GBK"/>
          <w:b w:val="0"/>
          <w:bCs w:val="0"/>
          <w:color w:val="auto"/>
          <w:spacing w:val="0"/>
          <w:kern w:val="21"/>
          <w:sz w:val="32"/>
          <w:szCs w:val="32"/>
          <w:highlight w:val="none"/>
          <w:u w:val="none"/>
        </w:rPr>
      </w:pPr>
      <w:r>
        <w:rPr>
          <w:rFonts w:hint="eastAsia" w:ascii="方正楷体_GBK" w:hAnsi="方正楷体_GBK" w:eastAsia="方正楷体_GBK" w:cs="方正楷体_GBK"/>
          <w:b w:val="0"/>
          <w:bCs w:val="0"/>
          <w:color w:val="auto"/>
          <w:spacing w:val="0"/>
          <w:kern w:val="21"/>
          <w:sz w:val="32"/>
          <w:szCs w:val="32"/>
          <w:highlight w:val="none"/>
          <w:u w:val="none"/>
        </w:rPr>
        <w:t>第</w:t>
      </w:r>
      <w:r>
        <w:rPr>
          <w:rFonts w:hint="eastAsia" w:ascii="方正楷体_GBK" w:hAnsi="方正楷体_GBK" w:eastAsia="方正楷体_GBK" w:cs="方正楷体_GBK"/>
          <w:b w:val="0"/>
          <w:bCs w:val="0"/>
          <w:color w:val="auto"/>
          <w:spacing w:val="0"/>
          <w:kern w:val="21"/>
          <w:sz w:val="32"/>
          <w:szCs w:val="32"/>
          <w:highlight w:val="none"/>
          <w:u w:val="none"/>
          <w:lang w:val="en-US" w:eastAsia="zh-CN"/>
        </w:rPr>
        <w:t>一</w:t>
      </w:r>
      <w:r>
        <w:rPr>
          <w:rFonts w:hint="eastAsia" w:ascii="方正楷体_GBK" w:hAnsi="方正楷体_GBK" w:eastAsia="方正楷体_GBK" w:cs="方正楷体_GBK"/>
          <w:b w:val="0"/>
          <w:bCs w:val="0"/>
          <w:color w:val="auto"/>
          <w:spacing w:val="0"/>
          <w:kern w:val="21"/>
          <w:sz w:val="32"/>
          <w:szCs w:val="32"/>
          <w:highlight w:val="none"/>
          <w:u w:val="none"/>
        </w:rPr>
        <w:t>节  助力川渝深度合作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pacing w:val="0"/>
          <w:kern w:val="21"/>
          <w:sz w:val="32"/>
          <w:szCs w:val="32"/>
          <w:highlight w:val="none"/>
          <w:u w:val="none"/>
          <w:lang w:val="en-US" w:eastAsia="zh-CN"/>
        </w:rPr>
      </w:pPr>
      <w:r>
        <w:rPr>
          <w:rFonts w:hint="eastAsia" w:eastAsia="方正仿宋_GBK" w:cs="Times New Roman"/>
          <w:b w:val="0"/>
          <w:bCs w:val="0"/>
          <w:color w:val="auto"/>
          <w:spacing w:val="0"/>
          <w:kern w:val="21"/>
          <w:sz w:val="32"/>
          <w:szCs w:val="32"/>
          <w:highlight w:val="none"/>
          <w:u w:val="none"/>
          <w:lang w:val="en-US" w:eastAsia="zh-CN"/>
        </w:rPr>
        <w:t>紧紧围绕</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《成渝地区双城经济圈建设规划纲要》，</w:t>
      </w:r>
      <w:r>
        <w:rPr>
          <w:rFonts w:hint="eastAsia" w:eastAsia="方正仿宋_GBK" w:cs="Times New Roman"/>
          <w:b w:val="0"/>
          <w:bCs w:val="0"/>
          <w:color w:val="auto"/>
          <w:spacing w:val="0"/>
          <w:kern w:val="21"/>
          <w:sz w:val="32"/>
          <w:szCs w:val="32"/>
          <w:highlight w:val="none"/>
          <w:u w:val="none"/>
          <w:lang w:val="en-US" w:eastAsia="zh-CN"/>
        </w:rPr>
        <w:t>认真</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落实人力资源社会保障部</w:t>
      </w:r>
      <w:r>
        <w:rPr>
          <w:rFonts w:hint="eastAsia" w:eastAsia="方正仿宋_GBK" w:cs="Times New Roman"/>
          <w:b w:val="0"/>
          <w:bCs w:val="0"/>
          <w:color w:val="auto"/>
          <w:spacing w:val="0"/>
          <w:kern w:val="21"/>
          <w:sz w:val="32"/>
          <w:szCs w:val="32"/>
          <w:highlight w:val="none"/>
          <w:u w:val="none"/>
          <w:lang w:val="en-US" w:eastAsia="zh-CN"/>
        </w:rPr>
        <w:t>、</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重庆市人民政府</w:t>
      </w:r>
      <w:r>
        <w:rPr>
          <w:rFonts w:hint="eastAsia" w:eastAsia="方正仿宋_GBK" w:cs="Times New Roman"/>
          <w:b w:val="0"/>
          <w:bCs w:val="0"/>
          <w:color w:val="auto"/>
          <w:spacing w:val="0"/>
          <w:kern w:val="21"/>
          <w:sz w:val="32"/>
          <w:szCs w:val="32"/>
          <w:highlight w:val="none"/>
          <w:u w:val="none"/>
          <w:lang w:val="en-US" w:eastAsia="zh-CN"/>
        </w:rPr>
        <w:t>、</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四川省人民政府《推动成渝地区双城经济圈建设深化人力资源社会保障战略合作协议》</w:t>
      </w:r>
      <w:r>
        <w:rPr>
          <w:rFonts w:hint="eastAsia" w:eastAsia="方正仿宋_GBK" w:cs="Times New Roman"/>
          <w:b w:val="0"/>
          <w:bCs w:val="0"/>
          <w:color w:val="auto"/>
          <w:spacing w:val="0"/>
          <w:kern w:val="21"/>
          <w:sz w:val="32"/>
          <w:szCs w:val="32"/>
          <w:highlight w:val="none"/>
          <w:u w:val="none"/>
          <w:lang w:val="en-US" w:eastAsia="zh-CN"/>
        </w:rPr>
        <w:t>和</w:t>
      </w:r>
      <w:r>
        <w:rPr>
          <w:rFonts w:hint="default" w:ascii="Times New Roman" w:hAnsi="Times New Roman" w:eastAsia="方正仿宋_GBK" w:cs="Times New Roman"/>
          <w:b w:val="0"/>
          <w:bCs w:val="0"/>
          <w:color w:val="auto"/>
          <w:spacing w:val="0"/>
          <w:kern w:val="21"/>
          <w:sz w:val="32"/>
          <w:szCs w:val="32"/>
          <w:highlight w:val="none"/>
          <w:u w:val="none"/>
          <w:lang w:val="en-US" w:eastAsia="zh-CN"/>
        </w:rPr>
        <w:t>重庆市人社局</w:t>
      </w:r>
      <w:r>
        <w:rPr>
          <w:rFonts w:hint="eastAsia" w:eastAsia="方正仿宋_GBK" w:cs="Times New Roman"/>
          <w:b w:val="0"/>
          <w:bCs w:val="0"/>
          <w:color w:val="auto"/>
          <w:spacing w:val="0"/>
          <w:kern w:val="21"/>
          <w:sz w:val="32"/>
          <w:szCs w:val="32"/>
          <w:highlight w:val="none"/>
          <w:u w:val="none"/>
          <w:lang w:val="en-US" w:eastAsia="zh-CN"/>
        </w:rPr>
        <w:t>、</w:t>
      </w:r>
      <w:r>
        <w:rPr>
          <w:rFonts w:hint="default" w:ascii="Times New Roman" w:hAnsi="Times New Roman" w:eastAsia="方正仿宋_GBK" w:cs="Times New Roman"/>
          <w:b w:val="0"/>
          <w:bCs w:val="0"/>
          <w:color w:val="auto"/>
          <w:spacing w:val="0"/>
          <w:kern w:val="21"/>
          <w:sz w:val="32"/>
          <w:szCs w:val="32"/>
          <w:highlight w:val="none"/>
          <w:u w:val="none"/>
          <w:lang w:val="en-US" w:eastAsia="zh-CN"/>
        </w:rPr>
        <w:t>四川省人社厅《共同推动成渝地区双城经济圈建设川渝人力资源和社会保障合作协议</w:t>
      </w:r>
      <w:r>
        <w:rPr>
          <w:rFonts w:hint="eastAsia" w:eastAsia="方正仿宋_GBK" w:cs="Times New Roman"/>
          <w:b w:val="0"/>
          <w:bCs w:val="0"/>
          <w:color w:val="auto"/>
          <w:spacing w:val="0"/>
          <w:kern w:val="21"/>
          <w:sz w:val="32"/>
          <w:szCs w:val="32"/>
          <w:highlight w:val="none"/>
          <w:u w:val="none"/>
          <w:lang w:val="en-US" w:eastAsia="zh-CN"/>
        </w:rPr>
        <w:t>》</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w:t>
      </w:r>
      <w:r>
        <w:rPr>
          <w:rFonts w:hint="default" w:ascii="Times New Roman" w:hAnsi="Times New Roman" w:eastAsia="方正仿宋_GBK" w:cs="Times New Roman"/>
          <w:b w:val="0"/>
          <w:bCs w:val="0"/>
          <w:color w:val="auto"/>
          <w:spacing w:val="0"/>
          <w:kern w:val="21"/>
          <w:sz w:val="32"/>
          <w:szCs w:val="32"/>
          <w:highlight w:val="none"/>
          <w:u w:val="none"/>
          <w:lang w:val="en-US" w:eastAsia="zh-CN"/>
        </w:rPr>
        <w:t>加快推动万盛经开区和泸县</w:t>
      </w:r>
      <w:r>
        <w:rPr>
          <w:rFonts w:hint="eastAsia" w:eastAsia="方正仿宋_GBK" w:cs="Times New Roman"/>
          <w:b w:val="0"/>
          <w:bCs w:val="0"/>
          <w:color w:val="auto"/>
          <w:spacing w:val="0"/>
          <w:kern w:val="21"/>
          <w:sz w:val="32"/>
          <w:szCs w:val="32"/>
          <w:highlight w:val="none"/>
          <w:u w:val="none"/>
          <w:lang w:val="en-US" w:eastAsia="zh-CN"/>
        </w:rPr>
        <w:t>等</w:t>
      </w:r>
      <w:r>
        <w:rPr>
          <w:rFonts w:hint="default" w:ascii="Times New Roman" w:hAnsi="Times New Roman" w:eastAsia="方正仿宋_GBK" w:cs="Times New Roman"/>
          <w:b w:val="0"/>
          <w:bCs w:val="0"/>
          <w:color w:val="auto"/>
          <w:spacing w:val="0"/>
          <w:kern w:val="21"/>
          <w:sz w:val="32"/>
          <w:szCs w:val="32"/>
          <w:highlight w:val="none"/>
          <w:u w:val="none"/>
          <w:lang w:val="en-US" w:eastAsia="zh-CN"/>
        </w:rPr>
        <w:t>人力社保</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协同</w:t>
      </w:r>
      <w:r>
        <w:rPr>
          <w:rFonts w:hint="default" w:ascii="Times New Roman" w:hAnsi="Times New Roman" w:eastAsia="方正仿宋_GBK" w:cs="Times New Roman"/>
          <w:b w:val="0"/>
          <w:bCs w:val="0"/>
          <w:color w:val="auto"/>
          <w:spacing w:val="0"/>
          <w:kern w:val="21"/>
          <w:sz w:val="32"/>
          <w:szCs w:val="32"/>
          <w:highlight w:val="none"/>
          <w:u w:val="none"/>
          <w:lang w:val="en-US" w:eastAsia="zh-CN"/>
        </w:rPr>
        <w:t>高质量发展，</w:t>
      </w:r>
      <w:r>
        <w:rPr>
          <w:rFonts w:hint="eastAsia" w:eastAsia="方正仿宋_GBK" w:cs="Times New Roman"/>
          <w:b w:val="0"/>
          <w:bCs w:val="0"/>
          <w:color w:val="auto"/>
          <w:spacing w:val="0"/>
          <w:kern w:val="21"/>
          <w:sz w:val="32"/>
          <w:szCs w:val="32"/>
          <w:highlight w:val="none"/>
          <w:u w:val="none"/>
          <w:lang w:val="en-US" w:eastAsia="zh-CN"/>
        </w:rPr>
        <w:t>积极</w:t>
      </w:r>
      <w:r>
        <w:rPr>
          <w:rFonts w:hint="default" w:ascii="Times New Roman" w:hAnsi="Times New Roman" w:eastAsia="方正仿宋_GBK" w:cs="Times New Roman"/>
          <w:b w:val="0"/>
          <w:bCs w:val="0"/>
          <w:color w:val="auto"/>
          <w:spacing w:val="0"/>
          <w:kern w:val="21"/>
          <w:sz w:val="32"/>
          <w:szCs w:val="32"/>
          <w:highlight w:val="none"/>
          <w:u w:val="none"/>
          <w:lang w:val="en-US" w:eastAsia="zh-CN"/>
        </w:rPr>
        <w:t>融入成渝地区双城经济圈建设，</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助推地区经济社会发展。</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kern w:val="21"/>
          <w:sz w:val="32"/>
          <w:szCs w:val="32"/>
          <w:highlight w:val="none"/>
          <w:u w:val="none"/>
          <w:lang w:val="en-US" w:eastAsia="zh-CN"/>
        </w:rPr>
      </w:pPr>
      <w:r>
        <w:rPr>
          <w:rFonts w:hint="default" w:ascii="Times New Roman" w:hAnsi="Times New Roman" w:eastAsia="方正仿宋_GBK" w:cs="Times New Roman"/>
          <w:b w:val="0"/>
          <w:bCs w:val="0"/>
          <w:color w:val="auto"/>
          <w:spacing w:val="0"/>
          <w:kern w:val="21"/>
          <w:sz w:val="32"/>
          <w:szCs w:val="32"/>
          <w:highlight w:val="none"/>
          <w:u w:val="none"/>
          <w:lang w:val="en-US" w:eastAsia="zh-CN"/>
        </w:rPr>
        <w:t>推进公共就业创业服务协同，促进人力资源顺畅流动</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w:t>
      </w:r>
      <w:r>
        <w:rPr>
          <w:rFonts w:hint="default" w:ascii="Times New Roman" w:hAnsi="Times New Roman" w:eastAsia="方正仿宋_GBK" w:cs="Times New Roman"/>
          <w:b w:val="0"/>
          <w:bCs w:val="0"/>
          <w:color w:val="auto"/>
          <w:spacing w:val="0"/>
          <w:kern w:val="21"/>
          <w:sz w:val="32"/>
          <w:szCs w:val="32"/>
          <w:highlight w:val="none"/>
          <w:u w:val="none"/>
          <w:lang w:val="en-US" w:eastAsia="zh-CN"/>
        </w:rPr>
        <w:t>建立公共就业创业服务协作机制。开展工作交流互动和协作，实现两地就业创业信息、数据共享。协作开展公共就业创业服务。加强</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两地</w:t>
      </w:r>
      <w:r>
        <w:rPr>
          <w:rFonts w:hint="default" w:ascii="Times New Roman" w:hAnsi="Times New Roman" w:eastAsia="方正仿宋_GBK" w:cs="Times New Roman"/>
          <w:b w:val="0"/>
          <w:bCs w:val="0"/>
          <w:color w:val="auto"/>
          <w:spacing w:val="0"/>
          <w:kern w:val="21"/>
          <w:sz w:val="32"/>
          <w:szCs w:val="32"/>
          <w:highlight w:val="none"/>
          <w:u w:val="none"/>
          <w:lang w:val="en-US" w:eastAsia="zh-CN"/>
        </w:rPr>
        <w:t>用工招聘信息交流与对接</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w:t>
      </w:r>
      <w:r>
        <w:rPr>
          <w:rFonts w:hint="default" w:ascii="Times New Roman" w:hAnsi="Times New Roman" w:eastAsia="方正仿宋_GBK" w:cs="Times New Roman"/>
          <w:b w:val="0"/>
          <w:bCs w:val="0"/>
          <w:color w:val="auto"/>
          <w:spacing w:val="0"/>
          <w:kern w:val="21"/>
          <w:sz w:val="32"/>
          <w:szCs w:val="32"/>
          <w:highlight w:val="none"/>
          <w:u w:val="none"/>
          <w:lang w:val="en-US" w:eastAsia="zh-CN"/>
        </w:rPr>
        <w:t>适时联合举办线上、线下招聘活动</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，共同</w:t>
      </w:r>
      <w:r>
        <w:rPr>
          <w:rFonts w:hint="default" w:ascii="Times New Roman" w:hAnsi="Times New Roman" w:eastAsia="方正仿宋_GBK" w:cs="Times New Roman"/>
          <w:b w:val="0"/>
          <w:bCs w:val="0"/>
          <w:color w:val="auto"/>
          <w:spacing w:val="0"/>
          <w:kern w:val="21"/>
          <w:sz w:val="32"/>
          <w:szCs w:val="32"/>
          <w:highlight w:val="none"/>
          <w:u w:val="none"/>
          <w:lang w:val="en-US" w:eastAsia="zh-CN"/>
        </w:rPr>
        <w:t>搭建供需服务平台</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w:t>
      </w:r>
      <w:r>
        <w:rPr>
          <w:rFonts w:hint="default" w:ascii="Times New Roman" w:hAnsi="Times New Roman" w:eastAsia="方正仿宋_GBK" w:cs="Times New Roman"/>
          <w:b w:val="0"/>
          <w:bCs w:val="0"/>
          <w:color w:val="auto"/>
          <w:spacing w:val="0"/>
          <w:kern w:val="21"/>
          <w:sz w:val="32"/>
          <w:szCs w:val="32"/>
          <w:highlight w:val="none"/>
          <w:u w:val="none"/>
          <w:lang w:val="en-US" w:eastAsia="zh-CN"/>
        </w:rPr>
        <w:t>建立人才服务和档案服务管理协同机制。</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kern w:val="21"/>
          <w:sz w:val="32"/>
          <w:szCs w:val="32"/>
          <w:highlight w:val="none"/>
          <w:u w:val="none"/>
          <w:lang w:val="en-US" w:eastAsia="zh-CN"/>
        </w:rPr>
      </w:pPr>
      <w:r>
        <w:rPr>
          <w:rFonts w:hint="default" w:ascii="Times New Roman" w:hAnsi="Times New Roman" w:eastAsia="方正仿宋_GBK" w:cs="Times New Roman"/>
          <w:b w:val="0"/>
          <w:bCs w:val="0"/>
          <w:color w:val="auto"/>
          <w:spacing w:val="0"/>
          <w:kern w:val="21"/>
          <w:sz w:val="32"/>
          <w:szCs w:val="32"/>
          <w:highlight w:val="none"/>
          <w:u w:val="none"/>
          <w:lang w:val="en-US" w:eastAsia="zh-CN"/>
        </w:rPr>
        <w:t>推进人力资源服务业协同发展。建立经营性人力资源服务机构许可备案、分支机构设立和从业人员资格互认制度。鼓励经营性人力资源服务机构到</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两地</w:t>
      </w:r>
      <w:r>
        <w:rPr>
          <w:rFonts w:hint="default" w:ascii="Times New Roman" w:hAnsi="Times New Roman" w:eastAsia="方正仿宋_GBK" w:cs="Times New Roman"/>
          <w:b w:val="0"/>
          <w:bCs w:val="0"/>
          <w:color w:val="auto"/>
          <w:spacing w:val="0"/>
          <w:kern w:val="21"/>
          <w:sz w:val="32"/>
          <w:szCs w:val="32"/>
          <w:highlight w:val="none"/>
          <w:u w:val="none"/>
          <w:lang w:val="en-US" w:eastAsia="zh-CN"/>
        </w:rPr>
        <w:t>从事经营活动，积极推荐诚信度较高、实力雄厚的优质人力资源服务机构开展战略合作，推动两地人力资源和中高端人才顺畅流动</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w:t>
      </w:r>
      <w:r>
        <w:rPr>
          <w:rFonts w:hint="default" w:ascii="Times New Roman" w:hAnsi="Times New Roman" w:eastAsia="方正仿宋_GBK" w:cs="Times New Roman"/>
          <w:b w:val="0"/>
          <w:bCs w:val="0"/>
          <w:color w:val="auto"/>
          <w:spacing w:val="0"/>
          <w:kern w:val="21"/>
          <w:sz w:val="32"/>
          <w:szCs w:val="32"/>
          <w:highlight w:val="none"/>
          <w:u w:val="none"/>
          <w:lang w:val="en-US" w:eastAsia="zh-CN"/>
        </w:rPr>
        <w:t>为两地经济发展提供人力资源和人才保障。开展农民工数据监测，共建共享农民工基础信息数据库。加强技工教育融入发展。积极参与共建技工教育联盟，支持两地技工院校、企业跨区域开展校校、校企、校地合作，互派教师交流任教、互派学生交流学习、互设就业见习基地，协同开发适应双方经济发展的特色职业（工种）培训线下示范教材和线上培训示范教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pacing w:val="0"/>
          <w:kern w:val="21"/>
          <w:sz w:val="32"/>
          <w:szCs w:val="32"/>
          <w:highlight w:val="none"/>
          <w:u w:val="none"/>
          <w:lang w:val="en-US" w:eastAsia="zh-CN"/>
        </w:rPr>
      </w:pPr>
      <w:r>
        <w:rPr>
          <w:rFonts w:hint="default" w:ascii="Times New Roman" w:hAnsi="Times New Roman" w:eastAsia="方正仿宋_GBK" w:cs="Times New Roman"/>
          <w:b w:val="0"/>
          <w:bCs w:val="0"/>
          <w:color w:val="auto"/>
          <w:spacing w:val="0"/>
          <w:kern w:val="21"/>
          <w:sz w:val="32"/>
          <w:szCs w:val="32"/>
          <w:highlight w:val="none"/>
          <w:u w:val="none"/>
          <w:lang w:val="en-US" w:eastAsia="zh-CN"/>
        </w:rPr>
        <w:t>加强专业技术人才工作协作</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w:t>
      </w:r>
      <w:r>
        <w:rPr>
          <w:rFonts w:hint="default" w:ascii="Times New Roman" w:hAnsi="Times New Roman" w:eastAsia="方正仿宋_GBK" w:cs="Times New Roman"/>
          <w:b w:val="0"/>
          <w:bCs w:val="0"/>
          <w:color w:val="auto"/>
          <w:spacing w:val="0"/>
          <w:kern w:val="21"/>
          <w:sz w:val="32"/>
          <w:szCs w:val="32"/>
          <w:highlight w:val="none"/>
          <w:u w:val="none"/>
          <w:lang w:val="en-US" w:eastAsia="zh-CN"/>
        </w:rPr>
        <w:t>推动专业技术职称互认。推行职称电子证书，实现职称网上互查互认、证书通用，逐步取消跨区域流动专业技术职称确认手续办理，按川渝统一部署推进建立专业技术人才职称互认机制，推动两地专家资源在评审、智力服务等方面共享合作，建立两地专家资源共享机制。加强专业技术人才继续教育合作，建立继续教育公需科目学时（学分）互认机制。推进技能人才培养协作</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w:t>
      </w:r>
      <w:r>
        <w:rPr>
          <w:rFonts w:hint="default" w:ascii="Times New Roman" w:hAnsi="Times New Roman" w:eastAsia="方正仿宋_GBK" w:cs="Times New Roman"/>
          <w:b w:val="0"/>
          <w:bCs w:val="0"/>
          <w:color w:val="auto"/>
          <w:spacing w:val="0"/>
          <w:kern w:val="21"/>
          <w:sz w:val="32"/>
          <w:szCs w:val="32"/>
          <w:highlight w:val="none"/>
          <w:u w:val="none"/>
          <w:lang w:val="en-US" w:eastAsia="zh-CN"/>
        </w:rPr>
        <w:t>协作开展职业技能培训和职业能力建设</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w:t>
      </w:r>
      <w:r>
        <w:rPr>
          <w:rFonts w:hint="default" w:ascii="Times New Roman" w:hAnsi="Times New Roman" w:eastAsia="方正仿宋_GBK" w:cs="Times New Roman"/>
          <w:b w:val="0"/>
          <w:bCs w:val="0"/>
          <w:color w:val="auto"/>
          <w:spacing w:val="0"/>
          <w:kern w:val="21"/>
          <w:sz w:val="32"/>
          <w:szCs w:val="32"/>
          <w:highlight w:val="none"/>
          <w:u w:val="none"/>
          <w:lang w:val="en-US" w:eastAsia="zh-CN"/>
        </w:rPr>
        <w:t>促进技能人才评价互认。推进专项职业能力考核证书互认和数据互通。加强技能人才培养。发挥两地特色培训品牌优势，合作开展职业技能提升行动</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w:t>
      </w:r>
      <w:r>
        <w:rPr>
          <w:rFonts w:hint="default" w:ascii="Times New Roman" w:hAnsi="Times New Roman" w:eastAsia="方正仿宋_GBK" w:cs="Times New Roman"/>
          <w:b w:val="0"/>
          <w:bCs w:val="0"/>
          <w:color w:val="auto"/>
          <w:spacing w:val="0"/>
          <w:kern w:val="21"/>
          <w:sz w:val="32"/>
          <w:szCs w:val="32"/>
          <w:highlight w:val="none"/>
          <w:u w:val="none"/>
          <w:lang w:val="en-US" w:eastAsia="zh-CN"/>
        </w:rPr>
        <w:t>联合开展技能技艺交流活动，加强技能人才、专家教练交流合作</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kern w:val="21"/>
          <w:sz w:val="32"/>
          <w:szCs w:val="32"/>
          <w:highlight w:val="none"/>
          <w:u w:val="none"/>
          <w:lang w:val="en-US" w:eastAsia="zh-CN"/>
        </w:rPr>
      </w:pPr>
      <w:r>
        <w:rPr>
          <w:rFonts w:hint="default" w:ascii="Times New Roman" w:hAnsi="Times New Roman" w:eastAsia="方正仿宋_GBK" w:cs="Times New Roman"/>
          <w:b w:val="0"/>
          <w:bCs w:val="0"/>
          <w:color w:val="auto"/>
          <w:spacing w:val="0"/>
          <w:kern w:val="21"/>
          <w:sz w:val="32"/>
          <w:szCs w:val="32"/>
          <w:highlight w:val="none"/>
          <w:u w:val="none"/>
          <w:lang w:val="en-US" w:eastAsia="zh-CN"/>
        </w:rPr>
        <w:t>推进社会保险协同互认</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。逐步</w:t>
      </w:r>
      <w:r>
        <w:rPr>
          <w:rFonts w:hint="default" w:ascii="Times New Roman" w:hAnsi="Times New Roman" w:eastAsia="方正仿宋_GBK" w:cs="Times New Roman"/>
          <w:b w:val="0"/>
          <w:bCs w:val="0"/>
          <w:color w:val="auto"/>
          <w:spacing w:val="0"/>
          <w:kern w:val="21"/>
          <w:sz w:val="32"/>
          <w:szCs w:val="32"/>
          <w:highlight w:val="none"/>
          <w:u w:val="none"/>
          <w:lang w:val="en-US" w:eastAsia="zh-CN"/>
        </w:rPr>
        <w:t>推进养老保险关系无障碍转移接续。按川渝两地人社工作统一部署，推动两地企业职工基本养老保险关系转移电子化，取消企业职工基本养老保险关系转移接续纸质表单邮寄传递，逐步实现城镇企业职工基本养老保险、城乡居民养老保险、机关事业单位养老保险和职业年金无障碍转移接续。建立社会保险协同互认机制。为双方异地生活享受养老、工伤保险待遇人员提供同等认证服务。农民工、新业态新经济平台从业人员和灵活就业人员等不受户籍限制，按规定在两地参加企业职工基本养老保险。</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kern w:val="21"/>
          <w:sz w:val="32"/>
          <w:szCs w:val="32"/>
          <w:highlight w:val="none"/>
          <w:u w:val="none"/>
          <w:lang w:val="en-US" w:eastAsia="zh-CN"/>
        </w:rPr>
      </w:pPr>
      <w:r>
        <w:rPr>
          <w:rFonts w:hint="default" w:ascii="Times New Roman" w:hAnsi="Times New Roman" w:eastAsia="方正仿宋_GBK" w:cs="Times New Roman"/>
          <w:b w:val="0"/>
          <w:bCs w:val="0"/>
          <w:color w:val="auto"/>
          <w:spacing w:val="0"/>
          <w:kern w:val="21"/>
          <w:sz w:val="32"/>
          <w:szCs w:val="32"/>
          <w:highlight w:val="none"/>
          <w:u w:val="none"/>
          <w:lang w:val="en-US" w:eastAsia="zh-CN"/>
        </w:rPr>
        <w:t>加强社会保险风险防控协作。</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协同</w:t>
      </w:r>
      <w:r>
        <w:rPr>
          <w:rFonts w:hint="default" w:ascii="Times New Roman" w:hAnsi="Times New Roman" w:eastAsia="方正仿宋_GBK" w:cs="Times New Roman"/>
          <w:b w:val="0"/>
          <w:bCs w:val="0"/>
          <w:color w:val="auto"/>
          <w:spacing w:val="0"/>
          <w:kern w:val="21"/>
          <w:sz w:val="32"/>
          <w:szCs w:val="32"/>
          <w:highlight w:val="none"/>
          <w:u w:val="none"/>
          <w:lang w:val="en-US" w:eastAsia="zh-CN"/>
        </w:rPr>
        <w:t>办理社会保险异地骗保、违规补缴转移、异地养老保险待遇重复领取、死亡冒领等案件，配合收回欺诈冒领等违规基金。共同推进社保卡应用和便民服务。以凭证用卡、待遇进卡、结算持卡、线上扫码为应用推进重点，推进社保卡异地办理服务，开展电子社保卡线上应用，逐步实现跨地域办理社保卡业务、跨区域协同社保卡应用，提升两地社保卡一体化便</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民服务功效。</w:t>
      </w:r>
      <w:r>
        <w:rPr>
          <w:rFonts w:hint="default" w:ascii="Times New Roman" w:hAnsi="Times New Roman" w:eastAsia="方正仿宋_GBK" w:cs="Times New Roman"/>
          <w:b w:val="0"/>
          <w:bCs w:val="0"/>
          <w:color w:val="auto"/>
          <w:spacing w:val="0"/>
          <w:kern w:val="21"/>
          <w:sz w:val="32"/>
          <w:szCs w:val="32"/>
          <w:highlight w:val="none"/>
          <w:u w:val="none"/>
          <w:lang w:val="en-US" w:eastAsia="zh-CN"/>
        </w:rPr>
        <w:t>推进异地工伤认定和劳动能力鉴定委托合作。开展工伤认定事故委托调查，建立工伤认定、劳动能力鉴定协查和结果互认机制，不定期开展多种形式的工伤认定经验交流活动。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kern w:val="21"/>
          <w:sz w:val="32"/>
          <w:szCs w:val="32"/>
          <w:highlight w:val="none"/>
          <w:u w:val="none"/>
          <w:lang w:val="en-US" w:eastAsia="zh-CN"/>
        </w:rPr>
      </w:pPr>
      <w:r>
        <w:rPr>
          <w:rFonts w:hint="default" w:ascii="Times New Roman" w:hAnsi="Times New Roman" w:eastAsia="方正仿宋_GBK" w:cs="Times New Roman"/>
          <w:b w:val="0"/>
          <w:bCs w:val="0"/>
          <w:color w:val="auto"/>
          <w:spacing w:val="0"/>
          <w:kern w:val="21"/>
          <w:sz w:val="32"/>
          <w:szCs w:val="32"/>
          <w:highlight w:val="none"/>
          <w:u w:val="none"/>
          <w:lang w:val="en-US" w:eastAsia="zh-CN"/>
        </w:rPr>
        <w:t>加强劳动关系协作服务</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w:t>
      </w:r>
      <w:r>
        <w:rPr>
          <w:rFonts w:hint="default" w:ascii="Times New Roman" w:hAnsi="Times New Roman" w:eastAsia="方正仿宋_GBK" w:cs="Times New Roman"/>
          <w:b w:val="0"/>
          <w:bCs w:val="0"/>
          <w:color w:val="auto"/>
          <w:spacing w:val="0"/>
          <w:kern w:val="21"/>
          <w:sz w:val="32"/>
          <w:szCs w:val="32"/>
          <w:highlight w:val="none"/>
          <w:u w:val="none"/>
          <w:lang w:val="en-US" w:eastAsia="zh-CN"/>
        </w:rPr>
        <w:t>深化劳动保障监察合作。建立联席会议制度、案件跨区域协查制度，开展劳动保障监察案件协调联动，开展拖欠农民工工</w:t>
      </w:r>
      <w:r>
        <w:rPr>
          <w:rFonts w:hint="eastAsia" w:ascii="Times New Roman" w:hAnsi="Times New Roman" w:eastAsia="方正仿宋_GBK" w:cs="Times New Roman"/>
          <w:b w:val="0"/>
          <w:bCs w:val="0"/>
          <w:color w:val="auto"/>
          <w:spacing w:val="0"/>
          <w:kern w:val="21"/>
          <w:sz w:val="32"/>
          <w:szCs w:val="32"/>
          <w:highlight w:val="none"/>
          <w:u w:val="none"/>
          <w:lang w:val="en-US" w:eastAsia="zh-CN"/>
        </w:rPr>
        <w:t>资“黑名单”、重大劳动保</w:t>
      </w:r>
      <w:r>
        <w:rPr>
          <w:rFonts w:hint="default" w:ascii="Times New Roman" w:hAnsi="Times New Roman" w:eastAsia="方正仿宋_GBK" w:cs="Times New Roman"/>
          <w:b w:val="0"/>
          <w:bCs w:val="0"/>
          <w:color w:val="auto"/>
          <w:spacing w:val="0"/>
          <w:kern w:val="21"/>
          <w:sz w:val="32"/>
          <w:szCs w:val="32"/>
          <w:highlight w:val="none"/>
          <w:u w:val="none"/>
          <w:lang w:val="en-US" w:eastAsia="zh-CN"/>
        </w:rPr>
        <w:t>障违法行为社会公布信息共享，联合打击人力资源市场违法行为，联合开展查处和打击非法职介、黑中介等行动，提高两地劳动保障监察机构执法水平。深化劳动人事争议仲裁合作。建立跨区域劳动人事争议案件处理协作和经验交流机制，加强劳动人事争议调解仲裁案件办理合作，联合开展劳动人事争议仲裁交流研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center"/>
        <w:textAlignment w:val="auto"/>
        <w:outlineLvl w:val="9"/>
        <w:rPr>
          <w:rFonts w:hint="eastAsia" w:ascii="方正楷体_GBK" w:hAnsi="方正楷体_GBK" w:eastAsia="方正楷体_GBK" w:cs="方正楷体_GBK"/>
          <w:b w:val="0"/>
          <w:bCs w:val="0"/>
          <w:color w:val="auto"/>
          <w:spacing w:val="0"/>
          <w:kern w:val="21"/>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pacing w:val="0"/>
          <w:kern w:val="21"/>
          <w:sz w:val="32"/>
          <w:szCs w:val="32"/>
          <w:highlight w:val="none"/>
          <w:u w:val="none"/>
        </w:rPr>
      </w:pPr>
      <w:r>
        <w:rPr>
          <w:rFonts w:hint="eastAsia" w:ascii="方正楷体_GBK" w:hAnsi="方正楷体_GBK" w:eastAsia="方正楷体_GBK" w:cs="方正楷体_GBK"/>
          <w:b w:val="0"/>
          <w:bCs w:val="0"/>
          <w:color w:val="auto"/>
          <w:spacing w:val="0"/>
          <w:kern w:val="21"/>
          <w:sz w:val="32"/>
          <w:szCs w:val="32"/>
          <w:highlight w:val="none"/>
          <w:u w:val="none"/>
        </w:rPr>
        <w:t>第</w:t>
      </w:r>
      <w:r>
        <w:rPr>
          <w:rFonts w:hint="eastAsia" w:ascii="方正楷体_GBK" w:hAnsi="方正楷体_GBK" w:eastAsia="方正楷体_GBK" w:cs="方正楷体_GBK"/>
          <w:b w:val="0"/>
          <w:bCs w:val="0"/>
          <w:color w:val="auto"/>
          <w:spacing w:val="0"/>
          <w:kern w:val="21"/>
          <w:sz w:val="32"/>
          <w:szCs w:val="32"/>
          <w:highlight w:val="none"/>
          <w:u w:val="none"/>
          <w:lang w:val="en-US" w:eastAsia="zh-CN"/>
        </w:rPr>
        <w:t>二</w:t>
      </w:r>
      <w:r>
        <w:rPr>
          <w:rFonts w:hint="eastAsia" w:ascii="方正楷体_GBK" w:hAnsi="方正楷体_GBK" w:eastAsia="方正楷体_GBK" w:cs="方正楷体_GBK"/>
          <w:b w:val="0"/>
          <w:bCs w:val="0"/>
          <w:color w:val="auto"/>
          <w:spacing w:val="0"/>
          <w:kern w:val="21"/>
          <w:sz w:val="32"/>
          <w:szCs w:val="32"/>
          <w:highlight w:val="none"/>
          <w:u w:val="none"/>
        </w:rPr>
        <w:t xml:space="preserve">节  </w:t>
      </w:r>
      <w:r>
        <w:rPr>
          <w:rFonts w:hint="eastAsia" w:ascii="方正楷体_GBK" w:hAnsi="方正楷体_GBK" w:eastAsia="方正楷体_GBK" w:cs="方正楷体_GBK"/>
          <w:b w:val="0"/>
          <w:bCs w:val="0"/>
          <w:color w:val="auto"/>
          <w:spacing w:val="0"/>
          <w:kern w:val="21"/>
          <w:sz w:val="32"/>
          <w:szCs w:val="32"/>
          <w:highlight w:val="none"/>
          <w:u w:val="none"/>
          <w:lang w:eastAsia="zh-CN"/>
        </w:rPr>
        <w:t>融入</w:t>
      </w:r>
      <w:r>
        <w:rPr>
          <w:rFonts w:hint="eastAsia" w:ascii="方正楷体_GBK" w:hAnsi="方正楷体_GBK" w:eastAsia="方正楷体_GBK" w:cs="方正楷体_GBK"/>
          <w:b w:val="0"/>
          <w:bCs w:val="0"/>
          <w:color w:val="auto"/>
          <w:spacing w:val="0"/>
          <w:kern w:val="21"/>
          <w:sz w:val="32"/>
          <w:szCs w:val="32"/>
          <w:highlight w:val="none"/>
          <w:u w:val="none"/>
        </w:rPr>
        <w:t>“一区两群”协调发展</w:t>
      </w:r>
    </w:p>
    <w:p>
      <w:pPr>
        <w:keepNext w:val="0"/>
        <w:keepLines w:val="0"/>
        <w:pageBreakBefore w:val="0"/>
        <w:widowControl w:val="0"/>
        <w:kinsoku/>
        <w:wordWrap/>
        <w:overflowPunct/>
        <w:topLinePunct w:val="0"/>
        <w:autoSpaceDE/>
        <w:autoSpaceDN/>
        <w:bidi w:val="0"/>
        <w:adjustRightInd/>
        <w:spacing w:line="594" w:lineRule="exact"/>
        <w:ind w:left="0" w:firstLine="640" w:firstLineChars="200"/>
        <w:textAlignment w:val="auto"/>
        <w:rPr>
          <w:rFonts w:hint="eastAsia" w:ascii="Times New Roman" w:hAnsi="Times New Roman" w:eastAsia="方正仿宋_GBK"/>
          <w:b w:val="0"/>
          <w:bCs w:val="0"/>
          <w:color w:val="auto"/>
          <w:spacing w:val="0"/>
          <w:kern w:val="21"/>
          <w:sz w:val="32"/>
          <w:szCs w:val="32"/>
          <w:highlight w:val="none"/>
          <w:u w:val="none"/>
        </w:rPr>
      </w:pPr>
      <w:r>
        <w:rPr>
          <w:rFonts w:hint="eastAsia" w:ascii="Times New Roman" w:hAnsi="Times New Roman" w:eastAsia="方正仿宋_GBK"/>
          <w:b w:val="0"/>
          <w:bCs w:val="0"/>
          <w:color w:val="auto"/>
          <w:spacing w:val="0"/>
          <w:kern w:val="21"/>
          <w:sz w:val="32"/>
          <w:szCs w:val="32"/>
          <w:highlight w:val="none"/>
          <w:u w:val="none"/>
        </w:rPr>
        <w:t>认真贯彻</w:t>
      </w:r>
      <w:r>
        <w:rPr>
          <w:rFonts w:hint="eastAsia" w:eastAsia="方正仿宋_GBK"/>
          <w:b w:val="0"/>
          <w:bCs w:val="0"/>
          <w:color w:val="auto"/>
          <w:spacing w:val="0"/>
          <w:kern w:val="21"/>
          <w:sz w:val="32"/>
          <w:szCs w:val="32"/>
          <w:highlight w:val="none"/>
          <w:u w:val="none"/>
          <w:lang w:eastAsia="zh-CN"/>
        </w:rPr>
        <w:t>落实</w:t>
      </w:r>
      <w:r>
        <w:rPr>
          <w:rFonts w:hint="eastAsia" w:ascii="Times New Roman" w:hAnsi="Times New Roman" w:eastAsia="方正仿宋_GBK"/>
          <w:b w:val="0"/>
          <w:bCs w:val="0"/>
          <w:color w:val="auto"/>
          <w:spacing w:val="0"/>
          <w:kern w:val="21"/>
          <w:sz w:val="32"/>
          <w:szCs w:val="32"/>
          <w:highlight w:val="none"/>
          <w:u w:val="none"/>
        </w:rPr>
        <w:t>市委“一区两群”协调发展战略，</w:t>
      </w:r>
      <w:r>
        <w:rPr>
          <w:rFonts w:hint="eastAsia" w:eastAsia="方正仿宋_GBK"/>
          <w:b w:val="0"/>
          <w:bCs w:val="0"/>
          <w:color w:val="auto"/>
          <w:spacing w:val="0"/>
          <w:kern w:val="21"/>
          <w:sz w:val="32"/>
          <w:szCs w:val="32"/>
          <w:highlight w:val="none"/>
          <w:u w:val="none"/>
          <w:lang w:eastAsia="zh-CN"/>
        </w:rPr>
        <w:t>用好</w:t>
      </w:r>
      <w:r>
        <w:rPr>
          <w:rFonts w:hint="eastAsia" w:ascii="Times New Roman" w:hAnsi="Times New Roman" w:eastAsia="方正仿宋_GBK"/>
          <w:b w:val="0"/>
          <w:bCs w:val="0"/>
          <w:color w:val="auto"/>
          <w:spacing w:val="0"/>
          <w:kern w:val="21"/>
          <w:sz w:val="32"/>
          <w:szCs w:val="32"/>
          <w:highlight w:val="none"/>
          <w:u w:val="none"/>
        </w:rPr>
        <w:t>“一区两群”区县对口协同发展机制</w:t>
      </w:r>
      <w:r>
        <w:rPr>
          <w:rFonts w:hint="eastAsia" w:eastAsia="方正仿宋_GBK"/>
          <w:b w:val="0"/>
          <w:bCs w:val="0"/>
          <w:color w:val="auto"/>
          <w:spacing w:val="0"/>
          <w:kern w:val="21"/>
          <w:sz w:val="32"/>
          <w:szCs w:val="32"/>
          <w:highlight w:val="none"/>
          <w:u w:val="none"/>
          <w:lang w:eastAsia="zh-CN"/>
        </w:rPr>
        <w:t>，</w:t>
      </w:r>
      <w:r>
        <w:rPr>
          <w:rFonts w:hint="eastAsia" w:ascii="Times New Roman" w:hAnsi="Times New Roman" w:eastAsia="方正仿宋_GBK"/>
          <w:b w:val="0"/>
          <w:bCs w:val="0"/>
          <w:color w:val="auto"/>
          <w:spacing w:val="0"/>
          <w:kern w:val="21"/>
          <w:sz w:val="32"/>
          <w:szCs w:val="32"/>
          <w:highlight w:val="none"/>
          <w:u w:val="none"/>
          <w:lang w:eastAsia="zh-CN"/>
        </w:rPr>
        <w:t>抓好“</w:t>
      </w:r>
      <w:r>
        <w:rPr>
          <w:rFonts w:hint="eastAsia" w:ascii="Times New Roman" w:hAnsi="Times New Roman" w:eastAsia="方正仿宋_GBK"/>
          <w:b w:val="0"/>
          <w:bCs w:val="0"/>
          <w:color w:val="auto"/>
          <w:spacing w:val="0"/>
          <w:kern w:val="21"/>
          <w:sz w:val="32"/>
          <w:szCs w:val="32"/>
          <w:highlight w:val="none"/>
          <w:u w:val="none"/>
        </w:rPr>
        <w:t>万盛·开州</w:t>
      </w:r>
      <w:r>
        <w:rPr>
          <w:rFonts w:hint="eastAsia" w:eastAsia="方正仿宋_GBK"/>
          <w:b w:val="0"/>
          <w:bCs w:val="0"/>
          <w:color w:val="auto"/>
          <w:spacing w:val="0"/>
          <w:kern w:val="21"/>
          <w:sz w:val="32"/>
          <w:szCs w:val="32"/>
          <w:highlight w:val="none"/>
          <w:u w:val="none"/>
          <w:lang w:eastAsia="zh-CN"/>
        </w:rPr>
        <w:t>‘</w:t>
      </w:r>
      <w:r>
        <w:rPr>
          <w:rFonts w:hint="eastAsia" w:ascii="Times New Roman" w:hAnsi="Times New Roman" w:eastAsia="方正仿宋_GBK"/>
          <w:b w:val="0"/>
          <w:bCs w:val="0"/>
          <w:color w:val="auto"/>
          <w:spacing w:val="0"/>
          <w:kern w:val="21"/>
          <w:sz w:val="32"/>
          <w:szCs w:val="32"/>
          <w:highlight w:val="none"/>
          <w:u w:val="none"/>
        </w:rPr>
        <w:t>十四五</w:t>
      </w:r>
      <w:r>
        <w:rPr>
          <w:rFonts w:hint="eastAsia" w:eastAsia="方正仿宋_GBK"/>
          <w:b w:val="0"/>
          <w:bCs w:val="0"/>
          <w:color w:val="auto"/>
          <w:spacing w:val="0"/>
          <w:kern w:val="21"/>
          <w:sz w:val="32"/>
          <w:szCs w:val="32"/>
          <w:highlight w:val="none"/>
          <w:u w:val="none"/>
          <w:lang w:eastAsia="zh-CN"/>
        </w:rPr>
        <w:t>’</w:t>
      </w:r>
      <w:r>
        <w:rPr>
          <w:rFonts w:hint="eastAsia" w:ascii="Times New Roman" w:hAnsi="Times New Roman" w:eastAsia="方正仿宋_GBK"/>
          <w:b w:val="0"/>
          <w:bCs w:val="0"/>
          <w:color w:val="auto"/>
          <w:spacing w:val="0"/>
          <w:kern w:val="21"/>
          <w:sz w:val="32"/>
          <w:szCs w:val="32"/>
          <w:highlight w:val="none"/>
          <w:u w:val="none"/>
        </w:rPr>
        <w:t>对口协同发展</w:t>
      </w:r>
      <w:r>
        <w:rPr>
          <w:rFonts w:hint="eastAsia" w:ascii="Times New Roman" w:hAnsi="Times New Roman" w:eastAsia="方正仿宋_GBK"/>
          <w:b w:val="0"/>
          <w:bCs w:val="0"/>
          <w:color w:val="auto"/>
          <w:spacing w:val="0"/>
          <w:kern w:val="21"/>
          <w:sz w:val="32"/>
          <w:szCs w:val="32"/>
          <w:highlight w:val="none"/>
          <w:u w:val="none"/>
          <w:lang w:eastAsia="zh-CN"/>
        </w:rPr>
        <w:t>实施方案”</w:t>
      </w:r>
      <w:r>
        <w:rPr>
          <w:rFonts w:hint="eastAsia" w:eastAsia="方正仿宋_GBK"/>
          <w:b w:val="0"/>
          <w:bCs w:val="0"/>
          <w:color w:val="auto"/>
          <w:spacing w:val="0"/>
          <w:kern w:val="21"/>
          <w:sz w:val="32"/>
          <w:szCs w:val="32"/>
          <w:highlight w:val="none"/>
          <w:u w:val="none"/>
          <w:lang w:eastAsia="zh-CN"/>
        </w:rPr>
        <w:t>中确定的人力资源和社会保障领域重点任务。</w:t>
      </w:r>
      <w:r>
        <w:rPr>
          <w:rFonts w:hint="eastAsia" w:eastAsia="方正仿宋_GBK" w:cs="方正仿宋_GBK"/>
          <w:b w:val="0"/>
          <w:bCs w:val="0"/>
          <w:color w:val="auto"/>
          <w:spacing w:val="0"/>
          <w:kern w:val="21"/>
          <w:sz w:val="32"/>
          <w:szCs w:val="32"/>
          <w:highlight w:val="none"/>
          <w:u w:val="none"/>
          <w:lang w:eastAsia="zh-CN"/>
        </w:rPr>
        <w:t>支持</w:t>
      </w:r>
      <w:r>
        <w:rPr>
          <w:rFonts w:hint="eastAsia" w:ascii="Times New Roman" w:hAnsi="Times New Roman" w:eastAsia="方正仿宋_GBK" w:cs="方正仿宋_GBK"/>
          <w:b w:val="0"/>
          <w:bCs w:val="0"/>
          <w:color w:val="auto"/>
          <w:spacing w:val="0"/>
          <w:kern w:val="21"/>
          <w:sz w:val="32"/>
          <w:szCs w:val="32"/>
          <w:highlight w:val="none"/>
          <w:u w:val="none"/>
        </w:rPr>
        <w:t>开州区户籍的创业者到万盛科创大厦创业的免费提供创业工位</w:t>
      </w:r>
      <w:r>
        <w:rPr>
          <w:rFonts w:hint="eastAsia" w:eastAsia="方正仿宋_GBK" w:cs="方正仿宋_GBK"/>
          <w:b w:val="0"/>
          <w:bCs w:val="0"/>
          <w:color w:val="auto"/>
          <w:spacing w:val="0"/>
          <w:kern w:val="21"/>
          <w:sz w:val="32"/>
          <w:szCs w:val="32"/>
          <w:highlight w:val="none"/>
          <w:u w:val="none"/>
          <w:lang w:eastAsia="zh-CN"/>
        </w:rPr>
        <w:t>。</w:t>
      </w:r>
      <w:r>
        <w:rPr>
          <w:rFonts w:hint="eastAsia" w:ascii="Times New Roman" w:hAnsi="Times New Roman" w:eastAsia="方正仿宋_GBK" w:cs="方正仿宋_GBK"/>
          <w:b w:val="0"/>
          <w:bCs w:val="0"/>
          <w:color w:val="auto"/>
          <w:spacing w:val="0"/>
          <w:kern w:val="21"/>
          <w:sz w:val="32"/>
          <w:szCs w:val="32"/>
          <w:highlight w:val="none"/>
          <w:u w:val="none"/>
        </w:rPr>
        <w:t>开展</w:t>
      </w:r>
      <w:r>
        <w:rPr>
          <w:rFonts w:hint="eastAsia" w:eastAsia="方正仿宋_GBK" w:cs="方正仿宋_GBK"/>
          <w:b w:val="0"/>
          <w:bCs w:val="0"/>
          <w:color w:val="auto"/>
          <w:spacing w:val="0"/>
          <w:kern w:val="21"/>
          <w:sz w:val="32"/>
          <w:szCs w:val="32"/>
          <w:highlight w:val="none"/>
          <w:u w:val="none"/>
          <w:lang w:eastAsia="zh-CN"/>
        </w:rPr>
        <w:t>万盛与开州</w:t>
      </w:r>
      <w:r>
        <w:rPr>
          <w:rFonts w:hint="eastAsia" w:ascii="Times New Roman" w:hAnsi="Times New Roman" w:eastAsia="方正仿宋_GBK" w:cs="方正仿宋_GBK"/>
          <w:b w:val="0"/>
          <w:bCs w:val="0"/>
          <w:color w:val="auto"/>
          <w:spacing w:val="0"/>
          <w:kern w:val="21"/>
          <w:sz w:val="32"/>
          <w:szCs w:val="32"/>
          <w:highlight w:val="none"/>
          <w:u w:val="none"/>
        </w:rPr>
        <w:t>劳动力资源配置协作</w:t>
      </w:r>
      <w:r>
        <w:rPr>
          <w:rFonts w:hint="eastAsia" w:eastAsia="方正仿宋_GBK" w:cs="方正仿宋_GBK"/>
          <w:b w:val="0"/>
          <w:bCs w:val="0"/>
          <w:color w:val="auto"/>
          <w:spacing w:val="0"/>
          <w:kern w:val="21"/>
          <w:sz w:val="32"/>
          <w:szCs w:val="32"/>
          <w:highlight w:val="none"/>
          <w:u w:val="none"/>
          <w:lang w:eastAsia="zh-CN"/>
        </w:rPr>
        <w:t>，</w:t>
      </w:r>
      <w:r>
        <w:rPr>
          <w:rFonts w:ascii="Times New Roman" w:hAnsi="Times New Roman" w:eastAsia="方正仿宋_GBK"/>
          <w:b w:val="0"/>
          <w:bCs w:val="0"/>
          <w:color w:val="auto"/>
          <w:spacing w:val="0"/>
          <w:kern w:val="21"/>
          <w:sz w:val="32"/>
          <w:szCs w:val="32"/>
          <w:highlight w:val="none"/>
          <w:u w:val="none"/>
        </w:rPr>
        <w:t>建立</w:t>
      </w:r>
      <w:r>
        <w:rPr>
          <w:rFonts w:hint="eastAsia" w:eastAsia="方正仿宋_GBK"/>
          <w:b w:val="0"/>
          <w:bCs w:val="0"/>
          <w:color w:val="auto"/>
          <w:spacing w:val="0"/>
          <w:kern w:val="21"/>
          <w:sz w:val="32"/>
          <w:szCs w:val="32"/>
          <w:highlight w:val="none"/>
          <w:u w:val="none"/>
          <w:lang w:eastAsia="zh-CN"/>
        </w:rPr>
        <w:t>两地</w:t>
      </w:r>
      <w:r>
        <w:rPr>
          <w:rFonts w:ascii="Times New Roman" w:hAnsi="Times New Roman" w:eastAsia="方正仿宋_GBK"/>
          <w:b w:val="0"/>
          <w:bCs w:val="0"/>
          <w:color w:val="auto"/>
          <w:spacing w:val="0"/>
          <w:kern w:val="21"/>
          <w:sz w:val="32"/>
          <w:szCs w:val="32"/>
          <w:highlight w:val="none"/>
          <w:u w:val="none"/>
        </w:rPr>
        <w:t>劳动力供应双向互动调配协作机制</w:t>
      </w:r>
      <w:r>
        <w:rPr>
          <w:rFonts w:hint="eastAsia" w:ascii="Times New Roman" w:hAnsi="Times New Roman" w:eastAsia="方正仿宋_GBK"/>
          <w:b w:val="0"/>
          <w:bCs w:val="0"/>
          <w:color w:val="auto"/>
          <w:spacing w:val="0"/>
          <w:kern w:val="21"/>
          <w:sz w:val="32"/>
          <w:szCs w:val="32"/>
          <w:highlight w:val="none"/>
          <w:u w:val="none"/>
        </w:rPr>
        <w:t>，</w:t>
      </w:r>
      <w:r>
        <w:rPr>
          <w:rFonts w:ascii="Times New Roman" w:hAnsi="Times New Roman" w:eastAsia="方正仿宋_GBK"/>
          <w:b w:val="0"/>
          <w:bCs w:val="0"/>
          <w:color w:val="auto"/>
          <w:spacing w:val="0"/>
          <w:kern w:val="21"/>
          <w:sz w:val="32"/>
          <w:szCs w:val="32"/>
          <w:highlight w:val="none"/>
          <w:u w:val="none"/>
        </w:rPr>
        <w:t>推进就业信息共享</w:t>
      </w:r>
      <w:r>
        <w:rPr>
          <w:rFonts w:hint="eastAsia" w:ascii="Times New Roman" w:hAnsi="Times New Roman" w:eastAsia="方正仿宋_GBK"/>
          <w:b w:val="0"/>
          <w:bCs w:val="0"/>
          <w:color w:val="auto"/>
          <w:spacing w:val="0"/>
          <w:kern w:val="21"/>
          <w:sz w:val="32"/>
          <w:szCs w:val="32"/>
          <w:highlight w:val="none"/>
          <w:u w:val="none"/>
        </w:rPr>
        <w:t>，</w:t>
      </w:r>
      <w:r>
        <w:rPr>
          <w:rFonts w:ascii="Times New Roman" w:hAnsi="Times New Roman" w:eastAsia="方正仿宋_GBK"/>
          <w:b w:val="0"/>
          <w:bCs w:val="0"/>
          <w:color w:val="auto"/>
          <w:spacing w:val="0"/>
          <w:kern w:val="21"/>
          <w:sz w:val="32"/>
          <w:szCs w:val="32"/>
          <w:highlight w:val="none"/>
          <w:u w:val="none"/>
        </w:rPr>
        <w:t>开展定向招聘、定岗培训</w:t>
      </w:r>
      <w:r>
        <w:rPr>
          <w:rFonts w:hint="eastAsia" w:ascii="Times New Roman" w:hAnsi="Times New Roman" w:eastAsia="方正仿宋_GBK"/>
          <w:b w:val="0"/>
          <w:bCs w:val="0"/>
          <w:color w:val="auto"/>
          <w:spacing w:val="0"/>
          <w:kern w:val="21"/>
          <w:sz w:val="32"/>
          <w:szCs w:val="32"/>
          <w:highlight w:val="none"/>
          <w:u w:val="none"/>
        </w:rPr>
        <w:t>。万盛经开区</w:t>
      </w:r>
      <w:r>
        <w:rPr>
          <w:rFonts w:ascii="Times New Roman" w:hAnsi="Times New Roman" w:eastAsia="方正仿宋_GBK"/>
          <w:b w:val="0"/>
          <w:bCs w:val="0"/>
          <w:color w:val="auto"/>
          <w:spacing w:val="0"/>
          <w:kern w:val="21"/>
          <w:sz w:val="32"/>
          <w:szCs w:val="32"/>
          <w:highlight w:val="none"/>
          <w:u w:val="none"/>
        </w:rPr>
        <w:t>每年为</w:t>
      </w:r>
      <w:r>
        <w:rPr>
          <w:rFonts w:hint="eastAsia" w:ascii="Times New Roman" w:hAnsi="Times New Roman" w:eastAsia="方正仿宋_GBK"/>
          <w:b w:val="0"/>
          <w:bCs w:val="0"/>
          <w:color w:val="auto"/>
          <w:spacing w:val="0"/>
          <w:kern w:val="21"/>
          <w:sz w:val="32"/>
          <w:szCs w:val="32"/>
          <w:highlight w:val="none"/>
          <w:u w:val="none"/>
        </w:rPr>
        <w:t>开州</w:t>
      </w:r>
      <w:r>
        <w:rPr>
          <w:rFonts w:ascii="Times New Roman" w:hAnsi="Times New Roman" w:eastAsia="方正仿宋_GBK"/>
          <w:b w:val="0"/>
          <w:bCs w:val="0"/>
          <w:color w:val="auto"/>
          <w:spacing w:val="0"/>
          <w:kern w:val="21"/>
          <w:sz w:val="32"/>
          <w:szCs w:val="32"/>
          <w:highlight w:val="none"/>
          <w:u w:val="none"/>
        </w:rPr>
        <w:t>区提供</w:t>
      </w:r>
      <w:r>
        <w:rPr>
          <w:rFonts w:hint="eastAsia" w:ascii="Times New Roman" w:hAnsi="Times New Roman" w:eastAsia="方正仿宋_GBK"/>
          <w:b w:val="0"/>
          <w:bCs w:val="0"/>
          <w:color w:val="auto"/>
          <w:spacing w:val="0"/>
          <w:kern w:val="21"/>
          <w:sz w:val="32"/>
          <w:szCs w:val="32"/>
          <w:highlight w:val="none"/>
          <w:u w:val="none"/>
        </w:rPr>
        <w:t>100</w:t>
      </w:r>
      <w:r>
        <w:rPr>
          <w:rFonts w:ascii="Times New Roman" w:hAnsi="Times New Roman" w:eastAsia="方正仿宋_GBK"/>
          <w:b w:val="0"/>
          <w:bCs w:val="0"/>
          <w:color w:val="auto"/>
          <w:spacing w:val="0"/>
          <w:kern w:val="21"/>
          <w:sz w:val="32"/>
          <w:szCs w:val="32"/>
          <w:highlight w:val="none"/>
          <w:u w:val="none"/>
        </w:rPr>
        <w:t>个以上的就业岗位</w:t>
      </w:r>
      <w:r>
        <w:rPr>
          <w:rFonts w:hint="eastAsia" w:ascii="Times New Roman" w:hAnsi="Times New Roman" w:eastAsia="方正仿宋_GBK"/>
          <w:b w:val="0"/>
          <w:bCs w:val="0"/>
          <w:color w:val="auto"/>
          <w:spacing w:val="0"/>
          <w:kern w:val="21"/>
          <w:sz w:val="32"/>
          <w:szCs w:val="32"/>
          <w:highlight w:val="none"/>
          <w:u w:val="none"/>
        </w:rPr>
        <w:t>，</w:t>
      </w:r>
      <w:r>
        <w:rPr>
          <w:rFonts w:ascii="Times New Roman" w:hAnsi="Times New Roman" w:eastAsia="方正仿宋_GBK"/>
          <w:b w:val="0"/>
          <w:bCs w:val="0"/>
          <w:color w:val="auto"/>
          <w:spacing w:val="0"/>
          <w:kern w:val="21"/>
          <w:sz w:val="32"/>
          <w:szCs w:val="32"/>
          <w:highlight w:val="none"/>
          <w:u w:val="none"/>
        </w:rPr>
        <w:t>开展就业培训</w:t>
      </w:r>
      <w:r>
        <w:rPr>
          <w:rFonts w:hint="eastAsia" w:ascii="Times New Roman" w:hAnsi="Times New Roman" w:eastAsia="方正仿宋_GBK"/>
          <w:b w:val="0"/>
          <w:bCs w:val="0"/>
          <w:color w:val="auto"/>
          <w:spacing w:val="0"/>
          <w:kern w:val="21"/>
          <w:sz w:val="32"/>
          <w:szCs w:val="32"/>
          <w:highlight w:val="none"/>
          <w:u w:val="none"/>
        </w:rPr>
        <w:t>150</w:t>
      </w:r>
      <w:r>
        <w:rPr>
          <w:rFonts w:ascii="Times New Roman" w:hAnsi="Times New Roman" w:eastAsia="方正仿宋_GBK"/>
          <w:b w:val="0"/>
          <w:bCs w:val="0"/>
          <w:color w:val="auto"/>
          <w:spacing w:val="0"/>
          <w:kern w:val="21"/>
          <w:sz w:val="32"/>
          <w:szCs w:val="32"/>
          <w:highlight w:val="none"/>
          <w:u w:val="none"/>
        </w:rPr>
        <w:t>人次以上</w:t>
      </w:r>
      <w:r>
        <w:rPr>
          <w:rFonts w:hint="eastAsia" w:ascii="Times New Roman" w:hAnsi="Times New Roman" w:eastAsia="方正仿宋_GBK"/>
          <w:b w:val="0"/>
          <w:bCs w:val="0"/>
          <w:color w:val="auto"/>
          <w:spacing w:val="0"/>
          <w:kern w:val="21"/>
          <w:sz w:val="32"/>
          <w:szCs w:val="32"/>
          <w:highlight w:val="none"/>
          <w:u w:val="none"/>
        </w:rPr>
        <w:t>，</w:t>
      </w:r>
      <w:r>
        <w:rPr>
          <w:rFonts w:ascii="Times New Roman" w:hAnsi="Times New Roman" w:eastAsia="方正仿宋_GBK"/>
          <w:b w:val="0"/>
          <w:bCs w:val="0"/>
          <w:color w:val="auto"/>
          <w:spacing w:val="0"/>
          <w:kern w:val="21"/>
          <w:sz w:val="32"/>
          <w:szCs w:val="32"/>
          <w:highlight w:val="none"/>
          <w:u w:val="none"/>
        </w:rPr>
        <w:t>并定向吸纳就业劳动力</w:t>
      </w:r>
      <w:r>
        <w:rPr>
          <w:rFonts w:hint="eastAsia" w:eastAsia="方正仿宋_GBK"/>
          <w:b w:val="0"/>
          <w:bCs w:val="0"/>
          <w:color w:val="auto"/>
          <w:spacing w:val="0"/>
          <w:kern w:val="21"/>
          <w:sz w:val="32"/>
          <w:szCs w:val="32"/>
          <w:highlight w:val="none"/>
          <w:u w:val="none"/>
          <w:lang w:eastAsia="zh-CN"/>
        </w:rPr>
        <w:t>。</w:t>
      </w:r>
      <w:r>
        <w:rPr>
          <w:rFonts w:ascii="Times New Roman" w:hAnsi="Times New Roman" w:eastAsia="方正仿宋_GBK"/>
          <w:b w:val="0"/>
          <w:bCs w:val="0"/>
          <w:color w:val="auto"/>
          <w:spacing w:val="0"/>
          <w:kern w:val="21"/>
          <w:sz w:val="32"/>
          <w:szCs w:val="32"/>
          <w:highlight w:val="none"/>
          <w:u w:val="none"/>
        </w:rPr>
        <w:t>完善就业、就医等政策</w:t>
      </w:r>
      <w:r>
        <w:rPr>
          <w:rFonts w:hint="eastAsia" w:ascii="Times New Roman" w:hAnsi="Times New Roman" w:eastAsia="方正仿宋_GBK"/>
          <w:b w:val="0"/>
          <w:bCs w:val="0"/>
          <w:color w:val="auto"/>
          <w:spacing w:val="0"/>
          <w:kern w:val="21"/>
          <w:sz w:val="32"/>
          <w:szCs w:val="32"/>
          <w:highlight w:val="none"/>
          <w:u w:val="none"/>
        </w:rPr>
        <w:t>，</w:t>
      </w:r>
      <w:r>
        <w:rPr>
          <w:rFonts w:ascii="Times New Roman" w:hAnsi="Times New Roman" w:eastAsia="方正仿宋_GBK"/>
          <w:b w:val="0"/>
          <w:bCs w:val="0"/>
          <w:color w:val="auto"/>
          <w:spacing w:val="0"/>
          <w:kern w:val="21"/>
          <w:sz w:val="32"/>
          <w:szCs w:val="32"/>
          <w:highlight w:val="none"/>
          <w:u w:val="none"/>
        </w:rPr>
        <w:t>促进</w:t>
      </w:r>
      <w:r>
        <w:rPr>
          <w:rFonts w:hint="eastAsia" w:ascii="Times New Roman" w:hAnsi="Times New Roman" w:eastAsia="方正仿宋_GBK"/>
          <w:b w:val="0"/>
          <w:bCs w:val="0"/>
          <w:color w:val="auto"/>
          <w:spacing w:val="0"/>
          <w:kern w:val="21"/>
          <w:sz w:val="32"/>
          <w:szCs w:val="32"/>
          <w:highlight w:val="none"/>
          <w:u w:val="none"/>
        </w:rPr>
        <w:t>开州区</w:t>
      </w:r>
      <w:r>
        <w:rPr>
          <w:rFonts w:ascii="Times New Roman" w:hAnsi="Times New Roman" w:eastAsia="方正仿宋_GBK"/>
          <w:b w:val="0"/>
          <w:bCs w:val="0"/>
          <w:color w:val="auto"/>
          <w:spacing w:val="0"/>
          <w:kern w:val="21"/>
          <w:sz w:val="32"/>
          <w:szCs w:val="32"/>
          <w:highlight w:val="none"/>
          <w:u w:val="none"/>
        </w:rPr>
        <w:t>劳动力向</w:t>
      </w:r>
      <w:r>
        <w:rPr>
          <w:rFonts w:hint="eastAsia" w:ascii="Times New Roman" w:hAnsi="Times New Roman" w:eastAsia="方正仿宋_GBK"/>
          <w:b w:val="0"/>
          <w:bCs w:val="0"/>
          <w:color w:val="auto"/>
          <w:spacing w:val="0"/>
          <w:kern w:val="21"/>
          <w:sz w:val="32"/>
          <w:szCs w:val="32"/>
          <w:highlight w:val="none"/>
          <w:u w:val="none"/>
        </w:rPr>
        <w:t>万盛经开区</w:t>
      </w:r>
      <w:r>
        <w:rPr>
          <w:rFonts w:ascii="Times New Roman" w:hAnsi="Times New Roman" w:eastAsia="方正仿宋_GBK"/>
          <w:b w:val="0"/>
          <w:bCs w:val="0"/>
          <w:color w:val="auto"/>
          <w:spacing w:val="0"/>
          <w:kern w:val="21"/>
          <w:sz w:val="32"/>
          <w:szCs w:val="32"/>
          <w:highlight w:val="none"/>
          <w:u w:val="none"/>
        </w:rPr>
        <w:t>就业转移</w:t>
      </w:r>
      <w:r>
        <w:rPr>
          <w:rFonts w:hint="eastAsia" w:eastAsia="方正仿宋_GBK"/>
          <w:b w:val="0"/>
          <w:bCs w:val="0"/>
          <w:color w:val="auto"/>
          <w:spacing w:val="0"/>
          <w:kern w:val="21"/>
          <w:sz w:val="32"/>
          <w:szCs w:val="32"/>
          <w:highlight w:val="none"/>
          <w:u w:val="none"/>
          <w:lang w:eastAsia="zh-CN"/>
        </w:rPr>
        <w:t>。</w:t>
      </w:r>
      <w:r>
        <w:rPr>
          <w:rFonts w:hint="eastAsia" w:ascii="Times New Roman" w:hAnsi="Times New Roman" w:eastAsia="方正仿宋_GBK" w:cs="方正仿宋_GBK"/>
          <w:b w:val="0"/>
          <w:bCs w:val="0"/>
          <w:color w:val="auto"/>
          <w:spacing w:val="0"/>
          <w:kern w:val="21"/>
          <w:sz w:val="32"/>
          <w:szCs w:val="32"/>
          <w:highlight w:val="none"/>
          <w:u w:val="none"/>
        </w:rPr>
        <w:t>建立劳动力供应双向互动调配协作机制，推进就业信息共享，积极搭建双方用工需求信息平台，</w:t>
      </w:r>
      <w:r>
        <w:rPr>
          <w:rFonts w:hint="eastAsia" w:ascii="Times New Roman" w:hAnsi="Times New Roman" w:eastAsia="方正仿宋_GBK"/>
          <w:b w:val="0"/>
          <w:bCs w:val="0"/>
          <w:color w:val="auto"/>
          <w:spacing w:val="0"/>
          <w:kern w:val="21"/>
          <w:sz w:val="32"/>
          <w:szCs w:val="32"/>
          <w:highlight w:val="none"/>
          <w:u w:val="none"/>
        </w:rPr>
        <w:t>开展定向招聘、定岗培训，万盛经开区为开州区困难家庭大学生提供</w:t>
      </w:r>
      <w:r>
        <w:rPr>
          <w:rFonts w:hint="eastAsia" w:ascii="Times New Roman" w:hAnsi="Times New Roman" w:eastAsia="方正仿宋_GBK"/>
          <w:b w:val="0"/>
          <w:bCs w:val="0"/>
          <w:color w:val="auto"/>
          <w:spacing w:val="0"/>
          <w:kern w:val="21"/>
          <w:sz w:val="32"/>
          <w:szCs w:val="32"/>
          <w:highlight w:val="none"/>
          <w:u w:val="none"/>
          <w:lang w:val="en-US" w:eastAsia="zh-CN"/>
        </w:rPr>
        <w:t>100</w:t>
      </w:r>
      <w:r>
        <w:rPr>
          <w:rFonts w:hint="eastAsia" w:ascii="Times New Roman" w:hAnsi="Times New Roman" w:eastAsia="方正仿宋_GBK"/>
          <w:b w:val="0"/>
          <w:bCs w:val="0"/>
          <w:color w:val="auto"/>
          <w:spacing w:val="0"/>
          <w:kern w:val="21"/>
          <w:sz w:val="32"/>
          <w:szCs w:val="32"/>
          <w:highlight w:val="none"/>
          <w:u w:val="none"/>
        </w:rPr>
        <w:t>个以上的就业岗位，开展就业创业培训</w:t>
      </w:r>
      <w:r>
        <w:rPr>
          <w:rFonts w:hint="eastAsia" w:ascii="Times New Roman" w:hAnsi="Times New Roman" w:eastAsia="方正仿宋_GBK"/>
          <w:b w:val="0"/>
          <w:bCs w:val="0"/>
          <w:color w:val="auto"/>
          <w:spacing w:val="0"/>
          <w:kern w:val="21"/>
          <w:sz w:val="32"/>
          <w:szCs w:val="32"/>
          <w:highlight w:val="none"/>
          <w:u w:val="none"/>
          <w:lang w:val="en-US" w:eastAsia="zh-CN"/>
        </w:rPr>
        <w:t>150</w:t>
      </w:r>
      <w:r>
        <w:rPr>
          <w:rFonts w:hint="eastAsia" w:ascii="Times New Roman" w:hAnsi="Times New Roman" w:eastAsia="方正仿宋_GBK"/>
          <w:b w:val="0"/>
          <w:bCs w:val="0"/>
          <w:color w:val="auto"/>
          <w:spacing w:val="0"/>
          <w:kern w:val="21"/>
          <w:sz w:val="32"/>
          <w:szCs w:val="32"/>
          <w:highlight w:val="none"/>
          <w:u w:val="none"/>
        </w:rPr>
        <w:t>人次以上。</w:t>
      </w:r>
    </w:p>
    <w:p>
      <w:pPr>
        <w:keepNext w:val="0"/>
        <w:keepLines w:val="0"/>
        <w:pageBreakBefore w:val="0"/>
        <w:widowControl w:val="0"/>
        <w:kinsoku/>
        <w:wordWrap/>
        <w:overflowPunct/>
        <w:topLinePunct w:val="0"/>
        <w:autoSpaceDE/>
        <w:autoSpaceDN/>
        <w:bidi w:val="0"/>
        <w:adjustRightInd/>
        <w:spacing w:line="594" w:lineRule="exact"/>
        <w:ind w:left="0" w:firstLine="640" w:firstLineChars="200"/>
        <w:textAlignment w:val="auto"/>
        <w:rPr>
          <w:rFonts w:hint="eastAsia" w:ascii="Times New Roman" w:hAnsi="Times New Roman" w:eastAsia="方正仿宋_GBK"/>
          <w:b w:val="0"/>
          <w:bCs w:val="0"/>
          <w:color w:val="auto"/>
          <w:spacing w:val="0"/>
          <w:kern w:val="21"/>
          <w:sz w:val="32"/>
          <w:szCs w:val="32"/>
          <w:highlight w:val="none"/>
          <w:u w:val="none"/>
          <w:lang w:eastAsia="zh-CN"/>
        </w:rPr>
      </w:pPr>
      <w:r>
        <w:rPr>
          <w:rFonts w:hint="eastAsia" w:eastAsia="方正仿宋_GBK"/>
          <w:b w:val="0"/>
          <w:bCs w:val="0"/>
          <w:color w:val="auto"/>
          <w:spacing w:val="0"/>
          <w:kern w:val="21"/>
          <w:sz w:val="32"/>
          <w:szCs w:val="32"/>
          <w:highlight w:val="none"/>
          <w:u w:val="none"/>
          <w:lang w:eastAsia="zh-CN"/>
        </w:rPr>
        <w:t>认真贯彻落实市委、市政府关于綦万“三化”发展的指示要求。配合党工委组织部</w:t>
      </w:r>
      <w:r>
        <w:rPr>
          <w:rFonts w:hint="eastAsia" w:ascii="Times New Roman" w:hAnsi="Times New Roman" w:eastAsia="方正仿宋_GBK"/>
          <w:b w:val="0"/>
          <w:bCs w:val="0"/>
          <w:color w:val="auto"/>
          <w:spacing w:val="0"/>
          <w:kern w:val="21"/>
          <w:sz w:val="32"/>
          <w:szCs w:val="32"/>
          <w:highlight w:val="none"/>
          <w:u w:val="none"/>
        </w:rPr>
        <w:t>落实“重庆英才计划”，营造“近悦远来”的人才发展环境</w:t>
      </w:r>
      <w:r>
        <w:rPr>
          <w:rFonts w:hint="eastAsia" w:eastAsia="方正仿宋_GBK"/>
          <w:b w:val="0"/>
          <w:bCs w:val="0"/>
          <w:color w:val="auto"/>
          <w:spacing w:val="0"/>
          <w:kern w:val="21"/>
          <w:sz w:val="32"/>
          <w:szCs w:val="32"/>
          <w:highlight w:val="none"/>
          <w:u w:val="none"/>
          <w:lang w:eastAsia="zh-CN"/>
        </w:rPr>
        <w:t>。配合科技局完善创新创业服务体系，打造高水平创业孵化平台、专业技术服务平台和一站式公共服务平台，创新“专业机构+风险投资”综合孵化模式。配合行政服务中心推动政务服务“跨省通办”和公交“一卡通”，推进社会保险协同认证、养老保险关系无障碍转移、跨省异地就医直接结算等，提高就业、看病等生产生活便捷度。健全科教文卫体等城乡人才合作交流机制，引导外出本土人才返乡创业兴业。建立健全覆盖全民、贯穿全程、辐射全域、便捷高效的全方位就业创业服务体系，促进人力资源高效配置。建设新职业培训示范基地，联合开展职业技能培训，支持创建市级公共就业创业服务示范平台。成立区域公共创业服务联盟，联合举办创业大赛，打造公共创业服务品牌。制定统一的社会保障服务指南，在社会保险、医疗保险等方面推出一批便利化措施。深化劳务协作，加强信息沟通、政策协同，畅通劳动力就业渠道，依法保护劳动者合法权益。</w:t>
      </w:r>
    </w:p>
    <w:p>
      <w:pPr>
        <w:keepNext w:val="0"/>
        <w:keepLines w:val="0"/>
        <w:pageBreakBefore w:val="0"/>
        <w:widowControl w:val="0"/>
        <w:kinsoku/>
        <w:wordWrap/>
        <w:overflowPunct/>
        <w:topLinePunct w:val="0"/>
        <w:autoSpaceDE/>
        <w:autoSpaceDN/>
        <w:bidi w:val="0"/>
        <w:adjustRightInd/>
        <w:snapToGrid/>
        <w:spacing w:line="594" w:lineRule="exact"/>
        <w:ind w:left="0" w:right="0" w:rightChars="0"/>
        <w:jc w:val="center"/>
        <w:textAlignment w:val="auto"/>
        <w:outlineLvl w:val="9"/>
        <w:rPr>
          <w:rFonts w:hint="eastAsia" w:ascii="方正楷体_GBK" w:hAnsi="方正楷体_GBK" w:eastAsia="方正楷体_GBK" w:cs="方正楷体_GBK"/>
          <w:b w:val="0"/>
          <w:bCs w:val="0"/>
          <w:color w:val="auto"/>
          <w:spacing w:val="0"/>
          <w:kern w:val="21"/>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left="0" w:right="0" w:rightChars="0"/>
        <w:jc w:val="center"/>
        <w:textAlignment w:val="auto"/>
        <w:outlineLvl w:val="9"/>
        <w:rPr>
          <w:rFonts w:hint="eastAsia" w:ascii="方正楷体_GBK" w:hAnsi="方正楷体_GBK" w:eastAsia="方正楷体_GBK" w:cs="方正楷体_GBK"/>
          <w:b w:val="0"/>
          <w:bCs w:val="0"/>
          <w:color w:val="auto"/>
          <w:spacing w:val="0"/>
          <w:kern w:val="21"/>
          <w:sz w:val="32"/>
          <w:szCs w:val="32"/>
          <w:highlight w:val="none"/>
          <w:u w:val="none"/>
          <w:lang w:val="en-US" w:eastAsia="zh-CN"/>
        </w:rPr>
      </w:pPr>
      <w:r>
        <w:rPr>
          <w:rFonts w:hint="eastAsia" w:ascii="方正楷体_GBK" w:hAnsi="方正楷体_GBK" w:eastAsia="方正楷体_GBK" w:cs="方正楷体_GBK"/>
          <w:b w:val="0"/>
          <w:bCs w:val="0"/>
          <w:color w:val="auto"/>
          <w:spacing w:val="0"/>
          <w:kern w:val="21"/>
          <w:sz w:val="32"/>
          <w:szCs w:val="32"/>
          <w:highlight w:val="none"/>
          <w:u w:val="none"/>
          <w:lang w:eastAsia="zh-CN"/>
        </w:rPr>
        <w:t>第三节</w:t>
      </w:r>
      <w:r>
        <w:rPr>
          <w:rFonts w:hint="eastAsia" w:ascii="方正楷体_GBK" w:hAnsi="方正楷体_GBK" w:eastAsia="方正楷体_GBK" w:cs="方正楷体_GBK"/>
          <w:b w:val="0"/>
          <w:bCs w:val="0"/>
          <w:color w:val="auto"/>
          <w:spacing w:val="0"/>
          <w:kern w:val="21"/>
          <w:sz w:val="32"/>
          <w:szCs w:val="32"/>
          <w:highlight w:val="none"/>
          <w:u w:val="none"/>
          <w:lang w:val="en-US" w:eastAsia="zh-CN"/>
        </w:rPr>
        <w:t xml:space="preserve">  融入渝黔合作</w:t>
      </w:r>
    </w:p>
    <w:p>
      <w:pPr>
        <w:keepNext w:val="0"/>
        <w:keepLines w:val="0"/>
        <w:pageBreakBefore w:val="0"/>
        <w:widowControl w:val="0"/>
        <w:kinsoku/>
        <w:wordWrap/>
        <w:overflowPunct/>
        <w:topLinePunct w:val="0"/>
        <w:autoSpaceDE/>
        <w:autoSpaceDN/>
        <w:bidi w:val="0"/>
        <w:adjustRightInd/>
        <w:snapToGrid/>
        <w:spacing w:line="594" w:lineRule="exact"/>
        <w:ind w:left="0" w:right="0" w:rightChars="0" w:firstLine="640" w:firstLineChars="200"/>
        <w:jc w:val="both"/>
        <w:textAlignment w:val="auto"/>
        <w:outlineLvl w:val="9"/>
        <w:rPr>
          <w:rFonts w:hint="eastAsia" w:ascii="Times New Roman" w:hAnsi="Times New Roman" w:eastAsia="方正仿宋_GBK" w:cs="Times New Roman"/>
          <w:b w:val="0"/>
          <w:bCs w:val="0"/>
          <w:color w:val="auto"/>
          <w:spacing w:val="0"/>
          <w:kern w:val="21"/>
          <w:sz w:val="32"/>
          <w:szCs w:val="32"/>
          <w:highlight w:val="none"/>
          <w:u w:val="none"/>
          <w:lang w:val="en-US" w:eastAsia="zh-CN"/>
        </w:rPr>
      </w:pPr>
      <w:r>
        <w:rPr>
          <w:rFonts w:hint="eastAsia" w:ascii="Times New Roman" w:hAnsi="Times New Roman" w:eastAsia="方正仿宋_GBK" w:cs="Times New Roman"/>
          <w:b w:val="0"/>
          <w:bCs w:val="0"/>
          <w:color w:val="auto"/>
          <w:spacing w:val="0"/>
          <w:kern w:val="21"/>
          <w:sz w:val="32"/>
          <w:szCs w:val="32"/>
          <w:highlight w:val="none"/>
          <w:u w:val="none"/>
          <w:lang w:val="en-US" w:eastAsia="zh-CN"/>
        </w:rPr>
        <w:t>深入贯彻落实市委、党工委关于渝黔合作的工作部署，依托渝筑高速、渝贵高铁等建设项目，主动与黔北地区人社部门在就业创业、社会保障、人事人才、劳动关系、巩固拓展脱贫攻坚同乡村振兴有效衔接等领域寻找合作机会，助力渝黔全方位合作，推动两地共同深度融入和服务国家战略。</w:t>
      </w:r>
    </w:p>
    <w:p>
      <w:pPr>
        <w:keepNext w:val="0"/>
        <w:keepLines w:val="0"/>
        <w:pageBreakBefore w:val="0"/>
        <w:widowControl w:val="0"/>
        <w:kinsoku/>
        <w:wordWrap/>
        <w:overflowPunct/>
        <w:topLinePunct w:val="0"/>
        <w:autoSpaceDE/>
        <w:autoSpaceDN/>
        <w:bidi w:val="0"/>
        <w:adjustRightInd/>
        <w:snapToGrid/>
        <w:spacing w:line="594" w:lineRule="exact"/>
        <w:ind w:left="0" w:right="0" w:rightChars="0"/>
        <w:jc w:val="center"/>
        <w:textAlignment w:val="auto"/>
        <w:outlineLvl w:val="9"/>
        <w:rPr>
          <w:rFonts w:hint="eastAsia" w:ascii="方正楷体_GBK" w:hAnsi="方正楷体_GBK" w:eastAsia="方正楷体_GBK" w:cs="方正楷体_GBK"/>
          <w:b w:val="0"/>
          <w:bCs w:val="0"/>
          <w:color w:val="auto"/>
          <w:spacing w:val="0"/>
          <w:kern w:val="21"/>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left="0" w:right="0" w:rightChars="0"/>
        <w:jc w:val="center"/>
        <w:textAlignment w:val="auto"/>
        <w:outlineLvl w:val="9"/>
        <w:rPr>
          <w:rFonts w:hint="eastAsia" w:ascii="方正楷体_GBK" w:hAnsi="方正楷体_GBK" w:eastAsia="方正楷体_GBK" w:cs="方正楷体_GBK"/>
          <w:b w:val="0"/>
          <w:bCs w:val="0"/>
          <w:color w:val="auto"/>
          <w:spacing w:val="0"/>
          <w:kern w:val="21"/>
          <w:sz w:val="32"/>
          <w:szCs w:val="32"/>
          <w:highlight w:val="none"/>
          <w:u w:val="none"/>
        </w:rPr>
      </w:pPr>
      <w:r>
        <w:rPr>
          <w:rFonts w:hint="eastAsia" w:ascii="方正楷体_GBK" w:hAnsi="方正楷体_GBK" w:eastAsia="方正楷体_GBK" w:cs="方正楷体_GBK"/>
          <w:b w:val="0"/>
          <w:bCs w:val="0"/>
          <w:color w:val="auto"/>
          <w:spacing w:val="0"/>
          <w:kern w:val="21"/>
          <w:sz w:val="32"/>
          <w:szCs w:val="32"/>
          <w:highlight w:val="none"/>
          <w:u w:val="none"/>
        </w:rPr>
        <w:t>第</w:t>
      </w:r>
      <w:r>
        <w:rPr>
          <w:rFonts w:hint="eastAsia" w:ascii="方正楷体_GBK" w:hAnsi="方正楷体_GBK" w:eastAsia="方正楷体_GBK" w:cs="方正楷体_GBK"/>
          <w:b w:val="0"/>
          <w:bCs w:val="0"/>
          <w:color w:val="auto"/>
          <w:spacing w:val="0"/>
          <w:kern w:val="21"/>
          <w:sz w:val="32"/>
          <w:szCs w:val="32"/>
          <w:highlight w:val="none"/>
          <w:u w:val="none"/>
          <w:lang w:val="en-US" w:eastAsia="zh-CN"/>
        </w:rPr>
        <w:t>四</w:t>
      </w:r>
      <w:r>
        <w:rPr>
          <w:rFonts w:hint="eastAsia" w:ascii="方正楷体_GBK" w:hAnsi="方正楷体_GBK" w:eastAsia="方正楷体_GBK" w:cs="方正楷体_GBK"/>
          <w:b w:val="0"/>
          <w:bCs w:val="0"/>
          <w:color w:val="auto"/>
          <w:spacing w:val="0"/>
          <w:kern w:val="21"/>
          <w:sz w:val="32"/>
          <w:szCs w:val="32"/>
          <w:highlight w:val="none"/>
          <w:u w:val="none"/>
        </w:rPr>
        <w:t>节  巩固</w:t>
      </w:r>
      <w:r>
        <w:rPr>
          <w:rFonts w:hint="eastAsia" w:ascii="方正楷体_GBK" w:hAnsi="方正楷体_GBK" w:eastAsia="方正楷体_GBK" w:cs="方正楷体_GBK"/>
          <w:b w:val="0"/>
          <w:bCs w:val="0"/>
          <w:color w:val="auto"/>
          <w:spacing w:val="0"/>
          <w:kern w:val="21"/>
          <w:sz w:val="32"/>
          <w:szCs w:val="32"/>
          <w:highlight w:val="none"/>
          <w:u w:val="none"/>
          <w:lang w:eastAsia="zh-CN"/>
        </w:rPr>
        <w:t>拓展</w:t>
      </w:r>
      <w:r>
        <w:rPr>
          <w:rFonts w:hint="eastAsia" w:ascii="方正楷体_GBK" w:hAnsi="方正楷体_GBK" w:eastAsia="方正楷体_GBK" w:cs="方正楷体_GBK"/>
          <w:b w:val="0"/>
          <w:bCs w:val="0"/>
          <w:color w:val="auto"/>
          <w:spacing w:val="0"/>
          <w:kern w:val="21"/>
          <w:sz w:val="32"/>
          <w:szCs w:val="32"/>
          <w:highlight w:val="none"/>
          <w:u w:val="none"/>
        </w:rPr>
        <w:t>脱贫攻坚成果</w:t>
      </w:r>
      <w:r>
        <w:rPr>
          <w:rFonts w:hint="eastAsia" w:ascii="方正楷体_GBK" w:hAnsi="方正楷体_GBK" w:eastAsia="方正楷体_GBK" w:cs="方正楷体_GBK"/>
          <w:b w:val="0"/>
          <w:bCs w:val="0"/>
          <w:color w:val="auto"/>
          <w:spacing w:val="0"/>
          <w:kern w:val="21"/>
          <w:sz w:val="32"/>
          <w:szCs w:val="32"/>
          <w:highlight w:val="none"/>
          <w:u w:val="none"/>
          <w:lang w:eastAsia="zh-CN"/>
        </w:rPr>
        <w:t>同</w:t>
      </w:r>
      <w:r>
        <w:rPr>
          <w:rFonts w:hint="eastAsia" w:ascii="方正楷体_GBK" w:hAnsi="方正楷体_GBK" w:eastAsia="方正楷体_GBK" w:cs="方正楷体_GBK"/>
          <w:b w:val="0"/>
          <w:bCs w:val="0"/>
          <w:color w:val="auto"/>
          <w:spacing w:val="0"/>
          <w:kern w:val="21"/>
          <w:sz w:val="32"/>
          <w:szCs w:val="32"/>
          <w:highlight w:val="none"/>
          <w:u w:val="none"/>
        </w:rPr>
        <w:t>乡村振兴</w:t>
      </w:r>
      <w:r>
        <w:rPr>
          <w:rFonts w:hint="eastAsia" w:ascii="方正楷体_GBK" w:hAnsi="方正楷体_GBK" w:eastAsia="方正楷体_GBK" w:cs="方正楷体_GBK"/>
          <w:b w:val="0"/>
          <w:bCs w:val="0"/>
          <w:color w:val="auto"/>
          <w:spacing w:val="0"/>
          <w:kern w:val="21"/>
          <w:sz w:val="32"/>
          <w:szCs w:val="32"/>
          <w:highlight w:val="none"/>
          <w:u w:val="none"/>
          <w:lang w:eastAsia="zh-CN"/>
        </w:rPr>
        <w:t>有效衔接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pacing w:val="0"/>
          <w:kern w:val="21"/>
          <w:sz w:val="32"/>
          <w:szCs w:val="32"/>
          <w:highlight w:val="none"/>
          <w:u w:val="none"/>
        </w:rPr>
      </w:pPr>
      <w:r>
        <w:rPr>
          <w:rFonts w:hint="eastAsia" w:ascii="方正仿宋_GBK" w:hAnsi="方正仿宋_GBK" w:eastAsia="方正仿宋_GBK" w:cs="方正仿宋_GBK"/>
          <w:b w:val="0"/>
          <w:bCs w:val="0"/>
          <w:color w:val="auto"/>
          <w:spacing w:val="0"/>
          <w:kern w:val="21"/>
          <w:sz w:val="32"/>
          <w:szCs w:val="32"/>
          <w:highlight w:val="none"/>
          <w:u w:val="none"/>
        </w:rPr>
        <w:t>聚焦乡村就业困难人员、低收入人口，建立施策精准、机制灵活、服务高效的人社帮扶机制，切实做好</w:t>
      </w:r>
      <w:r>
        <w:rPr>
          <w:rFonts w:hint="eastAsia" w:ascii="方正仿宋_GBK" w:hAnsi="方正仿宋_GBK" w:eastAsia="方正仿宋_GBK" w:cs="方正仿宋_GBK"/>
          <w:b w:val="0"/>
          <w:bCs w:val="0"/>
          <w:color w:val="auto"/>
          <w:spacing w:val="0"/>
          <w:kern w:val="21"/>
          <w:sz w:val="32"/>
          <w:szCs w:val="32"/>
          <w:highlight w:val="none"/>
          <w:u w:val="none"/>
          <w:lang w:eastAsia="zh-CN"/>
        </w:rPr>
        <w:t>巩固拓展脱贫攻坚成果同乡村振兴有效衔接</w:t>
      </w:r>
      <w:r>
        <w:rPr>
          <w:rFonts w:hint="eastAsia" w:ascii="方正仿宋_GBK" w:hAnsi="方正仿宋_GBK" w:eastAsia="方正仿宋_GBK" w:cs="方正仿宋_GBK"/>
          <w:b w:val="0"/>
          <w:bCs w:val="0"/>
          <w:color w:val="auto"/>
          <w:spacing w:val="0"/>
          <w:kern w:val="21"/>
          <w:sz w:val="32"/>
          <w:szCs w:val="32"/>
          <w:highlight w:val="none"/>
          <w:u w:val="none"/>
        </w:rPr>
        <w:t>相关工作。严格落实“四个不摘”要求，使现有帮扶政策、帮扶措施在过渡期内保持总体稳定，确保脱贫人口不返贫和防止发生新的贫困。推进返乡创业载体建设，吸引农民工等自主创业；实施好高校毕业生“三支一扶”计划，积极打造大学生基层就业示范项目。强化公益性岗位开发管理，做好兜底保障工作。加大乡村振兴人才培养和回引力度，推进基层卫生教育事业单位人才队伍建设，为乡村振兴提供智力支持，不断培育壮大乡村人才队伍。</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pacing w:val="0"/>
          <w:kern w:val="21"/>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left="0" w:right="0" w:rightChars="0"/>
        <w:jc w:val="center"/>
        <w:textAlignment w:val="auto"/>
        <w:outlineLvl w:val="9"/>
        <w:rPr>
          <w:rFonts w:hint="eastAsia" w:ascii="方正黑体_GBK" w:hAnsi="方正黑体_GBK" w:eastAsia="方正黑体_GBK" w:cs="方正黑体_GBK"/>
          <w:b w:val="0"/>
          <w:bCs w:val="0"/>
          <w:color w:val="auto"/>
          <w:spacing w:val="0"/>
          <w:kern w:val="21"/>
          <w:sz w:val="32"/>
          <w:szCs w:val="32"/>
          <w:highlight w:val="none"/>
          <w:u w:val="none"/>
        </w:rPr>
      </w:pPr>
      <w:r>
        <w:rPr>
          <w:rFonts w:hint="eastAsia" w:ascii="方正黑体_GBK" w:hAnsi="方正黑体_GBK" w:eastAsia="方正黑体_GBK" w:cs="方正黑体_GBK"/>
          <w:b w:val="0"/>
          <w:bCs w:val="0"/>
          <w:color w:val="auto"/>
          <w:spacing w:val="0"/>
          <w:kern w:val="21"/>
          <w:sz w:val="32"/>
          <w:szCs w:val="32"/>
          <w:highlight w:val="none"/>
          <w:u w:val="none"/>
        </w:rPr>
        <w:t>第</w:t>
      </w:r>
      <w:r>
        <w:rPr>
          <w:rFonts w:hint="eastAsia" w:ascii="方正黑体_GBK" w:hAnsi="方正黑体_GBK" w:eastAsia="方正黑体_GBK" w:cs="方正黑体_GBK"/>
          <w:b w:val="0"/>
          <w:bCs w:val="0"/>
          <w:color w:val="auto"/>
          <w:spacing w:val="0"/>
          <w:kern w:val="21"/>
          <w:sz w:val="32"/>
          <w:szCs w:val="32"/>
          <w:highlight w:val="none"/>
          <w:u w:val="none"/>
          <w:lang w:val="en-US" w:eastAsia="zh-CN"/>
        </w:rPr>
        <w:t>八</w:t>
      </w:r>
      <w:r>
        <w:rPr>
          <w:rFonts w:hint="eastAsia" w:ascii="方正黑体_GBK" w:hAnsi="方正黑体_GBK" w:eastAsia="方正黑体_GBK" w:cs="方正黑体_GBK"/>
          <w:b w:val="0"/>
          <w:bCs w:val="0"/>
          <w:color w:val="auto"/>
          <w:spacing w:val="0"/>
          <w:kern w:val="21"/>
          <w:sz w:val="32"/>
          <w:szCs w:val="32"/>
          <w:highlight w:val="none"/>
          <w:u w:val="none"/>
        </w:rPr>
        <w:t>章  支撑保障</w:t>
      </w:r>
    </w:p>
    <w:p>
      <w:pPr>
        <w:keepNext w:val="0"/>
        <w:keepLines w:val="0"/>
        <w:pageBreakBefore w:val="0"/>
        <w:widowControl w:val="0"/>
        <w:kinsoku/>
        <w:wordWrap/>
        <w:overflowPunct/>
        <w:topLinePunct w:val="0"/>
        <w:autoSpaceDE/>
        <w:autoSpaceDN/>
        <w:bidi w:val="0"/>
        <w:adjustRightInd/>
        <w:snapToGrid/>
        <w:spacing w:line="594" w:lineRule="exact"/>
        <w:ind w:left="0" w:right="0" w:rightChars="0" w:firstLine="640" w:firstLineChars="200"/>
        <w:jc w:val="both"/>
        <w:textAlignment w:val="auto"/>
        <w:outlineLvl w:val="9"/>
        <w:rPr>
          <w:rFonts w:hint="eastAsia" w:ascii="方正仿宋_GBK" w:hAnsi="方正仿宋_GBK" w:eastAsia="方正仿宋_GBK" w:cs="方正仿宋_GBK"/>
          <w:b w:val="0"/>
          <w:bCs w:val="0"/>
          <w:color w:val="auto"/>
          <w:spacing w:val="0"/>
          <w:kern w:val="21"/>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ind w:left="0" w:right="0" w:rightChars="0" w:firstLine="640" w:firstLineChars="200"/>
        <w:jc w:val="both"/>
        <w:textAlignment w:val="auto"/>
        <w:outlineLvl w:val="9"/>
        <w:rPr>
          <w:rFonts w:hint="eastAsia"/>
          <w:b w:val="0"/>
          <w:bCs w:val="0"/>
          <w:color w:val="auto"/>
          <w:spacing w:val="0"/>
          <w:kern w:val="21"/>
          <w:sz w:val="32"/>
          <w:szCs w:val="32"/>
          <w:highlight w:val="none"/>
          <w:u w:val="none"/>
        </w:rPr>
      </w:pPr>
      <w:r>
        <w:rPr>
          <w:rFonts w:hint="eastAsia" w:ascii="方正仿宋_GBK" w:hAnsi="方正仿宋_GBK" w:eastAsia="方正仿宋_GBK" w:cs="方正仿宋_GBK"/>
          <w:b w:val="0"/>
          <w:bCs w:val="0"/>
          <w:color w:val="auto"/>
          <w:spacing w:val="0"/>
          <w:kern w:val="21"/>
          <w:sz w:val="32"/>
          <w:szCs w:val="32"/>
          <w:highlight w:val="none"/>
          <w:u w:val="none"/>
          <w:lang w:val="en-US" w:eastAsia="zh-CN" w:bidi="ar-SA"/>
        </w:rPr>
        <w:t>充分发挥规划对事业发展的导向作用，建立健全规划有效实施的保障措施，确保发展目标和各项重点任务顺利完成。</w:t>
      </w:r>
    </w:p>
    <w:p>
      <w:pPr>
        <w:pStyle w:val="10"/>
        <w:keepNext w:val="0"/>
        <w:keepLines w:val="0"/>
        <w:pageBreakBefore w:val="0"/>
        <w:widowControl w:val="0"/>
        <w:kinsoku/>
        <w:wordWrap/>
        <w:overflowPunct/>
        <w:topLinePunct w:val="0"/>
        <w:autoSpaceDE/>
        <w:autoSpaceDN/>
        <w:bidi w:val="0"/>
        <w:adjustRightInd/>
        <w:spacing w:line="594" w:lineRule="exact"/>
        <w:ind w:left="0"/>
        <w:textAlignment w:val="auto"/>
        <w:rPr>
          <w:rFonts w:hint="eastAsia"/>
          <w:b w:val="0"/>
          <w:bCs w:val="0"/>
          <w:color w:val="auto"/>
          <w:spacing w:val="0"/>
          <w:kern w:val="21"/>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left="0" w:right="0" w:rightChars="0"/>
        <w:jc w:val="center"/>
        <w:textAlignment w:val="auto"/>
        <w:outlineLvl w:val="9"/>
        <w:rPr>
          <w:rFonts w:hint="eastAsia" w:ascii="方正楷体_GBK" w:hAnsi="方正楷体_GBK" w:eastAsia="方正楷体_GBK" w:cs="方正楷体_GBK"/>
          <w:b w:val="0"/>
          <w:bCs w:val="0"/>
          <w:color w:val="auto"/>
          <w:spacing w:val="0"/>
          <w:kern w:val="21"/>
          <w:sz w:val="32"/>
          <w:szCs w:val="32"/>
          <w:highlight w:val="none"/>
          <w:u w:val="none"/>
          <w:lang w:val="en-US" w:eastAsia="zh-CN"/>
        </w:rPr>
      </w:pPr>
      <w:bookmarkStart w:id="29" w:name="_Toc54345678"/>
      <w:bookmarkStart w:id="30" w:name="_Toc61283989"/>
      <w:r>
        <w:rPr>
          <w:rFonts w:hint="eastAsia" w:ascii="方正楷体_GBK" w:hAnsi="方正楷体_GBK" w:eastAsia="方正楷体_GBK" w:cs="方正楷体_GBK"/>
          <w:b w:val="0"/>
          <w:bCs w:val="0"/>
          <w:color w:val="auto"/>
          <w:spacing w:val="0"/>
          <w:kern w:val="21"/>
          <w:sz w:val="32"/>
          <w:szCs w:val="32"/>
          <w:highlight w:val="none"/>
          <w:u w:val="none"/>
          <w:lang w:val="en-US" w:eastAsia="zh-CN"/>
        </w:rPr>
        <w:t>第一节  强化法治建设</w:t>
      </w:r>
    </w:p>
    <w:p>
      <w:pPr>
        <w:keepNext w:val="0"/>
        <w:keepLines w:val="0"/>
        <w:pageBreakBefore w:val="0"/>
        <w:widowControl w:val="0"/>
        <w:kinsoku/>
        <w:wordWrap/>
        <w:overflowPunct/>
        <w:topLinePunct w:val="0"/>
        <w:autoSpaceDE/>
        <w:autoSpaceDN/>
        <w:bidi w:val="0"/>
        <w:adjustRightInd/>
        <w:snapToGrid/>
        <w:spacing w:line="594" w:lineRule="exact"/>
        <w:ind w:left="0" w:right="0" w:rightChars="0" w:firstLine="640" w:firstLineChars="200"/>
        <w:jc w:val="both"/>
        <w:textAlignment w:val="auto"/>
        <w:outlineLvl w:val="9"/>
        <w:rPr>
          <w:rFonts w:hint="eastAsia" w:ascii="方正仿宋_GBK" w:hAnsi="方正仿宋_GBK" w:eastAsia="方正仿宋_GBK" w:cs="方正仿宋_GBK"/>
          <w:b w:val="0"/>
          <w:bCs w:val="0"/>
          <w:color w:val="auto"/>
          <w:spacing w:val="0"/>
          <w:kern w:val="21"/>
          <w:sz w:val="32"/>
          <w:szCs w:val="32"/>
          <w:highlight w:val="none"/>
          <w:u w:val="none"/>
          <w:lang w:val="en-US" w:eastAsia="zh-CN" w:bidi="ar-SA"/>
        </w:rPr>
      </w:pPr>
      <w:r>
        <w:rPr>
          <w:rFonts w:hint="eastAsia" w:ascii="方正仿宋_GBK" w:hAnsi="方正仿宋_GBK" w:eastAsia="方正仿宋_GBK" w:cs="方正仿宋_GBK"/>
          <w:b w:val="0"/>
          <w:bCs w:val="0"/>
          <w:color w:val="auto"/>
          <w:spacing w:val="0"/>
          <w:kern w:val="21"/>
          <w:sz w:val="32"/>
          <w:szCs w:val="32"/>
          <w:highlight w:val="none"/>
          <w:u w:val="none"/>
          <w:lang w:val="en-US" w:eastAsia="zh-CN"/>
        </w:rPr>
        <w:t>坚决遵守和执行</w:t>
      </w:r>
      <w:r>
        <w:rPr>
          <w:rFonts w:hint="eastAsia" w:ascii="方正仿宋_GBK" w:hAnsi="方正仿宋_GBK" w:eastAsia="方正仿宋_GBK" w:cs="方正仿宋_GBK"/>
          <w:b w:val="0"/>
          <w:bCs w:val="0"/>
          <w:color w:val="auto"/>
          <w:spacing w:val="0"/>
          <w:kern w:val="21"/>
          <w:sz w:val="32"/>
          <w:szCs w:val="32"/>
          <w:highlight w:val="none"/>
          <w:u w:val="none"/>
        </w:rPr>
        <w:t>人力社保法律法规，</w:t>
      </w:r>
      <w:r>
        <w:rPr>
          <w:rFonts w:hint="eastAsia" w:ascii="方正仿宋_GBK" w:hAnsi="方正仿宋_GBK" w:eastAsia="方正仿宋_GBK" w:cs="方正仿宋_GBK"/>
          <w:b w:val="0"/>
          <w:bCs w:val="0"/>
          <w:color w:val="auto"/>
          <w:spacing w:val="0"/>
          <w:kern w:val="21"/>
          <w:sz w:val="32"/>
          <w:szCs w:val="32"/>
          <w:highlight w:val="none"/>
          <w:u w:val="none"/>
          <w:lang w:val="en-US" w:eastAsia="zh-CN" w:bidi="ar-SA"/>
        </w:rPr>
        <w:t>健全依法决策机制，完善法律顾问、公职律师、重大决策、行政应诉等工作制度，加强干部法治培训，建设德才兼备的高素质法治人社工作队伍。规范执法行为，加强执法监督。贯彻落实“放管服”改革优化营商环境创新提升行动。创新方式方法，开展好人力社保“八五”普法。</w:t>
      </w:r>
    </w:p>
    <w:bookmarkEnd w:id="29"/>
    <w:bookmarkEnd w:id="30"/>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pacing w:val="0"/>
          <w:kern w:val="21"/>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ind w:left="0" w:right="0" w:rightChars="0"/>
        <w:jc w:val="center"/>
        <w:textAlignment w:val="auto"/>
        <w:outlineLvl w:val="9"/>
        <w:rPr>
          <w:rFonts w:hint="eastAsia" w:ascii="方正楷体_GBK" w:hAnsi="方正楷体_GBK" w:eastAsia="方正楷体_GBK" w:cs="方正楷体_GBK"/>
          <w:b w:val="0"/>
          <w:bCs w:val="0"/>
          <w:color w:val="auto"/>
          <w:spacing w:val="0"/>
          <w:kern w:val="21"/>
          <w:sz w:val="32"/>
          <w:szCs w:val="32"/>
          <w:highlight w:val="none"/>
          <w:u w:val="none"/>
          <w:lang w:val="en-US" w:eastAsia="zh-CN"/>
        </w:rPr>
      </w:pPr>
      <w:r>
        <w:rPr>
          <w:rFonts w:hint="eastAsia" w:ascii="方正楷体_GBK" w:hAnsi="方正楷体_GBK" w:eastAsia="方正楷体_GBK" w:cs="方正楷体_GBK"/>
          <w:b w:val="0"/>
          <w:bCs w:val="0"/>
          <w:color w:val="auto"/>
          <w:spacing w:val="0"/>
          <w:kern w:val="21"/>
          <w:sz w:val="32"/>
          <w:szCs w:val="32"/>
          <w:highlight w:val="none"/>
          <w:u w:val="none"/>
          <w:lang w:val="en-US" w:eastAsia="zh-CN"/>
        </w:rPr>
        <w:t>第二节  强化队伍建设</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pacing w:val="0"/>
          <w:kern w:val="21"/>
          <w:sz w:val="32"/>
          <w:szCs w:val="32"/>
          <w:highlight w:val="none"/>
          <w:u w:val="none"/>
          <w:lang w:val="en-US" w:eastAsia="zh-CN"/>
        </w:rPr>
      </w:pPr>
      <w:r>
        <w:rPr>
          <w:rFonts w:hint="eastAsia" w:ascii="方正仿宋_GBK" w:hAnsi="方正仿宋_GBK" w:eastAsia="方正仿宋_GBK" w:cs="方正仿宋_GBK"/>
          <w:b w:val="0"/>
          <w:bCs w:val="0"/>
          <w:color w:val="auto"/>
          <w:spacing w:val="0"/>
          <w:kern w:val="21"/>
          <w:sz w:val="32"/>
          <w:szCs w:val="32"/>
          <w:highlight w:val="none"/>
          <w:u w:val="none"/>
          <w:lang w:val="en-US" w:eastAsia="zh-CN"/>
        </w:rPr>
        <w:t>全面加强人力社保系统干部队伍建设，落实好干部标准，提高干部适应新时代新要求，抓改革、促发展、保稳定水平和专业化能力，加强对敢担当善作为干部的激励保障，以正确用人导向引领干事创业导向。积极开展教育培训，培育选拔一批政治过硬、业务精通、作风优良的业务能手。</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楷体_GBK" w:hAnsi="方正楷体_GBK" w:eastAsia="方正楷体_GBK" w:cs="方正楷体_GBK"/>
          <w:b w:val="0"/>
          <w:bCs w:val="0"/>
          <w:color w:val="auto"/>
          <w:spacing w:val="0"/>
          <w:kern w:val="21"/>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ind w:left="0" w:right="0" w:rightChars="0"/>
        <w:jc w:val="center"/>
        <w:textAlignment w:val="auto"/>
        <w:outlineLvl w:val="9"/>
        <w:rPr>
          <w:rFonts w:hint="eastAsia" w:ascii="方正楷体_GBK" w:hAnsi="方正楷体_GBK" w:eastAsia="方正楷体_GBK" w:cs="方正楷体_GBK"/>
          <w:b w:val="0"/>
          <w:bCs w:val="0"/>
          <w:color w:val="auto"/>
          <w:spacing w:val="0"/>
          <w:kern w:val="21"/>
          <w:sz w:val="32"/>
          <w:szCs w:val="32"/>
          <w:highlight w:val="none"/>
          <w:u w:val="none"/>
          <w:lang w:val="en-US" w:eastAsia="zh-CN"/>
        </w:rPr>
      </w:pPr>
      <w:r>
        <w:rPr>
          <w:rFonts w:hint="eastAsia" w:ascii="方正楷体_GBK" w:hAnsi="方正楷体_GBK" w:eastAsia="方正楷体_GBK" w:cs="方正楷体_GBK"/>
          <w:b w:val="0"/>
          <w:bCs w:val="0"/>
          <w:color w:val="auto"/>
          <w:spacing w:val="0"/>
          <w:kern w:val="21"/>
          <w:sz w:val="32"/>
          <w:szCs w:val="32"/>
          <w:highlight w:val="none"/>
          <w:u w:val="none"/>
          <w:lang w:val="en-US" w:eastAsia="zh-CN"/>
        </w:rPr>
        <w:t>第三节  强化宣传引导</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pacing w:val="0"/>
          <w:kern w:val="21"/>
          <w:sz w:val="32"/>
          <w:szCs w:val="32"/>
          <w:highlight w:val="none"/>
          <w:u w:val="none"/>
          <w:lang w:val="en-US" w:eastAsia="zh-CN"/>
        </w:rPr>
      </w:pPr>
      <w:r>
        <w:rPr>
          <w:rFonts w:hint="eastAsia" w:ascii="方正仿宋_GBK" w:hAnsi="方正仿宋_GBK" w:eastAsia="方正仿宋_GBK" w:cs="方正仿宋_GBK"/>
          <w:b w:val="0"/>
          <w:bCs w:val="0"/>
          <w:color w:val="auto"/>
          <w:spacing w:val="0"/>
          <w:kern w:val="21"/>
          <w:sz w:val="32"/>
          <w:szCs w:val="32"/>
          <w:highlight w:val="none"/>
          <w:u w:val="none"/>
          <w:lang w:val="en-US" w:eastAsia="zh-CN"/>
        </w:rPr>
        <w:t>进一步健全宣传工作机制、夯实宣传工作平台、创新宣传工作方式，为人力社保事业发展营造良好舆论氛围。做好人力社保重大政策宣传，推进宣传解读便捷化；做好重点工作和重大专项活动宣传，积极打造人力社保工作品牌；健全完善舆情风险防控体系建设，强化社会舆论引导；加强“宣传矩阵”建设，推动人力社保政务新媒体建设提档升级。</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pacing w:val="0"/>
          <w:kern w:val="21"/>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left="0" w:right="0" w:rightChars="0"/>
        <w:jc w:val="center"/>
        <w:textAlignment w:val="auto"/>
        <w:outlineLvl w:val="9"/>
        <w:rPr>
          <w:rFonts w:hint="eastAsia" w:ascii="方正楷体_GBK" w:hAnsi="方正楷体_GBK" w:eastAsia="方正楷体_GBK" w:cs="方正楷体_GBK"/>
          <w:b w:val="0"/>
          <w:bCs w:val="0"/>
          <w:color w:val="auto"/>
          <w:spacing w:val="0"/>
          <w:kern w:val="21"/>
          <w:sz w:val="32"/>
          <w:szCs w:val="32"/>
          <w:highlight w:val="none"/>
          <w:u w:val="none"/>
        </w:rPr>
      </w:pPr>
      <w:r>
        <w:rPr>
          <w:rFonts w:hint="eastAsia" w:ascii="方正楷体_GBK" w:hAnsi="方正楷体_GBK" w:eastAsia="方正楷体_GBK" w:cs="方正楷体_GBK"/>
          <w:b w:val="0"/>
          <w:bCs w:val="0"/>
          <w:color w:val="auto"/>
          <w:spacing w:val="0"/>
          <w:kern w:val="21"/>
          <w:sz w:val="32"/>
          <w:szCs w:val="32"/>
          <w:highlight w:val="none"/>
          <w:u w:val="none"/>
        </w:rPr>
        <w:t>第四节  强化统计监测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pacing w:val="0"/>
          <w:kern w:val="21"/>
          <w:sz w:val="32"/>
          <w:szCs w:val="32"/>
          <w:highlight w:val="none"/>
          <w:u w:val="none"/>
        </w:rPr>
      </w:pPr>
      <w:r>
        <w:rPr>
          <w:rFonts w:hint="eastAsia" w:ascii="方正仿宋_GBK" w:hAnsi="方正仿宋_GBK" w:eastAsia="方正仿宋_GBK" w:cs="方正仿宋_GBK"/>
          <w:b w:val="0"/>
          <w:bCs w:val="0"/>
          <w:color w:val="auto"/>
          <w:spacing w:val="0"/>
          <w:kern w:val="21"/>
          <w:sz w:val="32"/>
          <w:szCs w:val="32"/>
          <w:highlight w:val="none"/>
          <w:u w:val="none"/>
        </w:rPr>
        <w:t>坚持和完善统一管理、上下联动、分工分级负责的统计管理体制，倡导用数据决策、用数据说话、用数据管理、用数据创新，发挥统计的决策参谋作用。加强统计数据协同共享，完善人力社保统计数据会审和内控监督制度，防范和惩治统计造假、弄虚作假。提升统计信息化水平，实现统计信息搜集、处理、传输、共享、存储和分析应用的现代化。</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pacing w:val="0"/>
          <w:kern w:val="21"/>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4" w:lineRule="exact"/>
        <w:ind w:left="0" w:right="0" w:rightChars="0"/>
        <w:jc w:val="center"/>
        <w:textAlignment w:val="auto"/>
        <w:outlineLvl w:val="9"/>
        <w:rPr>
          <w:rFonts w:hint="eastAsia" w:ascii="方正楷体_GBK" w:hAnsi="方正楷体_GBK" w:eastAsia="方正楷体_GBK" w:cs="方正楷体_GBK"/>
          <w:b w:val="0"/>
          <w:bCs w:val="0"/>
          <w:color w:val="auto"/>
          <w:spacing w:val="0"/>
          <w:kern w:val="21"/>
          <w:sz w:val="32"/>
          <w:szCs w:val="32"/>
          <w:highlight w:val="none"/>
          <w:u w:val="none"/>
          <w:lang w:eastAsia="zh-CN"/>
        </w:rPr>
      </w:pPr>
      <w:r>
        <w:rPr>
          <w:rFonts w:hint="eastAsia" w:ascii="方正楷体_GBK" w:hAnsi="方正楷体_GBK" w:eastAsia="方正楷体_GBK" w:cs="方正楷体_GBK"/>
          <w:b w:val="0"/>
          <w:bCs w:val="0"/>
          <w:color w:val="auto"/>
          <w:spacing w:val="0"/>
          <w:kern w:val="21"/>
          <w:sz w:val="32"/>
          <w:szCs w:val="32"/>
          <w:highlight w:val="none"/>
          <w:u w:val="none"/>
          <w:lang w:eastAsia="zh-CN"/>
        </w:rPr>
        <w:t>第五节  强化实施保障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u w:val="none"/>
          <w:lang w:val="en-US" w:eastAsia="zh-CN"/>
        </w:rPr>
      </w:pPr>
      <w:r>
        <w:rPr>
          <w:rFonts w:hint="eastAsia" w:ascii="方正仿宋_GBK" w:hAnsi="方正仿宋_GBK" w:eastAsia="方正仿宋_GBK" w:cs="方正仿宋_GBK"/>
          <w:b w:val="0"/>
          <w:bCs w:val="0"/>
          <w:color w:val="auto"/>
          <w:sz w:val="32"/>
          <w:szCs w:val="32"/>
          <w:highlight w:val="none"/>
          <w:u w:val="none"/>
          <w:lang w:eastAsia="zh-CN"/>
        </w:rPr>
        <w:t>健全规划实施责任体系和监测评估机制，加强年度计划的监测分析，建立健全规划重点指标的统计监测评价体系和预警机制，有效保证规划落实。建立公共财政投入公共服务的合理增长机制，确保增长幅度与财力增长相匹配、同人力社保基本公共服务需求相适应。</w:t>
      </w:r>
    </w:p>
    <w:p>
      <w:pPr>
        <w:pStyle w:val="5"/>
        <w:rPr>
          <w:rFonts w:hint="default"/>
          <w:lang w:val="en-US" w:eastAsia="zh-CN"/>
        </w:rPr>
      </w:pPr>
    </w:p>
    <w:sectPr>
      <w:footerReference r:id="rId7" w:type="default"/>
      <w:pgSz w:w="11906" w:h="16838"/>
      <w:pgMar w:top="2098" w:right="1474" w:bottom="1984"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MS Sans Serif">
    <w:altName w:val="Arial"/>
    <w:panose1 w:val="00000000000000000000"/>
    <w:charset w:val="00"/>
    <w:family w:val="roman"/>
    <w:pitch w:val="default"/>
    <w:sig w:usb0="00000000" w:usb1="00000000" w:usb2="00000000" w:usb3="00000000" w:csb0="0000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eastAsia="宋体" w:cs="宋体"/>
        <w:sz w:val="28"/>
        <w:szCs w:val="28"/>
      </w:rPr>
    </w:pPr>
  </w:p>
  <w:p>
    <w:pPr>
      <w:pStyle w:val="1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文本框 17" o:spid="_x0000_s4098" o:spt="202" type="#_x0000_t202" style="position:absolute;left:0pt;margin-top:-24.75pt;height:18.15pt;width:77.05pt;mso-position-horizontal:outside;mso-position-horizontal-relative:margin;mso-wrap-style:none;z-index:251659264;mso-width-relative:page;mso-height-relative:page;" filled="f" stroked="f" coordsize="21600,21600">
          <v:path/>
          <v:fill on="f" focussize="0,0"/>
          <v:stroke on="f"/>
          <v:imagedata o:title=""/>
          <o:lock v:ext="edit" grouping="f" rotation="f" text="f" aspectratio="f"/>
          <v:textbox inset="0mm,0mm,0mm,0mm" style="mso-fit-shape-to-text:t;">
            <w:txbxContent>
              <w:p>
                <w:pPr>
                  <w:wordWrap w:val="0"/>
                  <w:snapToGrid w:val="0"/>
                  <w:jc w:val="right"/>
                  <w:rPr>
                    <w:rFonts w:hint="eastAsia"/>
                    <w:sz w:val="28"/>
                    <w:szCs w:val="28"/>
                  </w:rPr>
                </w:pPr>
                <w:r>
                  <w:rPr>
                    <w:rFonts w:hint="eastAsia"/>
                    <w:sz w:val="28"/>
                    <w:szCs w:val="28"/>
                  </w:rPr>
                  <w:t xml:space="preserve">  —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w:t>
                </w:r>
                <w:r>
                  <w:rPr>
                    <w:rFonts w:hint="eastAsia" w:ascii="宋体" w:hAnsi="宋体" w:cs="宋体"/>
                    <w:sz w:val="28"/>
                    <w:szCs w:val="28"/>
                  </w:rPr>
                  <w:fldChar w:fldCharType="end"/>
                </w:r>
                <w:r>
                  <w:rPr>
                    <w:rFonts w:hint="eastAsia"/>
                    <w:sz w:val="28"/>
                    <w:szCs w:val="28"/>
                  </w:rPr>
                  <w:t xml:space="preserve"> —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DUyMjhlYmI1MzgyYWY1MDg5NWFkZDRiMGJlYTIyMjAifQ=="/>
  </w:docVars>
  <w:rsids>
    <w:rsidRoot w:val="00172A27"/>
    <w:rsid w:val="00000A09"/>
    <w:rsid w:val="00000E67"/>
    <w:rsid w:val="0000174C"/>
    <w:rsid w:val="0000183D"/>
    <w:rsid w:val="00001FA1"/>
    <w:rsid w:val="0000204E"/>
    <w:rsid w:val="0000229D"/>
    <w:rsid w:val="00002838"/>
    <w:rsid w:val="00002AA8"/>
    <w:rsid w:val="0000386E"/>
    <w:rsid w:val="000044B2"/>
    <w:rsid w:val="000044E5"/>
    <w:rsid w:val="00005622"/>
    <w:rsid w:val="00005AA7"/>
    <w:rsid w:val="000061F2"/>
    <w:rsid w:val="00007904"/>
    <w:rsid w:val="00010694"/>
    <w:rsid w:val="000111BB"/>
    <w:rsid w:val="0001154F"/>
    <w:rsid w:val="00011FA1"/>
    <w:rsid w:val="000123FE"/>
    <w:rsid w:val="00012445"/>
    <w:rsid w:val="00012E1E"/>
    <w:rsid w:val="00012EEC"/>
    <w:rsid w:val="0001333B"/>
    <w:rsid w:val="0001375B"/>
    <w:rsid w:val="0001377D"/>
    <w:rsid w:val="00015062"/>
    <w:rsid w:val="00015270"/>
    <w:rsid w:val="00015317"/>
    <w:rsid w:val="000159DF"/>
    <w:rsid w:val="00015B35"/>
    <w:rsid w:val="00016558"/>
    <w:rsid w:val="00017DA0"/>
    <w:rsid w:val="000206FB"/>
    <w:rsid w:val="00020B00"/>
    <w:rsid w:val="00020D6C"/>
    <w:rsid w:val="0002124B"/>
    <w:rsid w:val="00021BE3"/>
    <w:rsid w:val="00022168"/>
    <w:rsid w:val="00023131"/>
    <w:rsid w:val="0002325C"/>
    <w:rsid w:val="00023A69"/>
    <w:rsid w:val="00023BCC"/>
    <w:rsid w:val="00024A57"/>
    <w:rsid w:val="0002568E"/>
    <w:rsid w:val="000258D5"/>
    <w:rsid w:val="000258EB"/>
    <w:rsid w:val="000258F2"/>
    <w:rsid w:val="00026C7F"/>
    <w:rsid w:val="000271AA"/>
    <w:rsid w:val="000273E0"/>
    <w:rsid w:val="0002772B"/>
    <w:rsid w:val="00027984"/>
    <w:rsid w:val="00030075"/>
    <w:rsid w:val="00030AA7"/>
    <w:rsid w:val="00030D19"/>
    <w:rsid w:val="00030D5B"/>
    <w:rsid w:val="0003101E"/>
    <w:rsid w:val="000310BD"/>
    <w:rsid w:val="00031193"/>
    <w:rsid w:val="000318B7"/>
    <w:rsid w:val="000318F8"/>
    <w:rsid w:val="00031A16"/>
    <w:rsid w:val="00031C21"/>
    <w:rsid w:val="000334C9"/>
    <w:rsid w:val="00034832"/>
    <w:rsid w:val="00034E78"/>
    <w:rsid w:val="00035691"/>
    <w:rsid w:val="00035754"/>
    <w:rsid w:val="00035ADF"/>
    <w:rsid w:val="0003649D"/>
    <w:rsid w:val="00037471"/>
    <w:rsid w:val="00037E3D"/>
    <w:rsid w:val="00037F28"/>
    <w:rsid w:val="00040372"/>
    <w:rsid w:val="00041D31"/>
    <w:rsid w:val="00041F45"/>
    <w:rsid w:val="00042099"/>
    <w:rsid w:val="0004214D"/>
    <w:rsid w:val="00042A9A"/>
    <w:rsid w:val="00043127"/>
    <w:rsid w:val="0004325E"/>
    <w:rsid w:val="000433E2"/>
    <w:rsid w:val="00044A71"/>
    <w:rsid w:val="00044F47"/>
    <w:rsid w:val="00046C8A"/>
    <w:rsid w:val="00046CE2"/>
    <w:rsid w:val="00046FFF"/>
    <w:rsid w:val="000470BB"/>
    <w:rsid w:val="00047312"/>
    <w:rsid w:val="0004760C"/>
    <w:rsid w:val="00047A9F"/>
    <w:rsid w:val="00047ACC"/>
    <w:rsid w:val="00050226"/>
    <w:rsid w:val="000508B2"/>
    <w:rsid w:val="00050BCD"/>
    <w:rsid w:val="00050CF5"/>
    <w:rsid w:val="00050FAD"/>
    <w:rsid w:val="000513E3"/>
    <w:rsid w:val="000527A2"/>
    <w:rsid w:val="000527E2"/>
    <w:rsid w:val="000527FE"/>
    <w:rsid w:val="00052FA2"/>
    <w:rsid w:val="000530D7"/>
    <w:rsid w:val="0005411E"/>
    <w:rsid w:val="00054331"/>
    <w:rsid w:val="00054548"/>
    <w:rsid w:val="00054B82"/>
    <w:rsid w:val="00054E1A"/>
    <w:rsid w:val="00055347"/>
    <w:rsid w:val="000556E7"/>
    <w:rsid w:val="00055891"/>
    <w:rsid w:val="000559FD"/>
    <w:rsid w:val="00055C84"/>
    <w:rsid w:val="00055D43"/>
    <w:rsid w:val="000561E5"/>
    <w:rsid w:val="000569C1"/>
    <w:rsid w:val="00056F43"/>
    <w:rsid w:val="0005729C"/>
    <w:rsid w:val="000578FA"/>
    <w:rsid w:val="00057CE5"/>
    <w:rsid w:val="00057EB9"/>
    <w:rsid w:val="0006031E"/>
    <w:rsid w:val="00061202"/>
    <w:rsid w:val="0006195A"/>
    <w:rsid w:val="000624E6"/>
    <w:rsid w:val="0006396D"/>
    <w:rsid w:val="00063A26"/>
    <w:rsid w:val="000640A8"/>
    <w:rsid w:val="000641FF"/>
    <w:rsid w:val="00064212"/>
    <w:rsid w:val="000649AB"/>
    <w:rsid w:val="00065AB5"/>
    <w:rsid w:val="0006649C"/>
    <w:rsid w:val="000664A1"/>
    <w:rsid w:val="00067426"/>
    <w:rsid w:val="00067B5E"/>
    <w:rsid w:val="000701AC"/>
    <w:rsid w:val="00071A96"/>
    <w:rsid w:val="00071AB7"/>
    <w:rsid w:val="0007220B"/>
    <w:rsid w:val="00072C6D"/>
    <w:rsid w:val="00073844"/>
    <w:rsid w:val="000741B4"/>
    <w:rsid w:val="000743C2"/>
    <w:rsid w:val="0007470E"/>
    <w:rsid w:val="00074960"/>
    <w:rsid w:val="000759EB"/>
    <w:rsid w:val="0007645A"/>
    <w:rsid w:val="000764FE"/>
    <w:rsid w:val="000765AD"/>
    <w:rsid w:val="00076BEC"/>
    <w:rsid w:val="00076C33"/>
    <w:rsid w:val="00077EE2"/>
    <w:rsid w:val="00080231"/>
    <w:rsid w:val="00080423"/>
    <w:rsid w:val="000812F2"/>
    <w:rsid w:val="00082148"/>
    <w:rsid w:val="00082317"/>
    <w:rsid w:val="00082C82"/>
    <w:rsid w:val="000840F4"/>
    <w:rsid w:val="00084387"/>
    <w:rsid w:val="00084617"/>
    <w:rsid w:val="0008484E"/>
    <w:rsid w:val="00084A0A"/>
    <w:rsid w:val="00085B78"/>
    <w:rsid w:val="0008649A"/>
    <w:rsid w:val="00086A3E"/>
    <w:rsid w:val="00086BB3"/>
    <w:rsid w:val="000874E4"/>
    <w:rsid w:val="000876E2"/>
    <w:rsid w:val="00087921"/>
    <w:rsid w:val="00090170"/>
    <w:rsid w:val="000906E7"/>
    <w:rsid w:val="0009143A"/>
    <w:rsid w:val="00091493"/>
    <w:rsid w:val="00091C59"/>
    <w:rsid w:val="00092347"/>
    <w:rsid w:val="000923A2"/>
    <w:rsid w:val="00092560"/>
    <w:rsid w:val="00092C22"/>
    <w:rsid w:val="00092C71"/>
    <w:rsid w:val="0009339F"/>
    <w:rsid w:val="000935FF"/>
    <w:rsid w:val="00093991"/>
    <w:rsid w:val="00093CA3"/>
    <w:rsid w:val="00094211"/>
    <w:rsid w:val="000944A6"/>
    <w:rsid w:val="00094ED2"/>
    <w:rsid w:val="00095176"/>
    <w:rsid w:val="00097601"/>
    <w:rsid w:val="000977B2"/>
    <w:rsid w:val="000978B3"/>
    <w:rsid w:val="00097D7C"/>
    <w:rsid w:val="000A0CBA"/>
    <w:rsid w:val="000A0F06"/>
    <w:rsid w:val="000A1520"/>
    <w:rsid w:val="000A1724"/>
    <w:rsid w:val="000A2025"/>
    <w:rsid w:val="000A20D4"/>
    <w:rsid w:val="000A4E10"/>
    <w:rsid w:val="000A4F7A"/>
    <w:rsid w:val="000A526F"/>
    <w:rsid w:val="000A5D84"/>
    <w:rsid w:val="000A5DAB"/>
    <w:rsid w:val="000A6303"/>
    <w:rsid w:val="000B1548"/>
    <w:rsid w:val="000B17B4"/>
    <w:rsid w:val="000B1E85"/>
    <w:rsid w:val="000B2EB0"/>
    <w:rsid w:val="000B2F35"/>
    <w:rsid w:val="000B4BBA"/>
    <w:rsid w:val="000B4ED5"/>
    <w:rsid w:val="000B4F4A"/>
    <w:rsid w:val="000B582C"/>
    <w:rsid w:val="000B71AA"/>
    <w:rsid w:val="000C081B"/>
    <w:rsid w:val="000C0B7B"/>
    <w:rsid w:val="000C0E91"/>
    <w:rsid w:val="000C15B8"/>
    <w:rsid w:val="000C1704"/>
    <w:rsid w:val="000C2668"/>
    <w:rsid w:val="000C2ADB"/>
    <w:rsid w:val="000C38BC"/>
    <w:rsid w:val="000C3F84"/>
    <w:rsid w:val="000C4020"/>
    <w:rsid w:val="000C4519"/>
    <w:rsid w:val="000C5526"/>
    <w:rsid w:val="000C58BB"/>
    <w:rsid w:val="000C6CF0"/>
    <w:rsid w:val="000C6EFB"/>
    <w:rsid w:val="000C739C"/>
    <w:rsid w:val="000C73E7"/>
    <w:rsid w:val="000D208F"/>
    <w:rsid w:val="000D33A4"/>
    <w:rsid w:val="000D37BB"/>
    <w:rsid w:val="000D4F94"/>
    <w:rsid w:val="000D523A"/>
    <w:rsid w:val="000D536E"/>
    <w:rsid w:val="000D6287"/>
    <w:rsid w:val="000D652E"/>
    <w:rsid w:val="000D65D7"/>
    <w:rsid w:val="000D6C57"/>
    <w:rsid w:val="000D6D09"/>
    <w:rsid w:val="000D7694"/>
    <w:rsid w:val="000D7BCD"/>
    <w:rsid w:val="000E0135"/>
    <w:rsid w:val="000E0444"/>
    <w:rsid w:val="000E0472"/>
    <w:rsid w:val="000E08B1"/>
    <w:rsid w:val="000E103C"/>
    <w:rsid w:val="000E1C04"/>
    <w:rsid w:val="000E2222"/>
    <w:rsid w:val="000E27E5"/>
    <w:rsid w:val="000E28F9"/>
    <w:rsid w:val="000E32E9"/>
    <w:rsid w:val="000E3B7F"/>
    <w:rsid w:val="000E3FBE"/>
    <w:rsid w:val="000E41D6"/>
    <w:rsid w:val="000E4DFB"/>
    <w:rsid w:val="000E5200"/>
    <w:rsid w:val="000E5636"/>
    <w:rsid w:val="000E5EAD"/>
    <w:rsid w:val="000E683B"/>
    <w:rsid w:val="000E7210"/>
    <w:rsid w:val="000F0577"/>
    <w:rsid w:val="000F19FB"/>
    <w:rsid w:val="000F1C63"/>
    <w:rsid w:val="000F2696"/>
    <w:rsid w:val="000F374A"/>
    <w:rsid w:val="000F5515"/>
    <w:rsid w:val="000F7043"/>
    <w:rsid w:val="000F7AC4"/>
    <w:rsid w:val="000F7E8E"/>
    <w:rsid w:val="0010007D"/>
    <w:rsid w:val="0010009E"/>
    <w:rsid w:val="00100770"/>
    <w:rsid w:val="00100966"/>
    <w:rsid w:val="00101C82"/>
    <w:rsid w:val="00101FD1"/>
    <w:rsid w:val="001023C2"/>
    <w:rsid w:val="0010240D"/>
    <w:rsid w:val="00102F77"/>
    <w:rsid w:val="00102F9E"/>
    <w:rsid w:val="001034C9"/>
    <w:rsid w:val="00103588"/>
    <w:rsid w:val="0010468E"/>
    <w:rsid w:val="00105333"/>
    <w:rsid w:val="0010552A"/>
    <w:rsid w:val="00105758"/>
    <w:rsid w:val="0010653E"/>
    <w:rsid w:val="00106B1F"/>
    <w:rsid w:val="001076B1"/>
    <w:rsid w:val="00107AB3"/>
    <w:rsid w:val="00110AB8"/>
    <w:rsid w:val="00110CD1"/>
    <w:rsid w:val="00110DC2"/>
    <w:rsid w:val="001111C4"/>
    <w:rsid w:val="00111851"/>
    <w:rsid w:val="00113171"/>
    <w:rsid w:val="00113F20"/>
    <w:rsid w:val="00114779"/>
    <w:rsid w:val="00114AE7"/>
    <w:rsid w:val="00114BEB"/>
    <w:rsid w:val="00114CAA"/>
    <w:rsid w:val="00114D49"/>
    <w:rsid w:val="001206CF"/>
    <w:rsid w:val="00120B3C"/>
    <w:rsid w:val="001230FC"/>
    <w:rsid w:val="00123E7F"/>
    <w:rsid w:val="00124710"/>
    <w:rsid w:val="00125709"/>
    <w:rsid w:val="0012743E"/>
    <w:rsid w:val="00130237"/>
    <w:rsid w:val="001303DF"/>
    <w:rsid w:val="001305B7"/>
    <w:rsid w:val="00130EFF"/>
    <w:rsid w:val="0013122F"/>
    <w:rsid w:val="00131D93"/>
    <w:rsid w:val="00131FF4"/>
    <w:rsid w:val="00132327"/>
    <w:rsid w:val="00132951"/>
    <w:rsid w:val="001335AE"/>
    <w:rsid w:val="00133B50"/>
    <w:rsid w:val="001360B2"/>
    <w:rsid w:val="00136A19"/>
    <w:rsid w:val="00137257"/>
    <w:rsid w:val="00137A9A"/>
    <w:rsid w:val="00137D3C"/>
    <w:rsid w:val="00137E7B"/>
    <w:rsid w:val="00137EBC"/>
    <w:rsid w:val="00137F32"/>
    <w:rsid w:val="00142312"/>
    <w:rsid w:val="00143CC8"/>
    <w:rsid w:val="00143FB8"/>
    <w:rsid w:val="00144019"/>
    <w:rsid w:val="00144511"/>
    <w:rsid w:val="0014481A"/>
    <w:rsid w:val="001454C0"/>
    <w:rsid w:val="00146051"/>
    <w:rsid w:val="00146904"/>
    <w:rsid w:val="001469E2"/>
    <w:rsid w:val="00147759"/>
    <w:rsid w:val="00147A0F"/>
    <w:rsid w:val="00150325"/>
    <w:rsid w:val="001503F2"/>
    <w:rsid w:val="00150835"/>
    <w:rsid w:val="001510C2"/>
    <w:rsid w:val="0015195A"/>
    <w:rsid w:val="00152194"/>
    <w:rsid w:val="0015361B"/>
    <w:rsid w:val="0015402F"/>
    <w:rsid w:val="00154CD2"/>
    <w:rsid w:val="00154D85"/>
    <w:rsid w:val="00155986"/>
    <w:rsid w:val="00155AA9"/>
    <w:rsid w:val="00155B6C"/>
    <w:rsid w:val="001560A2"/>
    <w:rsid w:val="001601F5"/>
    <w:rsid w:val="0016101D"/>
    <w:rsid w:val="001610CE"/>
    <w:rsid w:val="00161248"/>
    <w:rsid w:val="00162084"/>
    <w:rsid w:val="00163738"/>
    <w:rsid w:val="0016396C"/>
    <w:rsid w:val="00163C2B"/>
    <w:rsid w:val="00163E10"/>
    <w:rsid w:val="001651B5"/>
    <w:rsid w:val="001664CC"/>
    <w:rsid w:val="001674B2"/>
    <w:rsid w:val="00167729"/>
    <w:rsid w:val="00167765"/>
    <w:rsid w:val="00170568"/>
    <w:rsid w:val="001705C1"/>
    <w:rsid w:val="00170A25"/>
    <w:rsid w:val="00172081"/>
    <w:rsid w:val="00172A27"/>
    <w:rsid w:val="00173311"/>
    <w:rsid w:val="001740E2"/>
    <w:rsid w:val="00174144"/>
    <w:rsid w:val="00174F5F"/>
    <w:rsid w:val="001756D4"/>
    <w:rsid w:val="00175EEA"/>
    <w:rsid w:val="0017630F"/>
    <w:rsid w:val="00176711"/>
    <w:rsid w:val="00177362"/>
    <w:rsid w:val="00177888"/>
    <w:rsid w:val="001806A8"/>
    <w:rsid w:val="0018142C"/>
    <w:rsid w:val="0018162F"/>
    <w:rsid w:val="001823AA"/>
    <w:rsid w:val="0018260F"/>
    <w:rsid w:val="00183262"/>
    <w:rsid w:val="001852E0"/>
    <w:rsid w:val="0018585C"/>
    <w:rsid w:val="001859B6"/>
    <w:rsid w:val="00185D57"/>
    <w:rsid w:val="0018601F"/>
    <w:rsid w:val="00186B33"/>
    <w:rsid w:val="001877B2"/>
    <w:rsid w:val="00187AB6"/>
    <w:rsid w:val="0019002E"/>
    <w:rsid w:val="00190CCC"/>
    <w:rsid w:val="00191374"/>
    <w:rsid w:val="0019215C"/>
    <w:rsid w:val="0019433E"/>
    <w:rsid w:val="00194B85"/>
    <w:rsid w:val="0019602D"/>
    <w:rsid w:val="00196D4E"/>
    <w:rsid w:val="00197B71"/>
    <w:rsid w:val="001A04D5"/>
    <w:rsid w:val="001A05E1"/>
    <w:rsid w:val="001A129F"/>
    <w:rsid w:val="001A12C2"/>
    <w:rsid w:val="001A1AB9"/>
    <w:rsid w:val="001A1DB3"/>
    <w:rsid w:val="001A2195"/>
    <w:rsid w:val="001A28FF"/>
    <w:rsid w:val="001A2D73"/>
    <w:rsid w:val="001A42FB"/>
    <w:rsid w:val="001A4417"/>
    <w:rsid w:val="001A477B"/>
    <w:rsid w:val="001A5307"/>
    <w:rsid w:val="001A5E54"/>
    <w:rsid w:val="001A6D31"/>
    <w:rsid w:val="001A70FE"/>
    <w:rsid w:val="001A71F1"/>
    <w:rsid w:val="001A7C73"/>
    <w:rsid w:val="001B043B"/>
    <w:rsid w:val="001B1864"/>
    <w:rsid w:val="001B3825"/>
    <w:rsid w:val="001B3EF0"/>
    <w:rsid w:val="001B4406"/>
    <w:rsid w:val="001B490B"/>
    <w:rsid w:val="001B5447"/>
    <w:rsid w:val="001B5B4A"/>
    <w:rsid w:val="001B5E65"/>
    <w:rsid w:val="001B6347"/>
    <w:rsid w:val="001B63C2"/>
    <w:rsid w:val="001B666B"/>
    <w:rsid w:val="001B68E3"/>
    <w:rsid w:val="001C0390"/>
    <w:rsid w:val="001C1BDC"/>
    <w:rsid w:val="001C20B8"/>
    <w:rsid w:val="001C30B1"/>
    <w:rsid w:val="001C33E1"/>
    <w:rsid w:val="001C3EB3"/>
    <w:rsid w:val="001C4AAC"/>
    <w:rsid w:val="001C4DCD"/>
    <w:rsid w:val="001C4E67"/>
    <w:rsid w:val="001C5204"/>
    <w:rsid w:val="001C52FD"/>
    <w:rsid w:val="001C5FEF"/>
    <w:rsid w:val="001C648E"/>
    <w:rsid w:val="001C6A00"/>
    <w:rsid w:val="001C74B8"/>
    <w:rsid w:val="001C77D6"/>
    <w:rsid w:val="001D0676"/>
    <w:rsid w:val="001D264B"/>
    <w:rsid w:val="001D2CB4"/>
    <w:rsid w:val="001D2F08"/>
    <w:rsid w:val="001D2FEF"/>
    <w:rsid w:val="001D5DDE"/>
    <w:rsid w:val="001D5E9B"/>
    <w:rsid w:val="001D6065"/>
    <w:rsid w:val="001D641D"/>
    <w:rsid w:val="001D6F64"/>
    <w:rsid w:val="001D711D"/>
    <w:rsid w:val="001D7450"/>
    <w:rsid w:val="001E08A1"/>
    <w:rsid w:val="001E11F1"/>
    <w:rsid w:val="001E21E6"/>
    <w:rsid w:val="001E26D2"/>
    <w:rsid w:val="001E278A"/>
    <w:rsid w:val="001E34F6"/>
    <w:rsid w:val="001E3A8B"/>
    <w:rsid w:val="001E4008"/>
    <w:rsid w:val="001E42E7"/>
    <w:rsid w:val="001E46B2"/>
    <w:rsid w:val="001E64D6"/>
    <w:rsid w:val="001E6B29"/>
    <w:rsid w:val="001E711B"/>
    <w:rsid w:val="001E74C6"/>
    <w:rsid w:val="001E7A1E"/>
    <w:rsid w:val="001E7E2B"/>
    <w:rsid w:val="001F01A4"/>
    <w:rsid w:val="001F01EB"/>
    <w:rsid w:val="001F0E21"/>
    <w:rsid w:val="001F1328"/>
    <w:rsid w:val="001F223A"/>
    <w:rsid w:val="001F2433"/>
    <w:rsid w:val="001F2539"/>
    <w:rsid w:val="001F2623"/>
    <w:rsid w:val="001F477A"/>
    <w:rsid w:val="001F543E"/>
    <w:rsid w:val="001F56C1"/>
    <w:rsid w:val="001F5706"/>
    <w:rsid w:val="001F5864"/>
    <w:rsid w:val="001F5FFE"/>
    <w:rsid w:val="001F605F"/>
    <w:rsid w:val="001F65B5"/>
    <w:rsid w:val="001F65B8"/>
    <w:rsid w:val="001F67A8"/>
    <w:rsid w:val="001F68E0"/>
    <w:rsid w:val="001F7879"/>
    <w:rsid w:val="001F7904"/>
    <w:rsid w:val="00200C64"/>
    <w:rsid w:val="00201C11"/>
    <w:rsid w:val="00202016"/>
    <w:rsid w:val="002020F4"/>
    <w:rsid w:val="00202AF4"/>
    <w:rsid w:val="00202FDD"/>
    <w:rsid w:val="00203041"/>
    <w:rsid w:val="00203183"/>
    <w:rsid w:val="002035A9"/>
    <w:rsid w:val="002039AD"/>
    <w:rsid w:val="00203AC1"/>
    <w:rsid w:val="00203B50"/>
    <w:rsid w:val="00203C10"/>
    <w:rsid w:val="002047C1"/>
    <w:rsid w:val="00204F7C"/>
    <w:rsid w:val="0020510E"/>
    <w:rsid w:val="00205189"/>
    <w:rsid w:val="00205A86"/>
    <w:rsid w:val="00205C77"/>
    <w:rsid w:val="00206239"/>
    <w:rsid w:val="002065F7"/>
    <w:rsid w:val="00206E98"/>
    <w:rsid w:val="00207514"/>
    <w:rsid w:val="002076B9"/>
    <w:rsid w:val="002076BF"/>
    <w:rsid w:val="00207BC0"/>
    <w:rsid w:val="00210B2F"/>
    <w:rsid w:val="002111EC"/>
    <w:rsid w:val="00212102"/>
    <w:rsid w:val="00212347"/>
    <w:rsid w:val="00212FD0"/>
    <w:rsid w:val="0021321D"/>
    <w:rsid w:val="00213EAE"/>
    <w:rsid w:val="00214599"/>
    <w:rsid w:val="00215A29"/>
    <w:rsid w:val="0021637C"/>
    <w:rsid w:val="00216519"/>
    <w:rsid w:val="002165A7"/>
    <w:rsid w:val="00216B5A"/>
    <w:rsid w:val="00216F9A"/>
    <w:rsid w:val="00220344"/>
    <w:rsid w:val="00220F74"/>
    <w:rsid w:val="00221A22"/>
    <w:rsid w:val="0022223E"/>
    <w:rsid w:val="00223E5C"/>
    <w:rsid w:val="0022542E"/>
    <w:rsid w:val="00225975"/>
    <w:rsid w:val="002259DF"/>
    <w:rsid w:val="00225D64"/>
    <w:rsid w:val="0022605A"/>
    <w:rsid w:val="00226B32"/>
    <w:rsid w:val="00226B59"/>
    <w:rsid w:val="00226E66"/>
    <w:rsid w:val="002304A8"/>
    <w:rsid w:val="00230B5B"/>
    <w:rsid w:val="00230C3E"/>
    <w:rsid w:val="002311FA"/>
    <w:rsid w:val="00231343"/>
    <w:rsid w:val="00231671"/>
    <w:rsid w:val="00231EF6"/>
    <w:rsid w:val="00232050"/>
    <w:rsid w:val="00232460"/>
    <w:rsid w:val="00232819"/>
    <w:rsid w:val="0023292B"/>
    <w:rsid w:val="00234041"/>
    <w:rsid w:val="00234554"/>
    <w:rsid w:val="00234CEB"/>
    <w:rsid w:val="00235773"/>
    <w:rsid w:val="0023620E"/>
    <w:rsid w:val="002367B8"/>
    <w:rsid w:val="00236FE9"/>
    <w:rsid w:val="00237806"/>
    <w:rsid w:val="00237BDD"/>
    <w:rsid w:val="00237DE9"/>
    <w:rsid w:val="002402C2"/>
    <w:rsid w:val="00241FB1"/>
    <w:rsid w:val="002423AB"/>
    <w:rsid w:val="00242E22"/>
    <w:rsid w:val="0024317C"/>
    <w:rsid w:val="0024336D"/>
    <w:rsid w:val="00243648"/>
    <w:rsid w:val="0024467A"/>
    <w:rsid w:val="002455C7"/>
    <w:rsid w:val="00246550"/>
    <w:rsid w:val="00246CA6"/>
    <w:rsid w:val="002501B3"/>
    <w:rsid w:val="00250A74"/>
    <w:rsid w:val="00250AC2"/>
    <w:rsid w:val="00250EA2"/>
    <w:rsid w:val="00250FF6"/>
    <w:rsid w:val="00251ACC"/>
    <w:rsid w:val="00252841"/>
    <w:rsid w:val="00253FE7"/>
    <w:rsid w:val="00256ADB"/>
    <w:rsid w:val="0025700F"/>
    <w:rsid w:val="00257A2E"/>
    <w:rsid w:val="00257F94"/>
    <w:rsid w:val="00261008"/>
    <w:rsid w:val="00262409"/>
    <w:rsid w:val="00265278"/>
    <w:rsid w:val="002654FD"/>
    <w:rsid w:val="00265A38"/>
    <w:rsid w:val="00265B45"/>
    <w:rsid w:val="00266C40"/>
    <w:rsid w:val="00266F8D"/>
    <w:rsid w:val="00266FF6"/>
    <w:rsid w:val="002672BF"/>
    <w:rsid w:val="00270608"/>
    <w:rsid w:val="00271F67"/>
    <w:rsid w:val="002721D9"/>
    <w:rsid w:val="00272B64"/>
    <w:rsid w:val="00273273"/>
    <w:rsid w:val="00273287"/>
    <w:rsid w:val="002746F1"/>
    <w:rsid w:val="00274F65"/>
    <w:rsid w:val="002753A2"/>
    <w:rsid w:val="00275439"/>
    <w:rsid w:val="00275C70"/>
    <w:rsid w:val="00275D34"/>
    <w:rsid w:val="00275EC6"/>
    <w:rsid w:val="00276283"/>
    <w:rsid w:val="00276F0D"/>
    <w:rsid w:val="002770B1"/>
    <w:rsid w:val="0027729D"/>
    <w:rsid w:val="0027788F"/>
    <w:rsid w:val="00277B90"/>
    <w:rsid w:val="00280861"/>
    <w:rsid w:val="0028338F"/>
    <w:rsid w:val="002833B9"/>
    <w:rsid w:val="0028419D"/>
    <w:rsid w:val="00284589"/>
    <w:rsid w:val="002855C2"/>
    <w:rsid w:val="002861EA"/>
    <w:rsid w:val="00287052"/>
    <w:rsid w:val="002873EA"/>
    <w:rsid w:val="00290723"/>
    <w:rsid w:val="002921F3"/>
    <w:rsid w:val="00292EFD"/>
    <w:rsid w:val="002931DC"/>
    <w:rsid w:val="002933A6"/>
    <w:rsid w:val="00294EAB"/>
    <w:rsid w:val="002950A3"/>
    <w:rsid w:val="00295F0B"/>
    <w:rsid w:val="00296009"/>
    <w:rsid w:val="00296BF6"/>
    <w:rsid w:val="0029788A"/>
    <w:rsid w:val="00297E76"/>
    <w:rsid w:val="002A087C"/>
    <w:rsid w:val="002A08D0"/>
    <w:rsid w:val="002A0BBC"/>
    <w:rsid w:val="002A101A"/>
    <w:rsid w:val="002A15EB"/>
    <w:rsid w:val="002A20D4"/>
    <w:rsid w:val="002A28BD"/>
    <w:rsid w:val="002A2E11"/>
    <w:rsid w:val="002A346D"/>
    <w:rsid w:val="002A398C"/>
    <w:rsid w:val="002A3CD9"/>
    <w:rsid w:val="002A3CE1"/>
    <w:rsid w:val="002A3F4C"/>
    <w:rsid w:val="002A3FEF"/>
    <w:rsid w:val="002A4CA6"/>
    <w:rsid w:val="002A56A6"/>
    <w:rsid w:val="002A5A6E"/>
    <w:rsid w:val="002A6706"/>
    <w:rsid w:val="002A6A29"/>
    <w:rsid w:val="002B150F"/>
    <w:rsid w:val="002B16AA"/>
    <w:rsid w:val="002B1B90"/>
    <w:rsid w:val="002B1D4B"/>
    <w:rsid w:val="002B2158"/>
    <w:rsid w:val="002B2473"/>
    <w:rsid w:val="002B2B0D"/>
    <w:rsid w:val="002B2B43"/>
    <w:rsid w:val="002B3C3D"/>
    <w:rsid w:val="002B3F6A"/>
    <w:rsid w:val="002B4DF0"/>
    <w:rsid w:val="002B4F26"/>
    <w:rsid w:val="002B56C7"/>
    <w:rsid w:val="002B641A"/>
    <w:rsid w:val="002B6F29"/>
    <w:rsid w:val="002B774A"/>
    <w:rsid w:val="002C03C5"/>
    <w:rsid w:val="002C09B6"/>
    <w:rsid w:val="002C0CA5"/>
    <w:rsid w:val="002C131F"/>
    <w:rsid w:val="002C439C"/>
    <w:rsid w:val="002C54F8"/>
    <w:rsid w:val="002C5527"/>
    <w:rsid w:val="002C5C91"/>
    <w:rsid w:val="002C60DC"/>
    <w:rsid w:val="002C638F"/>
    <w:rsid w:val="002C66E3"/>
    <w:rsid w:val="002C6E39"/>
    <w:rsid w:val="002C77AD"/>
    <w:rsid w:val="002C7B97"/>
    <w:rsid w:val="002C7D45"/>
    <w:rsid w:val="002D0879"/>
    <w:rsid w:val="002D1C49"/>
    <w:rsid w:val="002D1C62"/>
    <w:rsid w:val="002D2F0B"/>
    <w:rsid w:val="002D2F3F"/>
    <w:rsid w:val="002D3369"/>
    <w:rsid w:val="002D3A9E"/>
    <w:rsid w:val="002D3D97"/>
    <w:rsid w:val="002D41E3"/>
    <w:rsid w:val="002D43FE"/>
    <w:rsid w:val="002D45E2"/>
    <w:rsid w:val="002D5341"/>
    <w:rsid w:val="002D6625"/>
    <w:rsid w:val="002D7186"/>
    <w:rsid w:val="002D7238"/>
    <w:rsid w:val="002D7287"/>
    <w:rsid w:val="002D7712"/>
    <w:rsid w:val="002D7973"/>
    <w:rsid w:val="002D7A5C"/>
    <w:rsid w:val="002D7BDE"/>
    <w:rsid w:val="002D7C47"/>
    <w:rsid w:val="002E01BF"/>
    <w:rsid w:val="002E144C"/>
    <w:rsid w:val="002E14D5"/>
    <w:rsid w:val="002E1AC9"/>
    <w:rsid w:val="002E2B1C"/>
    <w:rsid w:val="002E3729"/>
    <w:rsid w:val="002E444E"/>
    <w:rsid w:val="002E480C"/>
    <w:rsid w:val="002E4909"/>
    <w:rsid w:val="002E554B"/>
    <w:rsid w:val="002E5A42"/>
    <w:rsid w:val="002E5FF1"/>
    <w:rsid w:val="002E6C12"/>
    <w:rsid w:val="002E7BA8"/>
    <w:rsid w:val="002F0B12"/>
    <w:rsid w:val="002F13AC"/>
    <w:rsid w:val="002F17DE"/>
    <w:rsid w:val="002F17F3"/>
    <w:rsid w:val="002F1A4F"/>
    <w:rsid w:val="002F2D99"/>
    <w:rsid w:val="002F3AF9"/>
    <w:rsid w:val="002F4078"/>
    <w:rsid w:val="002F4248"/>
    <w:rsid w:val="002F5BDB"/>
    <w:rsid w:val="002F624C"/>
    <w:rsid w:val="002F6853"/>
    <w:rsid w:val="002F69EA"/>
    <w:rsid w:val="002F73D6"/>
    <w:rsid w:val="003007CD"/>
    <w:rsid w:val="00301640"/>
    <w:rsid w:val="003025C2"/>
    <w:rsid w:val="00303628"/>
    <w:rsid w:val="0030391E"/>
    <w:rsid w:val="00304228"/>
    <w:rsid w:val="00305B92"/>
    <w:rsid w:val="00306C4D"/>
    <w:rsid w:val="00306D46"/>
    <w:rsid w:val="00307E57"/>
    <w:rsid w:val="0031001E"/>
    <w:rsid w:val="00310544"/>
    <w:rsid w:val="00311EC3"/>
    <w:rsid w:val="00312333"/>
    <w:rsid w:val="00312469"/>
    <w:rsid w:val="00312C46"/>
    <w:rsid w:val="00312F4B"/>
    <w:rsid w:val="003139FB"/>
    <w:rsid w:val="00313F71"/>
    <w:rsid w:val="0031429F"/>
    <w:rsid w:val="00314750"/>
    <w:rsid w:val="00314770"/>
    <w:rsid w:val="00315305"/>
    <w:rsid w:val="00316214"/>
    <w:rsid w:val="003165D1"/>
    <w:rsid w:val="00316617"/>
    <w:rsid w:val="003166A4"/>
    <w:rsid w:val="00316976"/>
    <w:rsid w:val="00320944"/>
    <w:rsid w:val="00320EAF"/>
    <w:rsid w:val="0032297C"/>
    <w:rsid w:val="0032326A"/>
    <w:rsid w:val="003233A8"/>
    <w:rsid w:val="00323B98"/>
    <w:rsid w:val="00323F5C"/>
    <w:rsid w:val="00324195"/>
    <w:rsid w:val="00324B30"/>
    <w:rsid w:val="00324D8B"/>
    <w:rsid w:val="00324F59"/>
    <w:rsid w:val="003254A9"/>
    <w:rsid w:val="00325678"/>
    <w:rsid w:val="003261CA"/>
    <w:rsid w:val="00326512"/>
    <w:rsid w:val="003269E2"/>
    <w:rsid w:val="003272EE"/>
    <w:rsid w:val="00327867"/>
    <w:rsid w:val="00327A5D"/>
    <w:rsid w:val="00330482"/>
    <w:rsid w:val="00330546"/>
    <w:rsid w:val="00330690"/>
    <w:rsid w:val="00330837"/>
    <w:rsid w:val="00330AA1"/>
    <w:rsid w:val="00330C32"/>
    <w:rsid w:val="00332500"/>
    <w:rsid w:val="0033253C"/>
    <w:rsid w:val="00332E74"/>
    <w:rsid w:val="00333432"/>
    <w:rsid w:val="003338B6"/>
    <w:rsid w:val="00333C1C"/>
    <w:rsid w:val="003341D0"/>
    <w:rsid w:val="003348D5"/>
    <w:rsid w:val="00334FE1"/>
    <w:rsid w:val="003356E6"/>
    <w:rsid w:val="003366AC"/>
    <w:rsid w:val="00336B5A"/>
    <w:rsid w:val="00336BE4"/>
    <w:rsid w:val="00337C67"/>
    <w:rsid w:val="00337FCF"/>
    <w:rsid w:val="0034110C"/>
    <w:rsid w:val="00341894"/>
    <w:rsid w:val="00342F0B"/>
    <w:rsid w:val="00343BC9"/>
    <w:rsid w:val="0034463E"/>
    <w:rsid w:val="0034486E"/>
    <w:rsid w:val="00344F8E"/>
    <w:rsid w:val="003458B7"/>
    <w:rsid w:val="00346582"/>
    <w:rsid w:val="003470D3"/>
    <w:rsid w:val="003476A0"/>
    <w:rsid w:val="00347C99"/>
    <w:rsid w:val="003509F5"/>
    <w:rsid w:val="00350BF2"/>
    <w:rsid w:val="00350F60"/>
    <w:rsid w:val="00351B5A"/>
    <w:rsid w:val="00351B65"/>
    <w:rsid w:val="00353C48"/>
    <w:rsid w:val="00354508"/>
    <w:rsid w:val="00354858"/>
    <w:rsid w:val="00354886"/>
    <w:rsid w:val="00354958"/>
    <w:rsid w:val="00354A8A"/>
    <w:rsid w:val="00354F69"/>
    <w:rsid w:val="003555EA"/>
    <w:rsid w:val="00355904"/>
    <w:rsid w:val="00355DAE"/>
    <w:rsid w:val="00356273"/>
    <w:rsid w:val="00356965"/>
    <w:rsid w:val="00357097"/>
    <w:rsid w:val="003577D6"/>
    <w:rsid w:val="003579AD"/>
    <w:rsid w:val="00357E91"/>
    <w:rsid w:val="003621F6"/>
    <w:rsid w:val="00362663"/>
    <w:rsid w:val="00364161"/>
    <w:rsid w:val="0036467F"/>
    <w:rsid w:val="003656E0"/>
    <w:rsid w:val="00365A47"/>
    <w:rsid w:val="00365BC6"/>
    <w:rsid w:val="0036771F"/>
    <w:rsid w:val="003701D6"/>
    <w:rsid w:val="00370624"/>
    <w:rsid w:val="00370751"/>
    <w:rsid w:val="0037079E"/>
    <w:rsid w:val="00370B90"/>
    <w:rsid w:val="00370C5B"/>
    <w:rsid w:val="00370D8C"/>
    <w:rsid w:val="00371B48"/>
    <w:rsid w:val="00372558"/>
    <w:rsid w:val="003725B5"/>
    <w:rsid w:val="003727FC"/>
    <w:rsid w:val="003739DB"/>
    <w:rsid w:val="00373D6D"/>
    <w:rsid w:val="0037421F"/>
    <w:rsid w:val="00374725"/>
    <w:rsid w:val="00374959"/>
    <w:rsid w:val="00374FF5"/>
    <w:rsid w:val="00375EC8"/>
    <w:rsid w:val="00376596"/>
    <w:rsid w:val="00377509"/>
    <w:rsid w:val="00377E44"/>
    <w:rsid w:val="00380CEC"/>
    <w:rsid w:val="0038150A"/>
    <w:rsid w:val="00381633"/>
    <w:rsid w:val="003818B4"/>
    <w:rsid w:val="00381D20"/>
    <w:rsid w:val="00381ED7"/>
    <w:rsid w:val="00381ED8"/>
    <w:rsid w:val="0038259C"/>
    <w:rsid w:val="0038263A"/>
    <w:rsid w:val="00382998"/>
    <w:rsid w:val="00382A20"/>
    <w:rsid w:val="00382BA4"/>
    <w:rsid w:val="00383068"/>
    <w:rsid w:val="00383EF0"/>
    <w:rsid w:val="003840F8"/>
    <w:rsid w:val="00384F64"/>
    <w:rsid w:val="00385CC3"/>
    <w:rsid w:val="003876CB"/>
    <w:rsid w:val="00390205"/>
    <w:rsid w:val="003905EC"/>
    <w:rsid w:val="00390DE4"/>
    <w:rsid w:val="00390F9D"/>
    <w:rsid w:val="00392247"/>
    <w:rsid w:val="003926E5"/>
    <w:rsid w:val="0039288B"/>
    <w:rsid w:val="0039360B"/>
    <w:rsid w:val="003943BF"/>
    <w:rsid w:val="0039466E"/>
    <w:rsid w:val="0039540D"/>
    <w:rsid w:val="00396FA9"/>
    <w:rsid w:val="003A0BBA"/>
    <w:rsid w:val="003A0E73"/>
    <w:rsid w:val="003A1248"/>
    <w:rsid w:val="003A16F2"/>
    <w:rsid w:val="003A29C8"/>
    <w:rsid w:val="003A46D5"/>
    <w:rsid w:val="003A4F93"/>
    <w:rsid w:val="003A53BC"/>
    <w:rsid w:val="003A5599"/>
    <w:rsid w:val="003A5935"/>
    <w:rsid w:val="003A5DD4"/>
    <w:rsid w:val="003A7566"/>
    <w:rsid w:val="003A7CE5"/>
    <w:rsid w:val="003B01D0"/>
    <w:rsid w:val="003B0CCD"/>
    <w:rsid w:val="003B1EAF"/>
    <w:rsid w:val="003B22F3"/>
    <w:rsid w:val="003B2E3E"/>
    <w:rsid w:val="003B2E53"/>
    <w:rsid w:val="003B2F54"/>
    <w:rsid w:val="003B3A62"/>
    <w:rsid w:val="003B3B6A"/>
    <w:rsid w:val="003B3BC4"/>
    <w:rsid w:val="003B5045"/>
    <w:rsid w:val="003B54D5"/>
    <w:rsid w:val="003B5917"/>
    <w:rsid w:val="003B5ADB"/>
    <w:rsid w:val="003B5C6B"/>
    <w:rsid w:val="003B5C93"/>
    <w:rsid w:val="003B67C2"/>
    <w:rsid w:val="003B6AC4"/>
    <w:rsid w:val="003B6B4F"/>
    <w:rsid w:val="003B71B8"/>
    <w:rsid w:val="003C0087"/>
    <w:rsid w:val="003C0147"/>
    <w:rsid w:val="003C01BC"/>
    <w:rsid w:val="003C065D"/>
    <w:rsid w:val="003C2541"/>
    <w:rsid w:val="003C2954"/>
    <w:rsid w:val="003C366F"/>
    <w:rsid w:val="003C49E2"/>
    <w:rsid w:val="003C5227"/>
    <w:rsid w:val="003C5E70"/>
    <w:rsid w:val="003C6039"/>
    <w:rsid w:val="003C7F3C"/>
    <w:rsid w:val="003D096B"/>
    <w:rsid w:val="003D0B44"/>
    <w:rsid w:val="003D164B"/>
    <w:rsid w:val="003D1665"/>
    <w:rsid w:val="003D284C"/>
    <w:rsid w:val="003D2B33"/>
    <w:rsid w:val="003D4D16"/>
    <w:rsid w:val="003D54BD"/>
    <w:rsid w:val="003D5A4F"/>
    <w:rsid w:val="003D6B16"/>
    <w:rsid w:val="003D6B35"/>
    <w:rsid w:val="003D6C60"/>
    <w:rsid w:val="003D6FA9"/>
    <w:rsid w:val="003D7D6D"/>
    <w:rsid w:val="003D7F0C"/>
    <w:rsid w:val="003E14A1"/>
    <w:rsid w:val="003E1AE8"/>
    <w:rsid w:val="003E1CEE"/>
    <w:rsid w:val="003E1F7D"/>
    <w:rsid w:val="003E28AD"/>
    <w:rsid w:val="003E2B63"/>
    <w:rsid w:val="003E2C0F"/>
    <w:rsid w:val="003E2D27"/>
    <w:rsid w:val="003E2FF0"/>
    <w:rsid w:val="003E318B"/>
    <w:rsid w:val="003E3742"/>
    <w:rsid w:val="003E3850"/>
    <w:rsid w:val="003E44FF"/>
    <w:rsid w:val="003E45F8"/>
    <w:rsid w:val="003E5A16"/>
    <w:rsid w:val="003E741C"/>
    <w:rsid w:val="003E7B87"/>
    <w:rsid w:val="003E7D57"/>
    <w:rsid w:val="003F0676"/>
    <w:rsid w:val="003F0AB5"/>
    <w:rsid w:val="003F1068"/>
    <w:rsid w:val="003F15E8"/>
    <w:rsid w:val="003F2287"/>
    <w:rsid w:val="003F2ABD"/>
    <w:rsid w:val="003F3092"/>
    <w:rsid w:val="003F3343"/>
    <w:rsid w:val="003F3933"/>
    <w:rsid w:val="003F4669"/>
    <w:rsid w:val="003F4712"/>
    <w:rsid w:val="003F5A17"/>
    <w:rsid w:val="003F5E31"/>
    <w:rsid w:val="003F65E3"/>
    <w:rsid w:val="003F6F3A"/>
    <w:rsid w:val="003F74EB"/>
    <w:rsid w:val="00400BA6"/>
    <w:rsid w:val="00401550"/>
    <w:rsid w:val="00401655"/>
    <w:rsid w:val="00401BF2"/>
    <w:rsid w:val="00403089"/>
    <w:rsid w:val="0040312C"/>
    <w:rsid w:val="004037A7"/>
    <w:rsid w:val="00403A7E"/>
    <w:rsid w:val="00403B85"/>
    <w:rsid w:val="00403BCE"/>
    <w:rsid w:val="00403EC9"/>
    <w:rsid w:val="0040509E"/>
    <w:rsid w:val="00405CC1"/>
    <w:rsid w:val="004065B0"/>
    <w:rsid w:val="00406DCF"/>
    <w:rsid w:val="00410761"/>
    <w:rsid w:val="00411FD3"/>
    <w:rsid w:val="004124B2"/>
    <w:rsid w:val="00412668"/>
    <w:rsid w:val="0041288D"/>
    <w:rsid w:val="00413495"/>
    <w:rsid w:val="00413720"/>
    <w:rsid w:val="0041412C"/>
    <w:rsid w:val="00414B26"/>
    <w:rsid w:val="00414FD2"/>
    <w:rsid w:val="004150AE"/>
    <w:rsid w:val="0041567A"/>
    <w:rsid w:val="00415FDB"/>
    <w:rsid w:val="00416311"/>
    <w:rsid w:val="00416655"/>
    <w:rsid w:val="00417228"/>
    <w:rsid w:val="00420452"/>
    <w:rsid w:val="00420A72"/>
    <w:rsid w:val="00421BEF"/>
    <w:rsid w:val="00422170"/>
    <w:rsid w:val="00422CA3"/>
    <w:rsid w:val="00422F92"/>
    <w:rsid w:val="00422FB1"/>
    <w:rsid w:val="0042399A"/>
    <w:rsid w:val="0042434A"/>
    <w:rsid w:val="00424746"/>
    <w:rsid w:val="004257E8"/>
    <w:rsid w:val="00425B11"/>
    <w:rsid w:val="00426232"/>
    <w:rsid w:val="00426274"/>
    <w:rsid w:val="00426B9B"/>
    <w:rsid w:val="004271F0"/>
    <w:rsid w:val="0043052F"/>
    <w:rsid w:val="004307CE"/>
    <w:rsid w:val="0043082C"/>
    <w:rsid w:val="00430969"/>
    <w:rsid w:val="00430B63"/>
    <w:rsid w:val="00432D4F"/>
    <w:rsid w:val="0043324D"/>
    <w:rsid w:val="00433385"/>
    <w:rsid w:val="00433570"/>
    <w:rsid w:val="00433CA4"/>
    <w:rsid w:val="0043462A"/>
    <w:rsid w:val="00434A46"/>
    <w:rsid w:val="00434C0E"/>
    <w:rsid w:val="0043573F"/>
    <w:rsid w:val="00436209"/>
    <w:rsid w:val="004369AE"/>
    <w:rsid w:val="00436C45"/>
    <w:rsid w:val="00436D1E"/>
    <w:rsid w:val="00436D49"/>
    <w:rsid w:val="0043766A"/>
    <w:rsid w:val="00437C39"/>
    <w:rsid w:val="00437C7E"/>
    <w:rsid w:val="00437E5C"/>
    <w:rsid w:val="00440AD5"/>
    <w:rsid w:val="00440BE6"/>
    <w:rsid w:val="004413C8"/>
    <w:rsid w:val="0044220D"/>
    <w:rsid w:val="00443459"/>
    <w:rsid w:val="00444516"/>
    <w:rsid w:val="00444943"/>
    <w:rsid w:val="00444A43"/>
    <w:rsid w:val="00444DA2"/>
    <w:rsid w:val="00444DE3"/>
    <w:rsid w:val="004457E3"/>
    <w:rsid w:val="00446C12"/>
    <w:rsid w:val="00446F3E"/>
    <w:rsid w:val="0044798E"/>
    <w:rsid w:val="0045032D"/>
    <w:rsid w:val="004506F9"/>
    <w:rsid w:val="00450F2B"/>
    <w:rsid w:val="004511D8"/>
    <w:rsid w:val="0045151D"/>
    <w:rsid w:val="00451BE4"/>
    <w:rsid w:val="00452329"/>
    <w:rsid w:val="00453019"/>
    <w:rsid w:val="00453C46"/>
    <w:rsid w:val="00454101"/>
    <w:rsid w:val="00454F6B"/>
    <w:rsid w:val="0045569E"/>
    <w:rsid w:val="00455DB0"/>
    <w:rsid w:val="004569CC"/>
    <w:rsid w:val="00456E4E"/>
    <w:rsid w:val="00457225"/>
    <w:rsid w:val="004578B5"/>
    <w:rsid w:val="00460A50"/>
    <w:rsid w:val="00460FFD"/>
    <w:rsid w:val="004610B2"/>
    <w:rsid w:val="00461196"/>
    <w:rsid w:val="00462085"/>
    <w:rsid w:val="00462E98"/>
    <w:rsid w:val="0046400D"/>
    <w:rsid w:val="004642B0"/>
    <w:rsid w:val="00464E33"/>
    <w:rsid w:val="00465C80"/>
    <w:rsid w:val="00465F1B"/>
    <w:rsid w:val="004666A4"/>
    <w:rsid w:val="004667D9"/>
    <w:rsid w:val="00466860"/>
    <w:rsid w:val="00466EA2"/>
    <w:rsid w:val="00467148"/>
    <w:rsid w:val="00467CCB"/>
    <w:rsid w:val="00470032"/>
    <w:rsid w:val="004704F2"/>
    <w:rsid w:val="004710C6"/>
    <w:rsid w:val="00471FF6"/>
    <w:rsid w:val="00472D0F"/>
    <w:rsid w:val="0047373F"/>
    <w:rsid w:val="00473990"/>
    <w:rsid w:val="00473AD9"/>
    <w:rsid w:val="00473E72"/>
    <w:rsid w:val="00474171"/>
    <w:rsid w:val="0047596C"/>
    <w:rsid w:val="00477B48"/>
    <w:rsid w:val="00480BAF"/>
    <w:rsid w:val="00480D3D"/>
    <w:rsid w:val="004822F6"/>
    <w:rsid w:val="0048250C"/>
    <w:rsid w:val="004827E6"/>
    <w:rsid w:val="00484C52"/>
    <w:rsid w:val="00485AC7"/>
    <w:rsid w:val="004869AB"/>
    <w:rsid w:val="004869E7"/>
    <w:rsid w:val="00486B47"/>
    <w:rsid w:val="00486DBB"/>
    <w:rsid w:val="00487093"/>
    <w:rsid w:val="0048755E"/>
    <w:rsid w:val="0048795C"/>
    <w:rsid w:val="00487A82"/>
    <w:rsid w:val="00487DCE"/>
    <w:rsid w:val="00490144"/>
    <w:rsid w:val="004905CB"/>
    <w:rsid w:val="00491AF5"/>
    <w:rsid w:val="00491F9A"/>
    <w:rsid w:val="004922D6"/>
    <w:rsid w:val="00492503"/>
    <w:rsid w:val="004925F3"/>
    <w:rsid w:val="00492C75"/>
    <w:rsid w:val="00493360"/>
    <w:rsid w:val="00493F12"/>
    <w:rsid w:val="00494581"/>
    <w:rsid w:val="004950D3"/>
    <w:rsid w:val="0049611C"/>
    <w:rsid w:val="0049699B"/>
    <w:rsid w:val="00496E9A"/>
    <w:rsid w:val="00497176"/>
    <w:rsid w:val="004976BB"/>
    <w:rsid w:val="0049776E"/>
    <w:rsid w:val="004A044F"/>
    <w:rsid w:val="004A112D"/>
    <w:rsid w:val="004A13B9"/>
    <w:rsid w:val="004A18DA"/>
    <w:rsid w:val="004A3C67"/>
    <w:rsid w:val="004A4120"/>
    <w:rsid w:val="004A41EC"/>
    <w:rsid w:val="004A4C57"/>
    <w:rsid w:val="004A62FD"/>
    <w:rsid w:val="004A6E0B"/>
    <w:rsid w:val="004B0070"/>
    <w:rsid w:val="004B0434"/>
    <w:rsid w:val="004B088E"/>
    <w:rsid w:val="004B0989"/>
    <w:rsid w:val="004B1413"/>
    <w:rsid w:val="004B2B7C"/>
    <w:rsid w:val="004B2FA1"/>
    <w:rsid w:val="004B3194"/>
    <w:rsid w:val="004B371D"/>
    <w:rsid w:val="004B3D09"/>
    <w:rsid w:val="004B5886"/>
    <w:rsid w:val="004B58A1"/>
    <w:rsid w:val="004B5F2E"/>
    <w:rsid w:val="004B70CA"/>
    <w:rsid w:val="004B7838"/>
    <w:rsid w:val="004C04A6"/>
    <w:rsid w:val="004C08B8"/>
    <w:rsid w:val="004C14A7"/>
    <w:rsid w:val="004C1787"/>
    <w:rsid w:val="004C18BD"/>
    <w:rsid w:val="004C1938"/>
    <w:rsid w:val="004C1C10"/>
    <w:rsid w:val="004C26E4"/>
    <w:rsid w:val="004C272C"/>
    <w:rsid w:val="004C2A6C"/>
    <w:rsid w:val="004C2C72"/>
    <w:rsid w:val="004C2DB2"/>
    <w:rsid w:val="004C3564"/>
    <w:rsid w:val="004C37C5"/>
    <w:rsid w:val="004C6AA3"/>
    <w:rsid w:val="004C730F"/>
    <w:rsid w:val="004C7463"/>
    <w:rsid w:val="004D0428"/>
    <w:rsid w:val="004D1558"/>
    <w:rsid w:val="004D1802"/>
    <w:rsid w:val="004D19F4"/>
    <w:rsid w:val="004D1BB0"/>
    <w:rsid w:val="004D2C1D"/>
    <w:rsid w:val="004D2D0C"/>
    <w:rsid w:val="004D4C78"/>
    <w:rsid w:val="004D4E7E"/>
    <w:rsid w:val="004D53F4"/>
    <w:rsid w:val="004D5C97"/>
    <w:rsid w:val="004D6343"/>
    <w:rsid w:val="004E054D"/>
    <w:rsid w:val="004E078D"/>
    <w:rsid w:val="004E0E76"/>
    <w:rsid w:val="004E15A8"/>
    <w:rsid w:val="004E1CDA"/>
    <w:rsid w:val="004E2F93"/>
    <w:rsid w:val="004E320F"/>
    <w:rsid w:val="004E3296"/>
    <w:rsid w:val="004E367E"/>
    <w:rsid w:val="004E399C"/>
    <w:rsid w:val="004E39DE"/>
    <w:rsid w:val="004E4B5A"/>
    <w:rsid w:val="004E52B4"/>
    <w:rsid w:val="004E5544"/>
    <w:rsid w:val="004E7DB7"/>
    <w:rsid w:val="004F04B8"/>
    <w:rsid w:val="004F0C21"/>
    <w:rsid w:val="004F0CAF"/>
    <w:rsid w:val="004F0F5B"/>
    <w:rsid w:val="004F1033"/>
    <w:rsid w:val="004F1316"/>
    <w:rsid w:val="004F210D"/>
    <w:rsid w:val="004F2171"/>
    <w:rsid w:val="004F23C9"/>
    <w:rsid w:val="004F3931"/>
    <w:rsid w:val="004F3D3D"/>
    <w:rsid w:val="004F4F3C"/>
    <w:rsid w:val="004F5104"/>
    <w:rsid w:val="004F536C"/>
    <w:rsid w:val="004F58D8"/>
    <w:rsid w:val="004F6943"/>
    <w:rsid w:val="004F6A46"/>
    <w:rsid w:val="004F73D0"/>
    <w:rsid w:val="004F76AF"/>
    <w:rsid w:val="0050098F"/>
    <w:rsid w:val="00500D41"/>
    <w:rsid w:val="00500F8A"/>
    <w:rsid w:val="00501141"/>
    <w:rsid w:val="00501379"/>
    <w:rsid w:val="00501A84"/>
    <w:rsid w:val="00501E01"/>
    <w:rsid w:val="00501F54"/>
    <w:rsid w:val="00502725"/>
    <w:rsid w:val="00502A0B"/>
    <w:rsid w:val="00503ACC"/>
    <w:rsid w:val="00504592"/>
    <w:rsid w:val="0050471B"/>
    <w:rsid w:val="005052A4"/>
    <w:rsid w:val="00505E04"/>
    <w:rsid w:val="00506581"/>
    <w:rsid w:val="0050682F"/>
    <w:rsid w:val="00506B31"/>
    <w:rsid w:val="00506F14"/>
    <w:rsid w:val="005075B2"/>
    <w:rsid w:val="0050790B"/>
    <w:rsid w:val="005118DB"/>
    <w:rsid w:val="00512232"/>
    <w:rsid w:val="005124B8"/>
    <w:rsid w:val="00512506"/>
    <w:rsid w:val="00513EB4"/>
    <w:rsid w:val="0051431D"/>
    <w:rsid w:val="005148ED"/>
    <w:rsid w:val="00514B26"/>
    <w:rsid w:val="0051533B"/>
    <w:rsid w:val="0051547B"/>
    <w:rsid w:val="00516921"/>
    <w:rsid w:val="00516CA0"/>
    <w:rsid w:val="0051715E"/>
    <w:rsid w:val="00517B13"/>
    <w:rsid w:val="00517BDE"/>
    <w:rsid w:val="005200A2"/>
    <w:rsid w:val="005203FF"/>
    <w:rsid w:val="005210FE"/>
    <w:rsid w:val="0052210A"/>
    <w:rsid w:val="005221A6"/>
    <w:rsid w:val="0052272C"/>
    <w:rsid w:val="00522843"/>
    <w:rsid w:val="00524BFF"/>
    <w:rsid w:val="00524C34"/>
    <w:rsid w:val="005250B6"/>
    <w:rsid w:val="00527759"/>
    <w:rsid w:val="005277D2"/>
    <w:rsid w:val="005278EB"/>
    <w:rsid w:val="00527EB9"/>
    <w:rsid w:val="00531E36"/>
    <w:rsid w:val="00532522"/>
    <w:rsid w:val="00532A98"/>
    <w:rsid w:val="005333DA"/>
    <w:rsid w:val="00533960"/>
    <w:rsid w:val="00533B42"/>
    <w:rsid w:val="00535198"/>
    <w:rsid w:val="00535A26"/>
    <w:rsid w:val="00536513"/>
    <w:rsid w:val="00536F50"/>
    <w:rsid w:val="005371BE"/>
    <w:rsid w:val="0053721A"/>
    <w:rsid w:val="005376B7"/>
    <w:rsid w:val="005377C5"/>
    <w:rsid w:val="00537BEB"/>
    <w:rsid w:val="00540911"/>
    <w:rsid w:val="00540C40"/>
    <w:rsid w:val="00540E89"/>
    <w:rsid w:val="00540F73"/>
    <w:rsid w:val="00541988"/>
    <w:rsid w:val="00541C41"/>
    <w:rsid w:val="00541CC4"/>
    <w:rsid w:val="00542CE7"/>
    <w:rsid w:val="0054345B"/>
    <w:rsid w:val="00543E17"/>
    <w:rsid w:val="0054452F"/>
    <w:rsid w:val="00544602"/>
    <w:rsid w:val="00544AD3"/>
    <w:rsid w:val="00544CB2"/>
    <w:rsid w:val="00546D85"/>
    <w:rsid w:val="005471BB"/>
    <w:rsid w:val="005473C4"/>
    <w:rsid w:val="005477FB"/>
    <w:rsid w:val="00547C8C"/>
    <w:rsid w:val="005501E3"/>
    <w:rsid w:val="00550FD0"/>
    <w:rsid w:val="005510F6"/>
    <w:rsid w:val="005528CD"/>
    <w:rsid w:val="00553D0A"/>
    <w:rsid w:val="0055492C"/>
    <w:rsid w:val="00554A69"/>
    <w:rsid w:val="0055508F"/>
    <w:rsid w:val="00556184"/>
    <w:rsid w:val="00556337"/>
    <w:rsid w:val="005569E6"/>
    <w:rsid w:val="00556BBD"/>
    <w:rsid w:val="00556C98"/>
    <w:rsid w:val="00556F56"/>
    <w:rsid w:val="00560232"/>
    <w:rsid w:val="00560291"/>
    <w:rsid w:val="00560F0B"/>
    <w:rsid w:val="0056176A"/>
    <w:rsid w:val="005628EB"/>
    <w:rsid w:val="00562B86"/>
    <w:rsid w:val="0056367A"/>
    <w:rsid w:val="00563B3F"/>
    <w:rsid w:val="005658CC"/>
    <w:rsid w:val="0056598F"/>
    <w:rsid w:val="005659A5"/>
    <w:rsid w:val="00566E89"/>
    <w:rsid w:val="005670F1"/>
    <w:rsid w:val="00567546"/>
    <w:rsid w:val="005678B3"/>
    <w:rsid w:val="00570860"/>
    <w:rsid w:val="005708A5"/>
    <w:rsid w:val="005715FA"/>
    <w:rsid w:val="0057174A"/>
    <w:rsid w:val="005719EE"/>
    <w:rsid w:val="00571C88"/>
    <w:rsid w:val="00571E5E"/>
    <w:rsid w:val="005730D9"/>
    <w:rsid w:val="005735ED"/>
    <w:rsid w:val="005746FA"/>
    <w:rsid w:val="00575A99"/>
    <w:rsid w:val="00575D40"/>
    <w:rsid w:val="0057626D"/>
    <w:rsid w:val="00580F72"/>
    <w:rsid w:val="0058111D"/>
    <w:rsid w:val="0058137C"/>
    <w:rsid w:val="005815A1"/>
    <w:rsid w:val="00581D98"/>
    <w:rsid w:val="00582681"/>
    <w:rsid w:val="005826B9"/>
    <w:rsid w:val="00582A01"/>
    <w:rsid w:val="00582EC1"/>
    <w:rsid w:val="0058392D"/>
    <w:rsid w:val="00583B19"/>
    <w:rsid w:val="00584FA0"/>
    <w:rsid w:val="00585486"/>
    <w:rsid w:val="00585F31"/>
    <w:rsid w:val="00587149"/>
    <w:rsid w:val="00587212"/>
    <w:rsid w:val="005877DB"/>
    <w:rsid w:val="00587B57"/>
    <w:rsid w:val="005902BE"/>
    <w:rsid w:val="00590797"/>
    <w:rsid w:val="005907D4"/>
    <w:rsid w:val="00590E76"/>
    <w:rsid w:val="005915EF"/>
    <w:rsid w:val="00591C4C"/>
    <w:rsid w:val="00592284"/>
    <w:rsid w:val="00593848"/>
    <w:rsid w:val="0059386E"/>
    <w:rsid w:val="00594FED"/>
    <w:rsid w:val="0059573E"/>
    <w:rsid w:val="00595750"/>
    <w:rsid w:val="00596799"/>
    <w:rsid w:val="0059697F"/>
    <w:rsid w:val="00596BBD"/>
    <w:rsid w:val="0059738D"/>
    <w:rsid w:val="005A0119"/>
    <w:rsid w:val="005A0947"/>
    <w:rsid w:val="005A0997"/>
    <w:rsid w:val="005A1591"/>
    <w:rsid w:val="005A16E1"/>
    <w:rsid w:val="005A1B01"/>
    <w:rsid w:val="005A2D49"/>
    <w:rsid w:val="005A3620"/>
    <w:rsid w:val="005A3B2F"/>
    <w:rsid w:val="005A5701"/>
    <w:rsid w:val="005A61E3"/>
    <w:rsid w:val="005A6F13"/>
    <w:rsid w:val="005A7193"/>
    <w:rsid w:val="005B04B0"/>
    <w:rsid w:val="005B0C9C"/>
    <w:rsid w:val="005B0D14"/>
    <w:rsid w:val="005B1BAA"/>
    <w:rsid w:val="005B2223"/>
    <w:rsid w:val="005B295F"/>
    <w:rsid w:val="005B2C4A"/>
    <w:rsid w:val="005B3554"/>
    <w:rsid w:val="005B3CF8"/>
    <w:rsid w:val="005B4788"/>
    <w:rsid w:val="005B4C5C"/>
    <w:rsid w:val="005B5130"/>
    <w:rsid w:val="005B5D58"/>
    <w:rsid w:val="005B5DE4"/>
    <w:rsid w:val="005B65A6"/>
    <w:rsid w:val="005B694F"/>
    <w:rsid w:val="005B7AC5"/>
    <w:rsid w:val="005C1001"/>
    <w:rsid w:val="005C1AF7"/>
    <w:rsid w:val="005C1B28"/>
    <w:rsid w:val="005C25D2"/>
    <w:rsid w:val="005C28C0"/>
    <w:rsid w:val="005C3B22"/>
    <w:rsid w:val="005C43E1"/>
    <w:rsid w:val="005C45DE"/>
    <w:rsid w:val="005C4B79"/>
    <w:rsid w:val="005C5C35"/>
    <w:rsid w:val="005C6024"/>
    <w:rsid w:val="005C6820"/>
    <w:rsid w:val="005C6C6A"/>
    <w:rsid w:val="005C7935"/>
    <w:rsid w:val="005D091C"/>
    <w:rsid w:val="005D0FE8"/>
    <w:rsid w:val="005D1698"/>
    <w:rsid w:val="005D1FC1"/>
    <w:rsid w:val="005D2541"/>
    <w:rsid w:val="005D2C7C"/>
    <w:rsid w:val="005D431D"/>
    <w:rsid w:val="005D47FF"/>
    <w:rsid w:val="005D4AF2"/>
    <w:rsid w:val="005D5842"/>
    <w:rsid w:val="005D64DC"/>
    <w:rsid w:val="005D664E"/>
    <w:rsid w:val="005D6CBD"/>
    <w:rsid w:val="005D7764"/>
    <w:rsid w:val="005E035A"/>
    <w:rsid w:val="005E0618"/>
    <w:rsid w:val="005E167C"/>
    <w:rsid w:val="005E24DB"/>
    <w:rsid w:val="005E2525"/>
    <w:rsid w:val="005E265B"/>
    <w:rsid w:val="005E2F4A"/>
    <w:rsid w:val="005E3577"/>
    <w:rsid w:val="005E3A01"/>
    <w:rsid w:val="005E3C6A"/>
    <w:rsid w:val="005E47B0"/>
    <w:rsid w:val="005E4EAB"/>
    <w:rsid w:val="005E57A8"/>
    <w:rsid w:val="005E5AC7"/>
    <w:rsid w:val="005E680C"/>
    <w:rsid w:val="005E773F"/>
    <w:rsid w:val="005E7CE6"/>
    <w:rsid w:val="005F09D5"/>
    <w:rsid w:val="005F14D8"/>
    <w:rsid w:val="005F15A6"/>
    <w:rsid w:val="005F25EF"/>
    <w:rsid w:val="005F291D"/>
    <w:rsid w:val="005F291E"/>
    <w:rsid w:val="005F29C3"/>
    <w:rsid w:val="005F3225"/>
    <w:rsid w:val="005F335D"/>
    <w:rsid w:val="005F3785"/>
    <w:rsid w:val="005F4B8B"/>
    <w:rsid w:val="005F5072"/>
    <w:rsid w:val="005F50EB"/>
    <w:rsid w:val="005F5144"/>
    <w:rsid w:val="005F5575"/>
    <w:rsid w:val="005F571B"/>
    <w:rsid w:val="005F5E6D"/>
    <w:rsid w:val="005F62AE"/>
    <w:rsid w:val="005F6E9F"/>
    <w:rsid w:val="005F7518"/>
    <w:rsid w:val="005F77BB"/>
    <w:rsid w:val="005F77EC"/>
    <w:rsid w:val="005F7FFA"/>
    <w:rsid w:val="00600202"/>
    <w:rsid w:val="006003CA"/>
    <w:rsid w:val="006011EE"/>
    <w:rsid w:val="00601277"/>
    <w:rsid w:val="006017B9"/>
    <w:rsid w:val="00601B51"/>
    <w:rsid w:val="00601E94"/>
    <w:rsid w:val="006025D1"/>
    <w:rsid w:val="00602E85"/>
    <w:rsid w:val="00602F83"/>
    <w:rsid w:val="006038FB"/>
    <w:rsid w:val="006039DA"/>
    <w:rsid w:val="00603CE9"/>
    <w:rsid w:val="00604255"/>
    <w:rsid w:val="00604B8D"/>
    <w:rsid w:val="0060505F"/>
    <w:rsid w:val="0060609C"/>
    <w:rsid w:val="00606285"/>
    <w:rsid w:val="00606D6C"/>
    <w:rsid w:val="006075BF"/>
    <w:rsid w:val="00607715"/>
    <w:rsid w:val="00607890"/>
    <w:rsid w:val="006079F7"/>
    <w:rsid w:val="00607E29"/>
    <w:rsid w:val="006103C1"/>
    <w:rsid w:val="0061127F"/>
    <w:rsid w:val="00612ABA"/>
    <w:rsid w:val="0061412E"/>
    <w:rsid w:val="00614507"/>
    <w:rsid w:val="006146C5"/>
    <w:rsid w:val="00615A7D"/>
    <w:rsid w:val="00615F01"/>
    <w:rsid w:val="0061610B"/>
    <w:rsid w:val="006166CF"/>
    <w:rsid w:val="00617124"/>
    <w:rsid w:val="006173F9"/>
    <w:rsid w:val="006175C3"/>
    <w:rsid w:val="00617C94"/>
    <w:rsid w:val="006202A5"/>
    <w:rsid w:val="00620F1F"/>
    <w:rsid w:val="0062229F"/>
    <w:rsid w:val="00622436"/>
    <w:rsid w:val="00622834"/>
    <w:rsid w:val="00622C29"/>
    <w:rsid w:val="006237E2"/>
    <w:rsid w:val="006248E8"/>
    <w:rsid w:val="00626215"/>
    <w:rsid w:val="00626619"/>
    <w:rsid w:val="006308E8"/>
    <w:rsid w:val="00630DDD"/>
    <w:rsid w:val="0063145D"/>
    <w:rsid w:val="00631FF4"/>
    <w:rsid w:val="00632326"/>
    <w:rsid w:val="00632D90"/>
    <w:rsid w:val="00632DBA"/>
    <w:rsid w:val="00632F60"/>
    <w:rsid w:val="00633102"/>
    <w:rsid w:val="00633D93"/>
    <w:rsid w:val="0063495E"/>
    <w:rsid w:val="006349A9"/>
    <w:rsid w:val="00634B36"/>
    <w:rsid w:val="00634C8D"/>
    <w:rsid w:val="00634DEA"/>
    <w:rsid w:val="00635491"/>
    <w:rsid w:val="00635579"/>
    <w:rsid w:val="00636277"/>
    <w:rsid w:val="00637AC0"/>
    <w:rsid w:val="00637CD1"/>
    <w:rsid w:val="0064060E"/>
    <w:rsid w:val="00643A14"/>
    <w:rsid w:val="006441B5"/>
    <w:rsid w:val="00644AC8"/>
    <w:rsid w:val="006454CC"/>
    <w:rsid w:val="00645EF6"/>
    <w:rsid w:val="00646C0D"/>
    <w:rsid w:val="006471CD"/>
    <w:rsid w:val="00647B4C"/>
    <w:rsid w:val="00651A59"/>
    <w:rsid w:val="00652214"/>
    <w:rsid w:val="006538AB"/>
    <w:rsid w:val="00653E49"/>
    <w:rsid w:val="00653F5B"/>
    <w:rsid w:val="00654478"/>
    <w:rsid w:val="006548B3"/>
    <w:rsid w:val="00654F36"/>
    <w:rsid w:val="00654FAA"/>
    <w:rsid w:val="00655547"/>
    <w:rsid w:val="00656711"/>
    <w:rsid w:val="0065719F"/>
    <w:rsid w:val="0066037A"/>
    <w:rsid w:val="0066090C"/>
    <w:rsid w:val="00661293"/>
    <w:rsid w:val="00661327"/>
    <w:rsid w:val="00661465"/>
    <w:rsid w:val="006614CA"/>
    <w:rsid w:val="00661B4F"/>
    <w:rsid w:val="0066227A"/>
    <w:rsid w:val="006626A7"/>
    <w:rsid w:val="00662B29"/>
    <w:rsid w:val="00662F4C"/>
    <w:rsid w:val="00663A50"/>
    <w:rsid w:val="00663D2C"/>
    <w:rsid w:val="0066426A"/>
    <w:rsid w:val="0066437A"/>
    <w:rsid w:val="00664CDE"/>
    <w:rsid w:val="00665C9D"/>
    <w:rsid w:val="006666DF"/>
    <w:rsid w:val="006676CC"/>
    <w:rsid w:val="006701BB"/>
    <w:rsid w:val="00670682"/>
    <w:rsid w:val="00670823"/>
    <w:rsid w:val="00670870"/>
    <w:rsid w:val="006710FB"/>
    <w:rsid w:val="00672B7A"/>
    <w:rsid w:val="0067313A"/>
    <w:rsid w:val="00673454"/>
    <w:rsid w:val="006750B2"/>
    <w:rsid w:val="006758DE"/>
    <w:rsid w:val="00675EB3"/>
    <w:rsid w:val="00676394"/>
    <w:rsid w:val="0067697B"/>
    <w:rsid w:val="00676CEB"/>
    <w:rsid w:val="00677174"/>
    <w:rsid w:val="006774A2"/>
    <w:rsid w:val="00677CB9"/>
    <w:rsid w:val="00681677"/>
    <w:rsid w:val="0068173F"/>
    <w:rsid w:val="00681B2E"/>
    <w:rsid w:val="00681BEB"/>
    <w:rsid w:val="0068226F"/>
    <w:rsid w:val="00682F05"/>
    <w:rsid w:val="00684FE5"/>
    <w:rsid w:val="0068512B"/>
    <w:rsid w:val="006857ED"/>
    <w:rsid w:val="00685B1E"/>
    <w:rsid w:val="00686F1B"/>
    <w:rsid w:val="0069012F"/>
    <w:rsid w:val="006908A9"/>
    <w:rsid w:val="00690E21"/>
    <w:rsid w:val="006911F9"/>
    <w:rsid w:val="00692048"/>
    <w:rsid w:val="006924E0"/>
    <w:rsid w:val="00692E2F"/>
    <w:rsid w:val="00693146"/>
    <w:rsid w:val="0069369B"/>
    <w:rsid w:val="00693D98"/>
    <w:rsid w:val="006947F1"/>
    <w:rsid w:val="00696ABF"/>
    <w:rsid w:val="00697735"/>
    <w:rsid w:val="00697A5B"/>
    <w:rsid w:val="006A0E58"/>
    <w:rsid w:val="006A1715"/>
    <w:rsid w:val="006A1AFA"/>
    <w:rsid w:val="006A200E"/>
    <w:rsid w:val="006A20DF"/>
    <w:rsid w:val="006A6440"/>
    <w:rsid w:val="006A6600"/>
    <w:rsid w:val="006A66AF"/>
    <w:rsid w:val="006A6A82"/>
    <w:rsid w:val="006A751E"/>
    <w:rsid w:val="006A7578"/>
    <w:rsid w:val="006A7D04"/>
    <w:rsid w:val="006A7D0A"/>
    <w:rsid w:val="006A7F4A"/>
    <w:rsid w:val="006B01D4"/>
    <w:rsid w:val="006B02A3"/>
    <w:rsid w:val="006B1232"/>
    <w:rsid w:val="006B1F4E"/>
    <w:rsid w:val="006B2AD2"/>
    <w:rsid w:val="006B2ED7"/>
    <w:rsid w:val="006B398E"/>
    <w:rsid w:val="006B4353"/>
    <w:rsid w:val="006B494C"/>
    <w:rsid w:val="006B4AA9"/>
    <w:rsid w:val="006B636D"/>
    <w:rsid w:val="006B7699"/>
    <w:rsid w:val="006C1379"/>
    <w:rsid w:val="006C361A"/>
    <w:rsid w:val="006C51AF"/>
    <w:rsid w:val="006C605F"/>
    <w:rsid w:val="006C6A79"/>
    <w:rsid w:val="006C6AE9"/>
    <w:rsid w:val="006C7E63"/>
    <w:rsid w:val="006C7FA2"/>
    <w:rsid w:val="006D02AC"/>
    <w:rsid w:val="006D0794"/>
    <w:rsid w:val="006D1C39"/>
    <w:rsid w:val="006D1F56"/>
    <w:rsid w:val="006D223B"/>
    <w:rsid w:val="006D2D77"/>
    <w:rsid w:val="006D3B21"/>
    <w:rsid w:val="006D4582"/>
    <w:rsid w:val="006D4CC4"/>
    <w:rsid w:val="006D6251"/>
    <w:rsid w:val="006D6561"/>
    <w:rsid w:val="006E089E"/>
    <w:rsid w:val="006E0956"/>
    <w:rsid w:val="006E0BAB"/>
    <w:rsid w:val="006E1CD0"/>
    <w:rsid w:val="006E270A"/>
    <w:rsid w:val="006E325A"/>
    <w:rsid w:val="006E37AB"/>
    <w:rsid w:val="006E3B63"/>
    <w:rsid w:val="006E4EC2"/>
    <w:rsid w:val="006E552D"/>
    <w:rsid w:val="006E56AF"/>
    <w:rsid w:val="006E5DF1"/>
    <w:rsid w:val="006E691A"/>
    <w:rsid w:val="006E6F3B"/>
    <w:rsid w:val="006E7196"/>
    <w:rsid w:val="006E72BA"/>
    <w:rsid w:val="006E7D48"/>
    <w:rsid w:val="006F015F"/>
    <w:rsid w:val="006F0685"/>
    <w:rsid w:val="006F06A5"/>
    <w:rsid w:val="006F0811"/>
    <w:rsid w:val="006F14CF"/>
    <w:rsid w:val="006F16EA"/>
    <w:rsid w:val="006F1968"/>
    <w:rsid w:val="006F1C8E"/>
    <w:rsid w:val="006F1EB7"/>
    <w:rsid w:val="006F2015"/>
    <w:rsid w:val="006F233A"/>
    <w:rsid w:val="006F34B1"/>
    <w:rsid w:val="006F383A"/>
    <w:rsid w:val="006F44EB"/>
    <w:rsid w:val="006F46A9"/>
    <w:rsid w:val="006F4D4C"/>
    <w:rsid w:val="006F4E7B"/>
    <w:rsid w:val="006F4FC8"/>
    <w:rsid w:val="006F5989"/>
    <w:rsid w:val="006F5D18"/>
    <w:rsid w:val="006F65FD"/>
    <w:rsid w:val="006F6966"/>
    <w:rsid w:val="006F6C2D"/>
    <w:rsid w:val="007001B0"/>
    <w:rsid w:val="00700F08"/>
    <w:rsid w:val="00702DBF"/>
    <w:rsid w:val="00702FDA"/>
    <w:rsid w:val="00703418"/>
    <w:rsid w:val="007034AC"/>
    <w:rsid w:val="00703845"/>
    <w:rsid w:val="00703DDA"/>
    <w:rsid w:val="00704BA0"/>
    <w:rsid w:val="00704CFF"/>
    <w:rsid w:val="007057E5"/>
    <w:rsid w:val="00705E3E"/>
    <w:rsid w:val="00706636"/>
    <w:rsid w:val="007066A5"/>
    <w:rsid w:val="0071089D"/>
    <w:rsid w:val="007111F1"/>
    <w:rsid w:val="0071124C"/>
    <w:rsid w:val="007115B3"/>
    <w:rsid w:val="0071198B"/>
    <w:rsid w:val="00711C84"/>
    <w:rsid w:val="00711F23"/>
    <w:rsid w:val="00712362"/>
    <w:rsid w:val="007129F3"/>
    <w:rsid w:val="00712CF2"/>
    <w:rsid w:val="00712E98"/>
    <w:rsid w:val="0071384A"/>
    <w:rsid w:val="00713E59"/>
    <w:rsid w:val="00714022"/>
    <w:rsid w:val="00715E22"/>
    <w:rsid w:val="00715EB1"/>
    <w:rsid w:val="00716188"/>
    <w:rsid w:val="00716809"/>
    <w:rsid w:val="007176B5"/>
    <w:rsid w:val="007179E2"/>
    <w:rsid w:val="00717F02"/>
    <w:rsid w:val="007203B2"/>
    <w:rsid w:val="007204B7"/>
    <w:rsid w:val="007205FE"/>
    <w:rsid w:val="0072166F"/>
    <w:rsid w:val="007218E8"/>
    <w:rsid w:val="0072226D"/>
    <w:rsid w:val="00722392"/>
    <w:rsid w:val="0072295C"/>
    <w:rsid w:val="00723F86"/>
    <w:rsid w:val="007245EC"/>
    <w:rsid w:val="007250B5"/>
    <w:rsid w:val="007254C3"/>
    <w:rsid w:val="0072592F"/>
    <w:rsid w:val="007259FC"/>
    <w:rsid w:val="007264B6"/>
    <w:rsid w:val="00726AA6"/>
    <w:rsid w:val="0073151D"/>
    <w:rsid w:val="0073192B"/>
    <w:rsid w:val="00732535"/>
    <w:rsid w:val="00732E25"/>
    <w:rsid w:val="00733374"/>
    <w:rsid w:val="00733422"/>
    <w:rsid w:val="00733EE2"/>
    <w:rsid w:val="007355F3"/>
    <w:rsid w:val="00735692"/>
    <w:rsid w:val="00736789"/>
    <w:rsid w:val="00736CED"/>
    <w:rsid w:val="00740E60"/>
    <w:rsid w:val="00742235"/>
    <w:rsid w:val="00742941"/>
    <w:rsid w:val="007438C9"/>
    <w:rsid w:val="007458F3"/>
    <w:rsid w:val="00746436"/>
    <w:rsid w:val="007475F7"/>
    <w:rsid w:val="00750B80"/>
    <w:rsid w:val="007512FE"/>
    <w:rsid w:val="00751AFA"/>
    <w:rsid w:val="00751FD8"/>
    <w:rsid w:val="00753187"/>
    <w:rsid w:val="00753646"/>
    <w:rsid w:val="00753F23"/>
    <w:rsid w:val="00754657"/>
    <w:rsid w:val="0075636E"/>
    <w:rsid w:val="007571A7"/>
    <w:rsid w:val="00757B7E"/>
    <w:rsid w:val="00757D95"/>
    <w:rsid w:val="007600CC"/>
    <w:rsid w:val="007604B3"/>
    <w:rsid w:val="00760AA6"/>
    <w:rsid w:val="007612CB"/>
    <w:rsid w:val="0076151C"/>
    <w:rsid w:val="007617E9"/>
    <w:rsid w:val="00761B37"/>
    <w:rsid w:val="007621A8"/>
    <w:rsid w:val="00763100"/>
    <w:rsid w:val="0076329E"/>
    <w:rsid w:val="00764D9F"/>
    <w:rsid w:val="00764E51"/>
    <w:rsid w:val="00765408"/>
    <w:rsid w:val="00765503"/>
    <w:rsid w:val="00765EDC"/>
    <w:rsid w:val="0076778A"/>
    <w:rsid w:val="00767F3D"/>
    <w:rsid w:val="007708C1"/>
    <w:rsid w:val="00770D0C"/>
    <w:rsid w:val="00770F1A"/>
    <w:rsid w:val="00771292"/>
    <w:rsid w:val="007736A7"/>
    <w:rsid w:val="00775042"/>
    <w:rsid w:val="007750DA"/>
    <w:rsid w:val="00775516"/>
    <w:rsid w:val="00775710"/>
    <w:rsid w:val="00775A17"/>
    <w:rsid w:val="00775AE8"/>
    <w:rsid w:val="00775C90"/>
    <w:rsid w:val="007763D6"/>
    <w:rsid w:val="00776DD9"/>
    <w:rsid w:val="0077792B"/>
    <w:rsid w:val="00777A30"/>
    <w:rsid w:val="007815E1"/>
    <w:rsid w:val="00781FAF"/>
    <w:rsid w:val="0078208B"/>
    <w:rsid w:val="00782092"/>
    <w:rsid w:val="00782954"/>
    <w:rsid w:val="00783B41"/>
    <w:rsid w:val="0078495A"/>
    <w:rsid w:val="00784B5A"/>
    <w:rsid w:val="00784C27"/>
    <w:rsid w:val="00785627"/>
    <w:rsid w:val="007857A3"/>
    <w:rsid w:val="00786446"/>
    <w:rsid w:val="007865A1"/>
    <w:rsid w:val="007877C2"/>
    <w:rsid w:val="00787BDC"/>
    <w:rsid w:val="0079052B"/>
    <w:rsid w:val="00790B4F"/>
    <w:rsid w:val="00790DDD"/>
    <w:rsid w:val="007910B2"/>
    <w:rsid w:val="00791347"/>
    <w:rsid w:val="0079171A"/>
    <w:rsid w:val="00791735"/>
    <w:rsid w:val="0079189C"/>
    <w:rsid w:val="00793281"/>
    <w:rsid w:val="007943EE"/>
    <w:rsid w:val="007946BC"/>
    <w:rsid w:val="00794F7B"/>
    <w:rsid w:val="007954E9"/>
    <w:rsid w:val="0079576E"/>
    <w:rsid w:val="00796113"/>
    <w:rsid w:val="00796449"/>
    <w:rsid w:val="00796558"/>
    <w:rsid w:val="00796D6F"/>
    <w:rsid w:val="007976E5"/>
    <w:rsid w:val="007978EF"/>
    <w:rsid w:val="007979E4"/>
    <w:rsid w:val="00797A27"/>
    <w:rsid w:val="00797F7B"/>
    <w:rsid w:val="007A0880"/>
    <w:rsid w:val="007A0B35"/>
    <w:rsid w:val="007A0C6F"/>
    <w:rsid w:val="007A0EE4"/>
    <w:rsid w:val="007A1912"/>
    <w:rsid w:val="007A2470"/>
    <w:rsid w:val="007A3015"/>
    <w:rsid w:val="007A35D2"/>
    <w:rsid w:val="007A427C"/>
    <w:rsid w:val="007A42EC"/>
    <w:rsid w:val="007A4649"/>
    <w:rsid w:val="007A4C5B"/>
    <w:rsid w:val="007A51C6"/>
    <w:rsid w:val="007A5EAB"/>
    <w:rsid w:val="007A66BC"/>
    <w:rsid w:val="007A7345"/>
    <w:rsid w:val="007A7D34"/>
    <w:rsid w:val="007A7FE4"/>
    <w:rsid w:val="007B01B6"/>
    <w:rsid w:val="007B04A4"/>
    <w:rsid w:val="007B07DA"/>
    <w:rsid w:val="007B2878"/>
    <w:rsid w:val="007B33B7"/>
    <w:rsid w:val="007B481A"/>
    <w:rsid w:val="007B5591"/>
    <w:rsid w:val="007B62A4"/>
    <w:rsid w:val="007B642B"/>
    <w:rsid w:val="007B68FC"/>
    <w:rsid w:val="007B7AF2"/>
    <w:rsid w:val="007C03AD"/>
    <w:rsid w:val="007C046D"/>
    <w:rsid w:val="007C0B06"/>
    <w:rsid w:val="007C10E7"/>
    <w:rsid w:val="007C1D91"/>
    <w:rsid w:val="007C2710"/>
    <w:rsid w:val="007C3FBD"/>
    <w:rsid w:val="007C459B"/>
    <w:rsid w:val="007C609F"/>
    <w:rsid w:val="007C6661"/>
    <w:rsid w:val="007C731B"/>
    <w:rsid w:val="007C7907"/>
    <w:rsid w:val="007D2055"/>
    <w:rsid w:val="007D21C3"/>
    <w:rsid w:val="007D2876"/>
    <w:rsid w:val="007D3348"/>
    <w:rsid w:val="007D3645"/>
    <w:rsid w:val="007D37C7"/>
    <w:rsid w:val="007D40EF"/>
    <w:rsid w:val="007D4FB0"/>
    <w:rsid w:val="007D5AD0"/>
    <w:rsid w:val="007D6C5B"/>
    <w:rsid w:val="007D71DC"/>
    <w:rsid w:val="007D7205"/>
    <w:rsid w:val="007D729A"/>
    <w:rsid w:val="007D76EF"/>
    <w:rsid w:val="007D7898"/>
    <w:rsid w:val="007E0BC9"/>
    <w:rsid w:val="007E0DCF"/>
    <w:rsid w:val="007E0FEF"/>
    <w:rsid w:val="007E16E4"/>
    <w:rsid w:val="007E1AD7"/>
    <w:rsid w:val="007E1CE0"/>
    <w:rsid w:val="007E25DF"/>
    <w:rsid w:val="007E2848"/>
    <w:rsid w:val="007E29F1"/>
    <w:rsid w:val="007E2DD7"/>
    <w:rsid w:val="007E39CD"/>
    <w:rsid w:val="007E3F03"/>
    <w:rsid w:val="007E3FE4"/>
    <w:rsid w:val="007E6075"/>
    <w:rsid w:val="007E7AF6"/>
    <w:rsid w:val="007E7B87"/>
    <w:rsid w:val="007E7F99"/>
    <w:rsid w:val="007F2606"/>
    <w:rsid w:val="007F2B57"/>
    <w:rsid w:val="007F2D42"/>
    <w:rsid w:val="007F481B"/>
    <w:rsid w:val="007F5246"/>
    <w:rsid w:val="007F554B"/>
    <w:rsid w:val="007F5AF6"/>
    <w:rsid w:val="007F6258"/>
    <w:rsid w:val="007F62AC"/>
    <w:rsid w:val="007F79CB"/>
    <w:rsid w:val="00800ACB"/>
    <w:rsid w:val="008017FC"/>
    <w:rsid w:val="00801DB1"/>
    <w:rsid w:val="008033C6"/>
    <w:rsid w:val="00804B3B"/>
    <w:rsid w:val="00804D17"/>
    <w:rsid w:val="00805294"/>
    <w:rsid w:val="00805B38"/>
    <w:rsid w:val="00805C01"/>
    <w:rsid w:val="00805D5E"/>
    <w:rsid w:val="0080639B"/>
    <w:rsid w:val="00806C7E"/>
    <w:rsid w:val="00806FA9"/>
    <w:rsid w:val="00807832"/>
    <w:rsid w:val="00810AED"/>
    <w:rsid w:val="008114D9"/>
    <w:rsid w:val="008126CE"/>
    <w:rsid w:val="0081290A"/>
    <w:rsid w:val="008139B6"/>
    <w:rsid w:val="008139D0"/>
    <w:rsid w:val="00813A40"/>
    <w:rsid w:val="00815A3A"/>
    <w:rsid w:val="00817D8C"/>
    <w:rsid w:val="00817F99"/>
    <w:rsid w:val="0082072C"/>
    <w:rsid w:val="00820F82"/>
    <w:rsid w:val="00821048"/>
    <w:rsid w:val="0082188D"/>
    <w:rsid w:val="00821B7E"/>
    <w:rsid w:val="00822130"/>
    <w:rsid w:val="0082337C"/>
    <w:rsid w:val="0082341C"/>
    <w:rsid w:val="00824201"/>
    <w:rsid w:val="0082485A"/>
    <w:rsid w:val="008253BE"/>
    <w:rsid w:val="0082582D"/>
    <w:rsid w:val="00826503"/>
    <w:rsid w:val="0082716A"/>
    <w:rsid w:val="008273D3"/>
    <w:rsid w:val="00827403"/>
    <w:rsid w:val="00827EFF"/>
    <w:rsid w:val="00830D7F"/>
    <w:rsid w:val="00831375"/>
    <w:rsid w:val="0083148E"/>
    <w:rsid w:val="0083150E"/>
    <w:rsid w:val="00831C43"/>
    <w:rsid w:val="00832038"/>
    <w:rsid w:val="00832FBD"/>
    <w:rsid w:val="008331A9"/>
    <w:rsid w:val="008331CF"/>
    <w:rsid w:val="0083357B"/>
    <w:rsid w:val="00834908"/>
    <w:rsid w:val="00834A51"/>
    <w:rsid w:val="00836C27"/>
    <w:rsid w:val="00837573"/>
    <w:rsid w:val="00837D52"/>
    <w:rsid w:val="0084100E"/>
    <w:rsid w:val="008410E4"/>
    <w:rsid w:val="00841584"/>
    <w:rsid w:val="00842477"/>
    <w:rsid w:val="00842CFF"/>
    <w:rsid w:val="00842E50"/>
    <w:rsid w:val="00843315"/>
    <w:rsid w:val="00843412"/>
    <w:rsid w:val="00844093"/>
    <w:rsid w:val="0084423E"/>
    <w:rsid w:val="00844D6A"/>
    <w:rsid w:val="00844EA2"/>
    <w:rsid w:val="0084537D"/>
    <w:rsid w:val="0084589A"/>
    <w:rsid w:val="00845C4D"/>
    <w:rsid w:val="00847AF7"/>
    <w:rsid w:val="00852014"/>
    <w:rsid w:val="00852B31"/>
    <w:rsid w:val="0085335F"/>
    <w:rsid w:val="008537DF"/>
    <w:rsid w:val="00853D65"/>
    <w:rsid w:val="00854B81"/>
    <w:rsid w:val="00854F0B"/>
    <w:rsid w:val="0085574B"/>
    <w:rsid w:val="00855A8B"/>
    <w:rsid w:val="00855D2D"/>
    <w:rsid w:val="008565C4"/>
    <w:rsid w:val="0085770A"/>
    <w:rsid w:val="00861027"/>
    <w:rsid w:val="008617D6"/>
    <w:rsid w:val="00861D4E"/>
    <w:rsid w:val="00863479"/>
    <w:rsid w:val="0086347A"/>
    <w:rsid w:val="008640C3"/>
    <w:rsid w:val="00865816"/>
    <w:rsid w:val="008659FF"/>
    <w:rsid w:val="008660CD"/>
    <w:rsid w:val="00866277"/>
    <w:rsid w:val="00866BFF"/>
    <w:rsid w:val="00867138"/>
    <w:rsid w:val="00870B8C"/>
    <w:rsid w:val="00871AEC"/>
    <w:rsid w:val="00872C0F"/>
    <w:rsid w:val="00872D01"/>
    <w:rsid w:val="00872D44"/>
    <w:rsid w:val="008733FD"/>
    <w:rsid w:val="008738B8"/>
    <w:rsid w:val="008738D8"/>
    <w:rsid w:val="00873A3C"/>
    <w:rsid w:val="00876F3E"/>
    <w:rsid w:val="00877589"/>
    <w:rsid w:val="0088034B"/>
    <w:rsid w:val="00880708"/>
    <w:rsid w:val="00880B1F"/>
    <w:rsid w:val="00880B89"/>
    <w:rsid w:val="00881271"/>
    <w:rsid w:val="0088155F"/>
    <w:rsid w:val="00882304"/>
    <w:rsid w:val="008828A9"/>
    <w:rsid w:val="00883562"/>
    <w:rsid w:val="008844A9"/>
    <w:rsid w:val="00884816"/>
    <w:rsid w:val="0088538F"/>
    <w:rsid w:val="0088618C"/>
    <w:rsid w:val="00887525"/>
    <w:rsid w:val="00887DE6"/>
    <w:rsid w:val="0089007D"/>
    <w:rsid w:val="008904B6"/>
    <w:rsid w:val="008908B7"/>
    <w:rsid w:val="00891A6E"/>
    <w:rsid w:val="0089294F"/>
    <w:rsid w:val="00893830"/>
    <w:rsid w:val="00894930"/>
    <w:rsid w:val="00894AC7"/>
    <w:rsid w:val="00895583"/>
    <w:rsid w:val="00895C03"/>
    <w:rsid w:val="00895D2C"/>
    <w:rsid w:val="00896006"/>
    <w:rsid w:val="008968BC"/>
    <w:rsid w:val="00896E26"/>
    <w:rsid w:val="0089753C"/>
    <w:rsid w:val="00897567"/>
    <w:rsid w:val="00897BB6"/>
    <w:rsid w:val="00897D13"/>
    <w:rsid w:val="00897E91"/>
    <w:rsid w:val="008A0160"/>
    <w:rsid w:val="008A08D3"/>
    <w:rsid w:val="008A0DFD"/>
    <w:rsid w:val="008A11A8"/>
    <w:rsid w:val="008A1C76"/>
    <w:rsid w:val="008A1DF8"/>
    <w:rsid w:val="008A2530"/>
    <w:rsid w:val="008A2712"/>
    <w:rsid w:val="008A3D6B"/>
    <w:rsid w:val="008A3F85"/>
    <w:rsid w:val="008A41B4"/>
    <w:rsid w:val="008A7164"/>
    <w:rsid w:val="008A7A1F"/>
    <w:rsid w:val="008A7CEC"/>
    <w:rsid w:val="008B080A"/>
    <w:rsid w:val="008B0AF2"/>
    <w:rsid w:val="008B0BE6"/>
    <w:rsid w:val="008B0CCC"/>
    <w:rsid w:val="008B15ED"/>
    <w:rsid w:val="008B24E5"/>
    <w:rsid w:val="008B4088"/>
    <w:rsid w:val="008B4AFB"/>
    <w:rsid w:val="008B7DB0"/>
    <w:rsid w:val="008C0267"/>
    <w:rsid w:val="008C02F6"/>
    <w:rsid w:val="008C0796"/>
    <w:rsid w:val="008C1282"/>
    <w:rsid w:val="008C1CB7"/>
    <w:rsid w:val="008C1E41"/>
    <w:rsid w:val="008C1F38"/>
    <w:rsid w:val="008C26EE"/>
    <w:rsid w:val="008C2CB1"/>
    <w:rsid w:val="008C2D50"/>
    <w:rsid w:val="008C2F99"/>
    <w:rsid w:val="008C3003"/>
    <w:rsid w:val="008C301B"/>
    <w:rsid w:val="008C6E45"/>
    <w:rsid w:val="008C7B35"/>
    <w:rsid w:val="008D008C"/>
    <w:rsid w:val="008D02DE"/>
    <w:rsid w:val="008D0E3A"/>
    <w:rsid w:val="008D1001"/>
    <w:rsid w:val="008D1C22"/>
    <w:rsid w:val="008D1F42"/>
    <w:rsid w:val="008D2119"/>
    <w:rsid w:val="008D2ADF"/>
    <w:rsid w:val="008D2C58"/>
    <w:rsid w:val="008D37DF"/>
    <w:rsid w:val="008D38AB"/>
    <w:rsid w:val="008D5285"/>
    <w:rsid w:val="008D55C4"/>
    <w:rsid w:val="008D5D7C"/>
    <w:rsid w:val="008D5F47"/>
    <w:rsid w:val="008D63BA"/>
    <w:rsid w:val="008D72FA"/>
    <w:rsid w:val="008D78A7"/>
    <w:rsid w:val="008E0CB4"/>
    <w:rsid w:val="008E0F42"/>
    <w:rsid w:val="008E15F0"/>
    <w:rsid w:val="008E1CB5"/>
    <w:rsid w:val="008E23F7"/>
    <w:rsid w:val="008E296F"/>
    <w:rsid w:val="008E2F8A"/>
    <w:rsid w:val="008E324E"/>
    <w:rsid w:val="008E3843"/>
    <w:rsid w:val="008E38C7"/>
    <w:rsid w:val="008E41EB"/>
    <w:rsid w:val="008E510B"/>
    <w:rsid w:val="008E6188"/>
    <w:rsid w:val="008E7200"/>
    <w:rsid w:val="008E7344"/>
    <w:rsid w:val="008E7D97"/>
    <w:rsid w:val="008F0649"/>
    <w:rsid w:val="008F0934"/>
    <w:rsid w:val="008F0C23"/>
    <w:rsid w:val="008F0CF0"/>
    <w:rsid w:val="008F0EC1"/>
    <w:rsid w:val="008F109C"/>
    <w:rsid w:val="008F2661"/>
    <w:rsid w:val="008F26E2"/>
    <w:rsid w:val="008F2826"/>
    <w:rsid w:val="008F2E25"/>
    <w:rsid w:val="008F35CA"/>
    <w:rsid w:val="008F3639"/>
    <w:rsid w:val="008F3D16"/>
    <w:rsid w:val="008F46FC"/>
    <w:rsid w:val="008F4DCD"/>
    <w:rsid w:val="008F5427"/>
    <w:rsid w:val="008F61AC"/>
    <w:rsid w:val="008F623A"/>
    <w:rsid w:val="008F66C1"/>
    <w:rsid w:val="009009AC"/>
    <w:rsid w:val="00900D56"/>
    <w:rsid w:val="00900D97"/>
    <w:rsid w:val="009012F8"/>
    <w:rsid w:val="009017D6"/>
    <w:rsid w:val="00901A36"/>
    <w:rsid w:val="009027C0"/>
    <w:rsid w:val="0090367D"/>
    <w:rsid w:val="0090564D"/>
    <w:rsid w:val="00905D0E"/>
    <w:rsid w:val="00906226"/>
    <w:rsid w:val="00906576"/>
    <w:rsid w:val="009066BB"/>
    <w:rsid w:val="00906781"/>
    <w:rsid w:val="00906E23"/>
    <w:rsid w:val="00907BD4"/>
    <w:rsid w:val="0091258B"/>
    <w:rsid w:val="00912C78"/>
    <w:rsid w:val="00913856"/>
    <w:rsid w:val="00914582"/>
    <w:rsid w:val="00915BEA"/>
    <w:rsid w:val="009161B8"/>
    <w:rsid w:val="009169FC"/>
    <w:rsid w:val="009170D4"/>
    <w:rsid w:val="0091732B"/>
    <w:rsid w:val="00917923"/>
    <w:rsid w:val="00917F4A"/>
    <w:rsid w:val="009209FC"/>
    <w:rsid w:val="009211B5"/>
    <w:rsid w:val="0092120B"/>
    <w:rsid w:val="00922531"/>
    <w:rsid w:val="009225D0"/>
    <w:rsid w:val="009225DC"/>
    <w:rsid w:val="00922667"/>
    <w:rsid w:val="00922A35"/>
    <w:rsid w:val="00922DE1"/>
    <w:rsid w:val="00922F52"/>
    <w:rsid w:val="00923645"/>
    <w:rsid w:val="00923A6B"/>
    <w:rsid w:val="00923BA7"/>
    <w:rsid w:val="00924939"/>
    <w:rsid w:val="00924B9E"/>
    <w:rsid w:val="00926083"/>
    <w:rsid w:val="0092609D"/>
    <w:rsid w:val="00926685"/>
    <w:rsid w:val="00926713"/>
    <w:rsid w:val="009269C6"/>
    <w:rsid w:val="00927814"/>
    <w:rsid w:val="00927969"/>
    <w:rsid w:val="00927EE8"/>
    <w:rsid w:val="00930335"/>
    <w:rsid w:val="00930537"/>
    <w:rsid w:val="00930994"/>
    <w:rsid w:val="00930C4A"/>
    <w:rsid w:val="00931169"/>
    <w:rsid w:val="00931AB4"/>
    <w:rsid w:val="00933330"/>
    <w:rsid w:val="00933BA2"/>
    <w:rsid w:val="00934878"/>
    <w:rsid w:val="009358F7"/>
    <w:rsid w:val="00935D14"/>
    <w:rsid w:val="0093696F"/>
    <w:rsid w:val="00937591"/>
    <w:rsid w:val="00937AD2"/>
    <w:rsid w:val="00937D64"/>
    <w:rsid w:val="00940B58"/>
    <w:rsid w:val="00940E66"/>
    <w:rsid w:val="009415AB"/>
    <w:rsid w:val="0094344E"/>
    <w:rsid w:val="00943543"/>
    <w:rsid w:val="00943C18"/>
    <w:rsid w:val="00945458"/>
    <w:rsid w:val="0094550D"/>
    <w:rsid w:val="009455AE"/>
    <w:rsid w:val="00946138"/>
    <w:rsid w:val="0094675B"/>
    <w:rsid w:val="00947351"/>
    <w:rsid w:val="00947781"/>
    <w:rsid w:val="00947EF6"/>
    <w:rsid w:val="009507FC"/>
    <w:rsid w:val="00950C83"/>
    <w:rsid w:val="00951177"/>
    <w:rsid w:val="0095147D"/>
    <w:rsid w:val="00951C5E"/>
    <w:rsid w:val="00951D66"/>
    <w:rsid w:val="00953E61"/>
    <w:rsid w:val="009541C4"/>
    <w:rsid w:val="0095625F"/>
    <w:rsid w:val="009569EC"/>
    <w:rsid w:val="00956CCD"/>
    <w:rsid w:val="0095795B"/>
    <w:rsid w:val="009603A2"/>
    <w:rsid w:val="009607E0"/>
    <w:rsid w:val="009609D3"/>
    <w:rsid w:val="0096107E"/>
    <w:rsid w:val="00961217"/>
    <w:rsid w:val="00961584"/>
    <w:rsid w:val="00962B98"/>
    <w:rsid w:val="009635B5"/>
    <w:rsid w:val="009637CD"/>
    <w:rsid w:val="00964D1E"/>
    <w:rsid w:val="00965155"/>
    <w:rsid w:val="009663CB"/>
    <w:rsid w:val="00966766"/>
    <w:rsid w:val="00967DCC"/>
    <w:rsid w:val="0097011E"/>
    <w:rsid w:val="009701E1"/>
    <w:rsid w:val="009708E6"/>
    <w:rsid w:val="00970D67"/>
    <w:rsid w:val="00970EBF"/>
    <w:rsid w:val="009718F8"/>
    <w:rsid w:val="00971CD9"/>
    <w:rsid w:val="00971FB7"/>
    <w:rsid w:val="00972227"/>
    <w:rsid w:val="00972CAF"/>
    <w:rsid w:val="0097395B"/>
    <w:rsid w:val="00973B45"/>
    <w:rsid w:val="00973F46"/>
    <w:rsid w:val="009745B8"/>
    <w:rsid w:val="009751CD"/>
    <w:rsid w:val="00975336"/>
    <w:rsid w:val="00975562"/>
    <w:rsid w:val="00975738"/>
    <w:rsid w:val="009759A2"/>
    <w:rsid w:val="009759D0"/>
    <w:rsid w:val="00975BF0"/>
    <w:rsid w:val="00976480"/>
    <w:rsid w:val="0097676C"/>
    <w:rsid w:val="00976D62"/>
    <w:rsid w:val="00976E4D"/>
    <w:rsid w:val="0097783B"/>
    <w:rsid w:val="00977AE0"/>
    <w:rsid w:val="00980144"/>
    <w:rsid w:val="009804BC"/>
    <w:rsid w:val="00980CB9"/>
    <w:rsid w:val="009822FE"/>
    <w:rsid w:val="009829AE"/>
    <w:rsid w:val="0098324D"/>
    <w:rsid w:val="009839DE"/>
    <w:rsid w:val="009845BA"/>
    <w:rsid w:val="009852B1"/>
    <w:rsid w:val="009857D4"/>
    <w:rsid w:val="0098607D"/>
    <w:rsid w:val="00986331"/>
    <w:rsid w:val="00986E3D"/>
    <w:rsid w:val="009874CF"/>
    <w:rsid w:val="009875F4"/>
    <w:rsid w:val="009903CD"/>
    <w:rsid w:val="00990EAE"/>
    <w:rsid w:val="009917EF"/>
    <w:rsid w:val="00991908"/>
    <w:rsid w:val="00992096"/>
    <w:rsid w:val="009923B7"/>
    <w:rsid w:val="0099285D"/>
    <w:rsid w:val="00993D75"/>
    <w:rsid w:val="0099632E"/>
    <w:rsid w:val="009974A8"/>
    <w:rsid w:val="009976A7"/>
    <w:rsid w:val="009978FB"/>
    <w:rsid w:val="00997A36"/>
    <w:rsid w:val="009A06CA"/>
    <w:rsid w:val="009A1310"/>
    <w:rsid w:val="009A2D10"/>
    <w:rsid w:val="009A2F5E"/>
    <w:rsid w:val="009A3929"/>
    <w:rsid w:val="009A3AB7"/>
    <w:rsid w:val="009A42C6"/>
    <w:rsid w:val="009A5488"/>
    <w:rsid w:val="009A5A45"/>
    <w:rsid w:val="009A643A"/>
    <w:rsid w:val="009A6865"/>
    <w:rsid w:val="009A6B54"/>
    <w:rsid w:val="009A7C9F"/>
    <w:rsid w:val="009A7CC2"/>
    <w:rsid w:val="009B0A5A"/>
    <w:rsid w:val="009B156D"/>
    <w:rsid w:val="009B21B2"/>
    <w:rsid w:val="009B241A"/>
    <w:rsid w:val="009B266D"/>
    <w:rsid w:val="009B2C65"/>
    <w:rsid w:val="009B5637"/>
    <w:rsid w:val="009B641B"/>
    <w:rsid w:val="009B6BA5"/>
    <w:rsid w:val="009B78EF"/>
    <w:rsid w:val="009C0FE6"/>
    <w:rsid w:val="009C2A01"/>
    <w:rsid w:val="009C2C3A"/>
    <w:rsid w:val="009C3602"/>
    <w:rsid w:val="009C442D"/>
    <w:rsid w:val="009C47FA"/>
    <w:rsid w:val="009C4F27"/>
    <w:rsid w:val="009C59FE"/>
    <w:rsid w:val="009C5CE6"/>
    <w:rsid w:val="009C6146"/>
    <w:rsid w:val="009C6E4D"/>
    <w:rsid w:val="009D0B26"/>
    <w:rsid w:val="009D101B"/>
    <w:rsid w:val="009D156E"/>
    <w:rsid w:val="009D21BD"/>
    <w:rsid w:val="009D30F4"/>
    <w:rsid w:val="009D510E"/>
    <w:rsid w:val="009D5C9A"/>
    <w:rsid w:val="009D7498"/>
    <w:rsid w:val="009D7DC1"/>
    <w:rsid w:val="009E0753"/>
    <w:rsid w:val="009E0AB1"/>
    <w:rsid w:val="009E0B3A"/>
    <w:rsid w:val="009E2920"/>
    <w:rsid w:val="009E2C86"/>
    <w:rsid w:val="009E32C9"/>
    <w:rsid w:val="009E3B44"/>
    <w:rsid w:val="009E3DF7"/>
    <w:rsid w:val="009E439A"/>
    <w:rsid w:val="009E46EB"/>
    <w:rsid w:val="009E4A15"/>
    <w:rsid w:val="009E51FA"/>
    <w:rsid w:val="009E5D08"/>
    <w:rsid w:val="009F1C95"/>
    <w:rsid w:val="009F2574"/>
    <w:rsid w:val="009F25D1"/>
    <w:rsid w:val="009F2E24"/>
    <w:rsid w:val="009F3FBD"/>
    <w:rsid w:val="009F4EFB"/>
    <w:rsid w:val="009F6078"/>
    <w:rsid w:val="009F648B"/>
    <w:rsid w:val="009F69B1"/>
    <w:rsid w:val="009F7340"/>
    <w:rsid w:val="00A00431"/>
    <w:rsid w:val="00A00BFD"/>
    <w:rsid w:val="00A01324"/>
    <w:rsid w:val="00A02169"/>
    <w:rsid w:val="00A024D1"/>
    <w:rsid w:val="00A02658"/>
    <w:rsid w:val="00A03CE2"/>
    <w:rsid w:val="00A03DD6"/>
    <w:rsid w:val="00A04038"/>
    <w:rsid w:val="00A04890"/>
    <w:rsid w:val="00A04C15"/>
    <w:rsid w:val="00A0541B"/>
    <w:rsid w:val="00A05D03"/>
    <w:rsid w:val="00A05FAA"/>
    <w:rsid w:val="00A06DD9"/>
    <w:rsid w:val="00A075C7"/>
    <w:rsid w:val="00A10259"/>
    <w:rsid w:val="00A10332"/>
    <w:rsid w:val="00A105C6"/>
    <w:rsid w:val="00A11296"/>
    <w:rsid w:val="00A1244A"/>
    <w:rsid w:val="00A127EB"/>
    <w:rsid w:val="00A12ABC"/>
    <w:rsid w:val="00A12B74"/>
    <w:rsid w:val="00A12BEB"/>
    <w:rsid w:val="00A14AFB"/>
    <w:rsid w:val="00A1521B"/>
    <w:rsid w:val="00A16B7C"/>
    <w:rsid w:val="00A17F90"/>
    <w:rsid w:val="00A213AE"/>
    <w:rsid w:val="00A21441"/>
    <w:rsid w:val="00A2198C"/>
    <w:rsid w:val="00A21DD8"/>
    <w:rsid w:val="00A22935"/>
    <w:rsid w:val="00A22F34"/>
    <w:rsid w:val="00A240D4"/>
    <w:rsid w:val="00A25C2D"/>
    <w:rsid w:val="00A25DC6"/>
    <w:rsid w:val="00A26664"/>
    <w:rsid w:val="00A271B0"/>
    <w:rsid w:val="00A27C4A"/>
    <w:rsid w:val="00A3076B"/>
    <w:rsid w:val="00A3199A"/>
    <w:rsid w:val="00A31B90"/>
    <w:rsid w:val="00A32275"/>
    <w:rsid w:val="00A338D4"/>
    <w:rsid w:val="00A33C4D"/>
    <w:rsid w:val="00A340D5"/>
    <w:rsid w:val="00A340E7"/>
    <w:rsid w:val="00A3432A"/>
    <w:rsid w:val="00A35447"/>
    <w:rsid w:val="00A35B59"/>
    <w:rsid w:val="00A35C80"/>
    <w:rsid w:val="00A362AA"/>
    <w:rsid w:val="00A36365"/>
    <w:rsid w:val="00A36AB5"/>
    <w:rsid w:val="00A37321"/>
    <w:rsid w:val="00A37820"/>
    <w:rsid w:val="00A37F4A"/>
    <w:rsid w:val="00A37FB1"/>
    <w:rsid w:val="00A401BD"/>
    <w:rsid w:val="00A405BD"/>
    <w:rsid w:val="00A41466"/>
    <w:rsid w:val="00A44969"/>
    <w:rsid w:val="00A44D2A"/>
    <w:rsid w:val="00A44D5C"/>
    <w:rsid w:val="00A44FD4"/>
    <w:rsid w:val="00A45E2D"/>
    <w:rsid w:val="00A46812"/>
    <w:rsid w:val="00A46CE8"/>
    <w:rsid w:val="00A46D20"/>
    <w:rsid w:val="00A47120"/>
    <w:rsid w:val="00A477E9"/>
    <w:rsid w:val="00A47CDF"/>
    <w:rsid w:val="00A47E16"/>
    <w:rsid w:val="00A502E8"/>
    <w:rsid w:val="00A5062A"/>
    <w:rsid w:val="00A50903"/>
    <w:rsid w:val="00A50BE9"/>
    <w:rsid w:val="00A50CD9"/>
    <w:rsid w:val="00A50D99"/>
    <w:rsid w:val="00A50F37"/>
    <w:rsid w:val="00A51255"/>
    <w:rsid w:val="00A516D3"/>
    <w:rsid w:val="00A518AA"/>
    <w:rsid w:val="00A52394"/>
    <w:rsid w:val="00A5244B"/>
    <w:rsid w:val="00A52686"/>
    <w:rsid w:val="00A52941"/>
    <w:rsid w:val="00A531C9"/>
    <w:rsid w:val="00A531FE"/>
    <w:rsid w:val="00A547EB"/>
    <w:rsid w:val="00A54B76"/>
    <w:rsid w:val="00A551FC"/>
    <w:rsid w:val="00A552E1"/>
    <w:rsid w:val="00A55F0B"/>
    <w:rsid w:val="00A566A5"/>
    <w:rsid w:val="00A56F5A"/>
    <w:rsid w:val="00A56FD7"/>
    <w:rsid w:val="00A57A61"/>
    <w:rsid w:val="00A57C21"/>
    <w:rsid w:val="00A61A39"/>
    <w:rsid w:val="00A61E25"/>
    <w:rsid w:val="00A625D0"/>
    <w:rsid w:val="00A64E3A"/>
    <w:rsid w:val="00A65F58"/>
    <w:rsid w:val="00A670BC"/>
    <w:rsid w:val="00A6778E"/>
    <w:rsid w:val="00A6780D"/>
    <w:rsid w:val="00A67895"/>
    <w:rsid w:val="00A70AF0"/>
    <w:rsid w:val="00A70BA7"/>
    <w:rsid w:val="00A710BB"/>
    <w:rsid w:val="00A710E3"/>
    <w:rsid w:val="00A732FD"/>
    <w:rsid w:val="00A73C92"/>
    <w:rsid w:val="00A73D8F"/>
    <w:rsid w:val="00A74AA6"/>
    <w:rsid w:val="00A74B53"/>
    <w:rsid w:val="00A74F85"/>
    <w:rsid w:val="00A766F8"/>
    <w:rsid w:val="00A7681A"/>
    <w:rsid w:val="00A77332"/>
    <w:rsid w:val="00A80BA8"/>
    <w:rsid w:val="00A80E56"/>
    <w:rsid w:val="00A8286E"/>
    <w:rsid w:val="00A829D4"/>
    <w:rsid w:val="00A832C2"/>
    <w:rsid w:val="00A832F3"/>
    <w:rsid w:val="00A83D17"/>
    <w:rsid w:val="00A8456A"/>
    <w:rsid w:val="00A85350"/>
    <w:rsid w:val="00A85796"/>
    <w:rsid w:val="00A85926"/>
    <w:rsid w:val="00A85C00"/>
    <w:rsid w:val="00A8617D"/>
    <w:rsid w:val="00A8748F"/>
    <w:rsid w:val="00A903DF"/>
    <w:rsid w:val="00A90A4E"/>
    <w:rsid w:val="00A90B55"/>
    <w:rsid w:val="00A91E2A"/>
    <w:rsid w:val="00A91FEE"/>
    <w:rsid w:val="00A92260"/>
    <w:rsid w:val="00A9256B"/>
    <w:rsid w:val="00A92F54"/>
    <w:rsid w:val="00A940C0"/>
    <w:rsid w:val="00A94A55"/>
    <w:rsid w:val="00A955B5"/>
    <w:rsid w:val="00A9605B"/>
    <w:rsid w:val="00A9679C"/>
    <w:rsid w:val="00A97EB5"/>
    <w:rsid w:val="00AA1980"/>
    <w:rsid w:val="00AA1DB1"/>
    <w:rsid w:val="00AA31C3"/>
    <w:rsid w:val="00AA33AF"/>
    <w:rsid w:val="00AA3AE9"/>
    <w:rsid w:val="00AA4F2E"/>
    <w:rsid w:val="00AA5126"/>
    <w:rsid w:val="00AA5217"/>
    <w:rsid w:val="00AA59BE"/>
    <w:rsid w:val="00AA5B1F"/>
    <w:rsid w:val="00AA7BAC"/>
    <w:rsid w:val="00AB14DD"/>
    <w:rsid w:val="00AB16C0"/>
    <w:rsid w:val="00AB1A1B"/>
    <w:rsid w:val="00AB298D"/>
    <w:rsid w:val="00AB2B5F"/>
    <w:rsid w:val="00AB304F"/>
    <w:rsid w:val="00AB3BEA"/>
    <w:rsid w:val="00AB49C7"/>
    <w:rsid w:val="00AB629F"/>
    <w:rsid w:val="00AB62AA"/>
    <w:rsid w:val="00AB6483"/>
    <w:rsid w:val="00AB6821"/>
    <w:rsid w:val="00AB6F19"/>
    <w:rsid w:val="00AB6FA9"/>
    <w:rsid w:val="00AC0B8A"/>
    <w:rsid w:val="00AC0FDF"/>
    <w:rsid w:val="00AC12C2"/>
    <w:rsid w:val="00AC143B"/>
    <w:rsid w:val="00AC183A"/>
    <w:rsid w:val="00AC25CF"/>
    <w:rsid w:val="00AC2873"/>
    <w:rsid w:val="00AC2D85"/>
    <w:rsid w:val="00AC368B"/>
    <w:rsid w:val="00AC3716"/>
    <w:rsid w:val="00AC5359"/>
    <w:rsid w:val="00AC5D77"/>
    <w:rsid w:val="00AC5FF0"/>
    <w:rsid w:val="00AC6E34"/>
    <w:rsid w:val="00AD01B0"/>
    <w:rsid w:val="00AD0378"/>
    <w:rsid w:val="00AD0F65"/>
    <w:rsid w:val="00AD21AD"/>
    <w:rsid w:val="00AD2FF2"/>
    <w:rsid w:val="00AD3A20"/>
    <w:rsid w:val="00AD3CF1"/>
    <w:rsid w:val="00AD3DA6"/>
    <w:rsid w:val="00AD4038"/>
    <w:rsid w:val="00AD4141"/>
    <w:rsid w:val="00AD4860"/>
    <w:rsid w:val="00AD4ACC"/>
    <w:rsid w:val="00AD4FB7"/>
    <w:rsid w:val="00AD520B"/>
    <w:rsid w:val="00AD555B"/>
    <w:rsid w:val="00AD5B06"/>
    <w:rsid w:val="00AD5C8A"/>
    <w:rsid w:val="00AD67A3"/>
    <w:rsid w:val="00AD732F"/>
    <w:rsid w:val="00AD79E4"/>
    <w:rsid w:val="00AE16BF"/>
    <w:rsid w:val="00AE2F67"/>
    <w:rsid w:val="00AE3CBD"/>
    <w:rsid w:val="00AE3E51"/>
    <w:rsid w:val="00AE4159"/>
    <w:rsid w:val="00AE4CAD"/>
    <w:rsid w:val="00AE55FA"/>
    <w:rsid w:val="00AE5626"/>
    <w:rsid w:val="00AE57EC"/>
    <w:rsid w:val="00AE6292"/>
    <w:rsid w:val="00AE6C9C"/>
    <w:rsid w:val="00AE7FCA"/>
    <w:rsid w:val="00AF0643"/>
    <w:rsid w:val="00AF0A6E"/>
    <w:rsid w:val="00AF0F36"/>
    <w:rsid w:val="00AF192A"/>
    <w:rsid w:val="00AF2039"/>
    <w:rsid w:val="00AF28D3"/>
    <w:rsid w:val="00AF3178"/>
    <w:rsid w:val="00AF33DE"/>
    <w:rsid w:val="00AF3AC6"/>
    <w:rsid w:val="00AF3E32"/>
    <w:rsid w:val="00AF473A"/>
    <w:rsid w:val="00AF4928"/>
    <w:rsid w:val="00AF4AC2"/>
    <w:rsid w:val="00AF50CA"/>
    <w:rsid w:val="00AF5EDB"/>
    <w:rsid w:val="00AF5FCB"/>
    <w:rsid w:val="00AF63EB"/>
    <w:rsid w:val="00AF6547"/>
    <w:rsid w:val="00AF680E"/>
    <w:rsid w:val="00AF6BD2"/>
    <w:rsid w:val="00AF744F"/>
    <w:rsid w:val="00AF7CDD"/>
    <w:rsid w:val="00B00313"/>
    <w:rsid w:val="00B00F9E"/>
    <w:rsid w:val="00B00FDB"/>
    <w:rsid w:val="00B0149A"/>
    <w:rsid w:val="00B01C37"/>
    <w:rsid w:val="00B020C0"/>
    <w:rsid w:val="00B02D5C"/>
    <w:rsid w:val="00B048A5"/>
    <w:rsid w:val="00B04932"/>
    <w:rsid w:val="00B04C0D"/>
    <w:rsid w:val="00B0534F"/>
    <w:rsid w:val="00B05BCE"/>
    <w:rsid w:val="00B06DE0"/>
    <w:rsid w:val="00B06F70"/>
    <w:rsid w:val="00B07051"/>
    <w:rsid w:val="00B0716D"/>
    <w:rsid w:val="00B07EB2"/>
    <w:rsid w:val="00B07F8D"/>
    <w:rsid w:val="00B109D3"/>
    <w:rsid w:val="00B112EE"/>
    <w:rsid w:val="00B11A25"/>
    <w:rsid w:val="00B11BC8"/>
    <w:rsid w:val="00B1302D"/>
    <w:rsid w:val="00B13408"/>
    <w:rsid w:val="00B13C07"/>
    <w:rsid w:val="00B14011"/>
    <w:rsid w:val="00B1426D"/>
    <w:rsid w:val="00B14292"/>
    <w:rsid w:val="00B15047"/>
    <w:rsid w:val="00B151F5"/>
    <w:rsid w:val="00B15AB9"/>
    <w:rsid w:val="00B16F2C"/>
    <w:rsid w:val="00B170A6"/>
    <w:rsid w:val="00B170B8"/>
    <w:rsid w:val="00B17759"/>
    <w:rsid w:val="00B17760"/>
    <w:rsid w:val="00B1790D"/>
    <w:rsid w:val="00B17919"/>
    <w:rsid w:val="00B17C00"/>
    <w:rsid w:val="00B17D72"/>
    <w:rsid w:val="00B204BC"/>
    <w:rsid w:val="00B20791"/>
    <w:rsid w:val="00B20C74"/>
    <w:rsid w:val="00B20F08"/>
    <w:rsid w:val="00B22165"/>
    <w:rsid w:val="00B22181"/>
    <w:rsid w:val="00B23526"/>
    <w:rsid w:val="00B23EB0"/>
    <w:rsid w:val="00B24200"/>
    <w:rsid w:val="00B24F10"/>
    <w:rsid w:val="00B25B80"/>
    <w:rsid w:val="00B27637"/>
    <w:rsid w:val="00B2765C"/>
    <w:rsid w:val="00B278D5"/>
    <w:rsid w:val="00B2797D"/>
    <w:rsid w:val="00B27D0D"/>
    <w:rsid w:val="00B30085"/>
    <w:rsid w:val="00B30F8E"/>
    <w:rsid w:val="00B31785"/>
    <w:rsid w:val="00B31AF3"/>
    <w:rsid w:val="00B31B8A"/>
    <w:rsid w:val="00B32224"/>
    <w:rsid w:val="00B32AD4"/>
    <w:rsid w:val="00B331EA"/>
    <w:rsid w:val="00B33BF2"/>
    <w:rsid w:val="00B33F2D"/>
    <w:rsid w:val="00B34F7A"/>
    <w:rsid w:val="00B3592C"/>
    <w:rsid w:val="00B3609A"/>
    <w:rsid w:val="00B36F5C"/>
    <w:rsid w:val="00B37128"/>
    <w:rsid w:val="00B40481"/>
    <w:rsid w:val="00B40855"/>
    <w:rsid w:val="00B40A72"/>
    <w:rsid w:val="00B41D0C"/>
    <w:rsid w:val="00B42546"/>
    <w:rsid w:val="00B46751"/>
    <w:rsid w:val="00B47157"/>
    <w:rsid w:val="00B471EE"/>
    <w:rsid w:val="00B476D7"/>
    <w:rsid w:val="00B47942"/>
    <w:rsid w:val="00B50405"/>
    <w:rsid w:val="00B50BF3"/>
    <w:rsid w:val="00B51785"/>
    <w:rsid w:val="00B54B92"/>
    <w:rsid w:val="00B55200"/>
    <w:rsid w:val="00B55651"/>
    <w:rsid w:val="00B5663C"/>
    <w:rsid w:val="00B5674A"/>
    <w:rsid w:val="00B56A08"/>
    <w:rsid w:val="00B56D10"/>
    <w:rsid w:val="00B56F91"/>
    <w:rsid w:val="00B5701D"/>
    <w:rsid w:val="00B575E9"/>
    <w:rsid w:val="00B57791"/>
    <w:rsid w:val="00B57FCF"/>
    <w:rsid w:val="00B600D0"/>
    <w:rsid w:val="00B61421"/>
    <w:rsid w:val="00B620F8"/>
    <w:rsid w:val="00B6267F"/>
    <w:rsid w:val="00B62A7D"/>
    <w:rsid w:val="00B62AA6"/>
    <w:rsid w:val="00B631F0"/>
    <w:rsid w:val="00B63BD1"/>
    <w:rsid w:val="00B647AC"/>
    <w:rsid w:val="00B64A26"/>
    <w:rsid w:val="00B64A80"/>
    <w:rsid w:val="00B658E2"/>
    <w:rsid w:val="00B65B50"/>
    <w:rsid w:val="00B66824"/>
    <w:rsid w:val="00B66855"/>
    <w:rsid w:val="00B668B7"/>
    <w:rsid w:val="00B67B76"/>
    <w:rsid w:val="00B70116"/>
    <w:rsid w:val="00B701A0"/>
    <w:rsid w:val="00B719A3"/>
    <w:rsid w:val="00B71C7D"/>
    <w:rsid w:val="00B72729"/>
    <w:rsid w:val="00B72D4E"/>
    <w:rsid w:val="00B73CAF"/>
    <w:rsid w:val="00B75620"/>
    <w:rsid w:val="00B76A82"/>
    <w:rsid w:val="00B76ED8"/>
    <w:rsid w:val="00B77055"/>
    <w:rsid w:val="00B7785C"/>
    <w:rsid w:val="00B8028D"/>
    <w:rsid w:val="00B80B7D"/>
    <w:rsid w:val="00B80D7A"/>
    <w:rsid w:val="00B80EF6"/>
    <w:rsid w:val="00B81069"/>
    <w:rsid w:val="00B81335"/>
    <w:rsid w:val="00B81549"/>
    <w:rsid w:val="00B81953"/>
    <w:rsid w:val="00B81B68"/>
    <w:rsid w:val="00B8202A"/>
    <w:rsid w:val="00B820CB"/>
    <w:rsid w:val="00B82171"/>
    <w:rsid w:val="00B82384"/>
    <w:rsid w:val="00B82FB7"/>
    <w:rsid w:val="00B8431C"/>
    <w:rsid w:val="00B846B4"/>
    <w:rsid w:val="00B852D5"/>
    <w:rsid w:val="00B85B70"/>
    <w:rsid w:val="00B906D5"/>
    <w:rsid w:val="00B90979"/>
    <w:rsid w:val="00B90ABC"/>
    <w:rsid w:val="00B90DA7"/>
    <w:rsid w:val="00B90E7A"/>
    <w:rsid w:val="00B90EFB"/>
    <w:rsid w:val="00B91DE4"/>
    <w:rsid w:val="00B92079"/>
    <w:rsid w:val="00B933D5"/>
    <w:rsid w:val="00B94B02"/>
    <w:rsid w:val="00B95A12"/>
    <w:rsid w:val="00B962A4"/>
    <w:rsid w:val="00B966E0"/>
    <w:rsid w:val="00B96A3D"/>
    <w:rsid w:val="00B972A8"/>
    <w:rsid w:val="00BA1173"/>
    <w:rsid w:val="00BA2447"/>
    <w:rsid w:val="00BA2FFF"/>
    <w:rsid w:val="00BA332C"/>
    <w:rsid w:val="00BA4A1B"/>
    <w:rsid w:val="00BA56A0"/>
    <w:rsid w:val="00BA6549"/>
    <w:rsid w:val="00BA7796"/>
    <w:rsid w:val="00BA7BE2"/>
    <w:rsid w:val="00BB0A3F"/>
    <w:rsid w:val="00BB16ED"/>
    <w:rsid w:val="00BB1CA8"/>
    <w:rsid w:val="00BB2D47"/>
    <w:rsid w:val="00BB2D68"/>
    <w:rsid w:val="00BB300A"/>
    <w:rsid w:val="00BB33C2"/>
    <w:rsid w:val="00BB36CE"/>
    <w:rsid w:val="00BB4711"/>
    <w:rsid w:val="00BB5098"/>
    <w:rsid w:val="00BB509E"/>
    <w:rsid w:val="00BB6C1F"/>
    <w:rsid w:val="00BB7FE5"/>
    <w:rsid w:val="00BC03AF"/>
    <w:rsid w:val="00BC083C"/>
    <w:rsid w:val="00BC12D8"/>
    <w:rsid w:val="00BC20B6"/>
    <w:rsid w:val="00BC234C"/>
    <w:rsid w:val="00BC2F9D"/>
    <w:rsid w:val="00BC3064"/>
    <w:rsid w:val="00BC3D14"/>
    <w:rsid w:val="00BC3F6D"/>
    <w:rsid w:val="00BC4CB4"/>
    <w:rsid w:val="00BC5B0E"/>
    <w:rsid w:val="00BC62D6"/>
    <w:rsid w:val="00BC68F0"/>
    <w:rsid w:val="00BC78FD"/>
    <w:rsid w:val="00BD0A1C"/>
    <w:rsid w:val="00BD0BE4"/>
    <w:rsid w:val="00BD11A4"/>
    <w:rsid w:val="00BD21E1"/>
    <w:rsid w:val="00BD27B9"/>
    <w:rsid w:val="00BD2E7B"/>
    <w:rsid w:val="00BD2EF0"/>
    <w:rsid w:val="00BD30B4"/>
    <w:rsid w:val="00BD32F5"/>
    <w:rsid w:val="00BD3678"/>
    <w:rsid w:val="00BD3B33"/>
    <w:rsid w:val="00BD4D68"/>
    <w:rsid w:val="00BD5462"/>
    <w:rsid w:val="00BD561B"/>
    <w:rsid w:val="00BD627F"/>
    <w:rsid w:val="00BD646E"/>
    <w:rsid w:val="00BD6F4C"/>
    <w:rsid w:val="00BD7E50"/>
    <w:rsid w:val="00BE0DD4"/>
    <w:rsid w:val="00BE15D1"/>
    <w:rsid w:val="00BE1758"/>
    <w:rsid w:val="00BE1893"/>
    <w:rsid w:val="00BE1ABF"/>
    <w:rsid w:val="00BE2099"/>
    <w:rsid w:val="00BE2797"/>
    <w:rsid w:val="00BE297D"/>
    <w:rsid w:val="00BE380F"/>
    <w:rsid w:val="00BE3925"/>
    <w:rsid w:val="00BE3C2C"/>
    <w:rsid w:val="00BE43FE"/>
    <w:rsid w:val="00BE5102"/>
    <w:rsid w:val="00BE5E37"/>
    <w:rsid w:val="00BE5EA6"/>
    <w:rsid w:val="00BE5FF4"/>
    <w:rsid w:val="00BE6340"/>
    <w:rsid w:val="00BE6877"/>
    <w:rsid w:val="00BE6EFD"/>
    <w:rsid w:val="00BF036B"/>
    <w:rsid w:val="00BF038D"/>
    <w:rsid w:val="00BF0785"/>
    <w:rsid w:val="00BF0811"/>
    <w:rsid w:val="00BF19B3"/>
    <w:rsid w:val="00BF1F1E"/>
    <w:rsid w:val="00BF2546"/>
    <w:rsid w:val="00BF25BC"/>
    <w:rsid w:val="00BF3503"/>
    <w:rsid w:val="00BF3D35"/>
    <w:rsid w:val="00BF5168"/>
    <w:rsid w:val="00BF55A1"/>
    <w:rsid w:val="00BF6243"/>
    <w:rsid w:val="00BF637C"/>
    <w:rsid w:val="00BF6DE2"/>
    <w:rsid w:val="00BF740E"/>
    <w:rsid w:val="00BF76F7"/>
    <w:rsid w:val="00BF7ECA"/>
    <w:rsid w:val="00C00199"/>
    <w:rsid w:val="00C019B2"/>
    <w:rsid w:val="00C01F07"/>
    <w:rsid w:val="00C0244A"/>
    <w:rsid w:val="00C0253B"/>
    <w:rsid w:val="00C02E64"/>
    <w:rsid w:val="00C04E20"/>
    <w:rsid w:val="00C050EB"/>
    <w:rsid w:val="00C056DD"/>
    <w:rsid w:val="00C05823"/>
    <w:rsid w:val="00C064F7"/>
    <w:rsid w:val="00C0678D"/>
    <w:rsid w:val="00C06FD5"/>
    <w:rsid w:val="00C071F5"/>
    <w:rsid w:val="00C074B0"/>
    <w:rsid w:val="00C07AF6"/>
    <w:rsid w:val="00C07E4B"/>
    <w:rsid w:val="00C100C1"/>
    <w:rsid w:val="00C102CD"/>
    <w:rsid w:val="00C10803"/>
    <w:rsid w:val="00C10935"/>
    <w:rsid w:val="00C10A52"/>
    <w:rsid w:val="00C10EFF"/>
    <w:rsid w:val="00C11704"/>
    <w:rsid w:val="00C12401"/>
    <w:rsid w:val="00C124B0"/>
    <w:rsid w:val="00C12E0B"/>
    <w:rsid w:val="00C13677"/>
    <w:rsid w:val="00C1383C"/>
    <w:rsid w:val="00C14B8E"/>
    <w:rsid w:val="00C14DCF"/>
    <w:rsid w:val="00C15439"/>
    <w:rsid w:val="00C15447"/>
    <w:rsid w:val="00C1584A"/>
    <w:rsid w:val="00C15893"/>
    <w:rsid w:val="00C15AE4"/>
    <w:rsid w:val="00C15BC7"/>
    <w:rsid w:val="00C15F3D"/>
    <w:rsid w:val="00C1617B"/>
    <w:rsid w:val="00C16338"/>
    <w:rsid w:val="00C1649E"/>
    <w:rsid w:val="00C165E5"/>
    <w:rsid w:val="00C1664F"/>
    <w:rsid w:val="00C168FC"/>
    <w:rsid w:val="00C16D0C"/>
    <w:rsid w:val="00C16F64"/>
    <w:rsid w:val="00C16FFC"/>
    <w:rsid w:val="00C17BF9"/>
    <w:rsid w:val="00C200BC"/>
    <w:rsid w:val="00C20D5F"/>
    <w:rsid w:val="00C20D7F"/>
    <w:rsid w:val="00C21FCE"/>
    <w:rsid w:val="00C22867"/>
    <w:rsid w:val="00C2317B"/>
    <w:rsid w:val="00C2349A"/>
    <w:rsid w:val="00C23E33"/>
    <w:rsid w:val="00C23F30"/>
    <w:rsid w:val="00C2475A"/>
    <w:rsid w:val="00C25218"/>
    <w:rsid w:val="00C253BF"/>
    <w:rsid w:val="00C25EB4"/>
    <w:rsid w:val="00C26459"/>
    <w:rsid w:val="00C26534"/>
    <w:rsid w:val="00C2692B"/>
    <w:rsid w:val="00C27A8F"/>
    <w:rsid w:val="00C30BE4"/>
    <w:rsid w:val="00C30F9F"/>
    <w:rsid w:val="00C31675"/>
    <w:rsid w:val="00C31BA6"/>
    <w:rsid w:val="00C32950"/>
    <w:rsid w:val="00C32CD3"/>
    <w:rsid w:val="00C33A50"/>
    <w:rsid w:val="00C343CC"/>
    <w:rsid w:val="00C34BB8"/>
    <w:rsid w:val="00C34D6B"/>
    <w:rsid w:val="00C351DF"/>
    <w:rsid w:val="00C35881"/>
    <w:rsid w:val="00C35E91"/>
    <w:rsid w:val="00C367F8"/>
    <w:rsid w:val="00C3693F"/>
    <w:rsid w:val="00C36D82"/>
    <w:rsid w:val="00C40285"/>
    <w:rsid w:val="00C41257"/>
    <w:rsid w:val="00C42577"/>
    <w:rsid w:val="00C42734"/>
    <w:rsid w:val="00C42C1B"/>
    <w:rsid w:val="00C43306"/>
    <w:rsid w:val="00C435C9"/>
    <w:rsid w:val="00C440F3"/>
    <w:rsid w:val="00C4419D"/>
    <w:rsid w:val="00C44491"/>
    <w:rsid w:val="00C44987"/>
    <w:rsid w:val="00C451F8"/>
    <w:rsid w:val="00C4551C"/>
    <w:rsid w:val="00C45D54"/>
    <w:rsid w:val="00C46020"/>
    <w:rsid w:val="00C46F86"/>
    <w:rsid w:val="00C507B8"/>
    <w:rsid w:val="00C5113C"/>
    <w:rsid w:val="00C51512"/>
    <w:rsid w:val="00C51DE7"/>
    <w:rsid w:val="00C52710"/>
    <w:rsid w:val="00C532D9"/>
    <w:rsid w:val="00C53669"/>
    <w:rsid w:val="00C53CBF"/>
    <w:rsid w:val="00C54B91"/>
    <w:rsid w:val="00C54F0B"/>
    <w:rsid w:val="00C556AB"/>
    <w:rsid w:val="00C55707"/>
    <w:rsid w:val="00C55E45"/>
    <w:rsid w:val="00C56198"/>
    <w:rsid w:val="00C5681E"/>
    <w:rsid w:val="00C57209"/>
    <w:rsid w:val="00C574BA"/>
    <w:rsid w:val="00C60725"/>
    <w:rsid w:val="00C6175D"/>
    <w:rsid w:val="00C61BCE"/>
    <w:rsid w:val="00C62F5C"/>
    <w:rsid w:val="00C6341A"/>
    <w:rsid w:val="00C636B7"/>
    <w:rsid w:val="00C637EA"/>
    <w:rsid w:val="00C64482"/>
    <w:rsid w:val="00C651FA"/>
    <w:rsid w:val="00C659C1"/>
    <w:rsid w:val="00C65B25"/>
    <w:rsid w:val="00C6666A"/>
    <w:rsid w:val="00C6734D"/>
    <w:rsid w:val="00C70364"/>
    <w:rsid w:val="00C70522"/>
    <w:rsid w:val="00C713FD"/>
    <w:rsid w:val="00C7164E"/>
    <w:rsid w:val="00C71A68"/>
    <w:rsid w:val="00C71CF3"/>
    <w:rsid w:val="00C720AE"/>
    <w:rsid w:val="00C730E3"/>
    <w:rsid w:val="00C74449"/>
    <w:rsid w:val="00C7509E"/>
    <w:rsid w:val="00C76B54"/>
    <w:rsid w:val="00C76F37"/>
    <w:rsid w:val="00C77D9C"/>
    <w:rsid w:val="00C77F0D"/>
    <w:rsid w:val="00C77F4F"/>
    <w:rsid w:val="00C80451"/>
    <w:rsid w:val="00C80FA1"/>
    <w:rsid w:val="00C81C55"/>
    <w:rsid w:val="00C820E4"/>
    <w:rsid w:val="00C83153"/>
    <w:rsid w:val="00C833D4"/>
    <w:rsid w:val="00C8409C"/>
    <w:rsid w:val="00C84ADA"/>
    <w:rsid w:val="00C858CF"/>
    <w:rsid w:val="00C87556"/>
    <w:rsid w:val="00C877DD"/>
    <w:rsid w:val="00C901BB"/>
    <w:rsid w:val="00C91438"/>
    <w:rsid w:val="00C91BD0"/>
    <w:rsid w:val="00C91E65"/>
    <w:rsid w:val="00C92033"/>
    <w:rsid w:val="00C920A2"/>
    <w:rsid w:val="00C9303D"/>
    <w:rsid w:val="00C9309B"/>
    <w:rsid w:val="00C93741"/>
    <w:rsid w:val="00C9404D"/>
    <w:rsid w:val="00C9485D"/>
    <w:rsid w:val="00C94DC3"/>
    <w:rsid w:val="00C95D85"/>
    <w:rsid w:val="00C965B0"/>
    <w:rsid w:val="00C966F8"/>
    <w:rsid w:val="00C96AF0"/>
    <w:rsid w:val="00C97BF8"/>
    <w:rsid w:val="00CA036B"/>
    <w:rsid w:val="00CA0D95"/>
    <w:rsid w:val="00CA0EE0"/>
    <w:rsid w:val="00CA1E3D"/>
    <w:rsid w:val="00CA270E"/>
    <w:rsid w:val="00CA3012"/>
    <w:rsid w:val="00CA3336"/>
    <w:rsid w:val="00CA35D7"/>
    <w:rsid w:val="00CA4A3E"/>
    <w:rsid w:val="00CA4DB2"/>
    <w:rsid w:val="00CA62A7"/>
    <w:rsid w:val="00CA6309"/>
    <w:rsid w:val="00CA6660"/>
    <w:rsid w:val="00CA6D10"/>
    <w:rsid w:val="00CA73D7"/>
    <w:rsid w:val="00CB049D"/>
    <w:rsid w:val="00CB0D15"/>
    <w:rsid w:val="00CB0F03"/>
    <w:rsid w:val="00CB12AB"/>
    <w:rsid w:val="00CB1B08"/>
    <w:rsid w:val="00CB1F59"/>
    <w:rsid w:val="00CB2D11"/>
    <w:rsid w:val="00CB467E"/>
    <w:rsid w:val="00CB5707"/>
    <w:rsid w:val="00CB605C"/>
    <w:rsid w:val="00CB694D"/>
    <w:rsid w:val="00CB6B0D"/>
    <w:rsid w:val="00CB6D67"/>
    <w:rsid w:val="00CB6E3F"/>
    <w:rsid w:val="00CC02D6"/>
    <w:rsid w:val="00CC1136"/>
    <w:rsid w:val="00CC255D"/>
    <w:rsid w:val="00CC273E"/>
    <w:rsid w:val="00CC28F6"/>
    <w:rsid w:val="00CC359B"/>
    <w:rsid w:val="00CC3785"/>
    <w:rsid w:val="00CC3B55"/>
    <w:rsid w:val="00CC3C3D"/>
    <w:rsid w:val="00CC5973"/>
    <w:rsid w:val="00CC6AB2"/>
    <w:rsid w:val="00CC7ACA"/>
    <w:rsid w:val="00CC7B80"/>
    <w:rsid w:val="00CD21C9"/>
    <w:rsid w:val="00CD286A"/>
    <w:rsid w:val="00CD3351"/>
    <w:rsid w:val="00CD4849"/>
    <w:rsid w:val="00CD5120"/>
    <w:rsid w:val="00CD53AF"/>
    <w:rsid w:val="00CD6746"/>
    <w:rsid w:val="00CD687A"/>
    <w:rsid w:val="00CD6D27"/>
    <w:rsid w:val="00CD727B"/>
    <w:rsid w:val="00CD77C5"/>
    <w:rsid w:val="00CD78CF"/>
    <w:rsid w:val="00CD7EE7"/>
    <w:rsid w:val="00CE03A1"/>
    <w:rsid w:val="00CE09C1"/>
    <w:rsid w:val="00CE1BC9"/>
    <w:rsid w:val="00CE22EC"/>
    <w:rsid w:val="00CE293E"/>
    <w:rsid w:val="00CE2A4B"/>
    <w:rsid w:val="00CE2E45"/>
    <w:rsid w:val="00CE3D59"/>
    <w:rsid w:val="00CE3E66"/>
    <w:rsid w:val="00CE40B7"/>
    <w:rsid w:val="00CE465C"/>
    <w:rsid w:val="00CE59B0"/>
    <w:rsid w:val="00CE6584"/>
    <w:rsid w:val="00CE6B1C"/>
    <w:rsid w:val="00CE6EC4"/>
    <w:rsid w:val="00CE79F7"/>
    <w:rsid w:val="00CF0D0C"/>
    <w:rsid w:val="00CF10A6"/>
    <w:rsid w:val="00CF18BB"/>
    <w:rsid w:val="00CF1FA4"/>
    <w:rsid w:val="00CF264A"/>
    <w:rsid w:val="00CF2E41"/>
    <w:rsid w:val="00CF3FEB"/>
    <w:rsid w:val="00CF470B"/>
    <w:rsid w:val="00CF4F1A"/>
    <w:rsid w:val="00CF538B"/>
    <w:rsid w:val="00CF56C9"/>
    <w:rsid w:val="00CF595A"/>
    <w:rsid w:val="00CF6392"/>
    <w:rsid w:val="00CF6DD0"/>
    <w:rsid w:val="00CF7A22"/>
    <w:rsid w:val="00D019EE"/>
    <w:rsid w:val="00D01B83"/>
    <w:rsid w:val="00D022CA"/>
    <w:rsid w:val="00D02C65"/>
    <w:rsid w:val="00D02DF2"/>
    <w:rsid w:val="00D02E15"/>
    <w:rsid w:val="00D032DE"/>
    <w:rsid w:val="00D03E8D"/>
    <w:rsid w:val="00D05D47"/>
    <w:rsid w:val="00D05E83"/>
    <w:rsid w:val="00D06BDE"/>
    <w:rsid w:val="00D06CD6"/>
    <w:rsid w:val="00D07603"/>
    <w:rsid w:val="00D115EB"/>
    <w:rsid w:val="00D1177B"/>
    <w:rsid w:val="00D1213D"/>
    <w:rsid w:val="00D12D8A"/>
    <w:rsid w:val="00D12FBC"/>
    <w:rsid w:val="00D13AEF"/>
    <w:rsid w:val="00D14269"/>
    <w:rsid w:val="00D1435E"/>
    <w:rsid w:val="00D16E20"/>
    <w:rsid w:val="00D16ED1"/>
    <w:rsid w:val="00D16F48"/>
    <w:rsid w:val="00D17259"/>
    <w:rsid w:val="00D173CB"/>
    <w:rsid w:val="00D174F5"/>
    <w:rsid w:val="00D200B0"/>
    <w:rsid w:val="00D205B1"/>
    <w:rsid w:val="00D2097B"/>
    <w:rsid w:val="00D21D13"/>
    <w:rsid w:val="00D2230B"/>
    <w:rsid w:val="00D22F7A"/>
    <w:rsid w:val="00D230A1"/>
    <w:rsid w:val="00D23371"/>
    <w:rsid w:val="00D234E6"/>
    <w:rsid w:val="00D24409"/>
    <w:rsid w:val="00D24CE2"/>
    <w:rsid w:val="00D25354"/>
    <w:rsid w:val="00D25F0B"/>
    <w:rsid w:val="00D2602B"/>
    <w:rsid w:val="00D26050"/>
    <w:rsid w:val="00D26071"/>
    <w:rsid w:val="00D26204"/>
    <w:rsid w:val="00D267F4"/>
    <w:rsid w:val="00D26A3B"/>
    <w:rsid w:val="00D2720A"/>
    <w:rsid w:val="00D27500"/>
    <w:rsid w:val="00D27787"/>
    <w:rsid w:val="00D27A66"/>
    <w:rsid w:val="00D27E3D"/>
    <w:rsid w:val="00D3002B"/>
    <w:rsid w:val="00D3017B"/>
    <w:rsid w:val="00D30436"/>
    <w:rsid w:val="00D304A4"/>
    <w:rsid w:val="00D31E7B"/>
    <w:rsid w:val="00D328C6"/>
    <w:rsid w:val="00D33847"/>
    <w:rsid w:val="00D33C82"/>
    <w:rsid w:val="00D33F7F"/>
    <w:rsid w:val="00D341E5"/>
    <w:rsid w:val="00D34843"/>
    <w:rsid w:val="00D34D59"/>
    <w:rsid w:val="00D34F1A"/>
    <w:rsid w:val="00D354CC"/>
    <w:rsid w:val="00D35756"/>
    <w:rsid w:val="00D35CC1"/>
    <w:rsid w:val="00D35CEC"/>
    <w:rsid w:val="00D36067"/>
    <w:rsid w:val="00D360D4"/>
    <w:rsid w:val="00D36CAB"/>
    <w:rsid w:val="00D37327"/>
    <w:rsid w:val="00D376C1"/>
    <w:rsid w:val="00D37D96"/>
    <w:rsid w:val="00D40F7D"/>
    <w:rsid w:val="00D4104B"/>
    <w:rsid w:val="00D410CF"/>
    <w:rsid w:val="00D41124"/>
    <w:rsid w:val="00D41A92"/>
    <w:rsid w:val="00D4226E"/>
    <w:rsid w:val="00D4252B"/>
    <w:rsid w:val="00D43141"/>
    <w:rsid w:val="00D43886"/>
    <w:rsid w:val="00D43A1A"/>
    <w:rsid w:val="00D43D75"/>
    <w:rsid w:val="00D43EE0"/>
    <w:rsid w:val="00D4580C"/>
    <w:rsid w:val="00D45987"/>
    <w:rsid w:val="00D45F53"/>
    <w:rsid w:val="00D46E0E"/>
    <w:rsid w:val="00D47AA6"/>
    <w:rsid w:val="00D50BFB"/>
    <w:rsid w:val="00D5147C"/>
    <w:rsid w:val="00D51496"/>
    <w:rsid w:val="00D516DA"/>
    <w:rsid w:val="00D51ABE"/>
    <w:rsid w:val="00D528A6"/>
    <w:rsid w:val="00D52B78"/>
    <w:rsid w:val="00D53002"/>
    <w:rsid w:val="00D547D2"/>
    <w:rsid w:val="00D55105"/>
    <w:rsid w:val="00D552B0"/>
    <w:rsid w:val="00D55B2E"/>
    <w:rsid w:val="00D55FE2"/>
    <w:rsid w:val="00D5718E"/>
    <w:rsid w:val="00D57854"/>
    <w:rsid w:val="00D60C18"/>
    <w:rsid w:val="00D613E1"/>
    <w:rsid w:val="00D61B5D"/>
    <w:rsid w:val="00D63AF7"/>
    <w:rsid w:val="00D63C9F"/>
    <w:rsid w:val="00D63E45"/>
    <w:rsid w:val="00D63EF4"/>
    <w:rsid w:val="00D654A6"/>
    <w:rsid w:val="00D67854"/>
    <w:rsid w:val="00D67D11"/>
    <w:rsid w:val="00D7052C"/>
    <w:rsid w:val="00D70554"/>
    <w:rsid w:val="00D70D42"/>
    <w:rsid w:val="00D7139F"/>
    <w:rsid w:val="00D71526"/>
    <w:rsid w:val="00D71EA6"/>
    <w:rsid w:val="00D73012"/>
    <w:rsid w:val="00D741F2"/>
    <w:rsid w:val="00D748E7"/>
    <w:rsid w:val="00D7506D"/>
    <w:rsid w:val="00D751B6"/>
    <w:rsid w:val="00D753D3"/>
    <w:rsid w:val="00D75400"/>
    <w:rsid w:val="00D75F64"/>
    <w:rsid w:val="00D77BF4"/>
    <w:rsid w:val="00D805B6"/>
    <w:rsid w:val="00D809B4"/>
    <w:rsid w:val="00D80A4D"/>
    <w:rsid w:val="00D80C6E"/>
    <w:rsid w:val="00D81BB8"/>
    <w:rsid w:val="00D81D3C"/>
    <w:rsid w:val="00D81EC0"/>
    <w:rsid w:val="00D81F3B"/>
    <w:rsid w:val="00D8312B"/>
    <w:rsid w:val="00D83517"/>
    <w:rsid w:val="00D83A04"/>
    <w:rsid w:val="00D845F9"/>
    <w:rsid w:val="00D84E4C"/>
    <w:rsid w:val="00D84FA4"/>
    <w:rsid w:val="00D861CC"/>
    <w:rsid w:val="00D86301"/>
    <w:rsid w:val="00D867A6"/>
    <w:rsid w:val="00D907EB"/>
    <w:rsid w:val="00D91457"/>
    <w:rsid w:val="00D91648"/>
    <w:rsid w:val="00D91A7B"/>
    <w:rsid w:val="00D91EE6"/>
    <w:rsid w:val="00D91EFB"/>
    <w:rsid w:val="00D924A3"/>
    <w:rsid w:val="00D92C5C"/>
    <w:rsid w:val="00D93181"/>
    <w:rsid w:val="00D934D7"/>
    <w:rsid w:val="00D93D6C"/>
    <w:rsid w:val="00D94CCF"/>
    <w:rsid w:val="00D95AEB"/>
    <w:rsid w:val="00D96297"/>
    <w:rsid w:val="00D962E1"/>
    <w:rsid w:val="00D965B6"/>
    <w:rsid w:val="00D96E00"/>
    <w:rsid w:val="00D97325"/>
    <w:rsid w:val="00D9778C"/>
    <w:rsid w:val="00D979F8"/>
    <w:rsid w:val="00D97AE4"/>
    <w:rsid w:val="00DA00D6"/>
    <w:rsid w:val="00DA0DEA"/>
    <w:rsid w:val="00DA126E"/>
    <w:rsid w:val="00DA21E4"/>
    <w:rsid w:val="00DA2290"/>
    <w:rsid w:val="00DA3546"/>
    <w:rsid w:val="00DA73BE"/>
    <w:rsid w:val="00DA75BC"/>
    <w:rsid w:val="00DB0771"/>
    <w:rsid w:val="00DB0DC6"/>
    <w:rsid w:val="00DB108C"/>
    <w:rsid w:val="00DB131C"/>
    <w:rsid w:val="00DB135D"/>
    <w:rsid w:val="00DB1DB2"/>
    <w:rsid w:val="00DB1EB8"/>
    <w:rsid w:val="00DB2A55"/>
    <w:rsid w:val="00DB2AEF"/>
    <w:rsid w:val="00DB31F7"/>
    <w:rsid w:val="00DB4198"/>
    <w:rsid w:val="00DB438F"/>
    <w:rsid w:val="00DB44B5"/>
    <w:rsid w:val="00DB4B51"/>
    <w:rsid w:val="00DB4BB2"/>
    <w:rsid w:val="00DB59DE"/>
    <w:rsid w:val="00DB5BBA"/>
    <w:rsid w:val="00DB6313"/>
    <w:rsid w:val="00DB6C22"/>
    <w:rsid w:val="00DC10A9"/>
    <w:rsid w:val="00DC184A"/>
    <w:rsid w:val="00DC1C64"/>
    <w:rsid w:val="00DC1DB1"/>
    <w:rsid w:val="00DC1F05"/>
    <w:rsid w:val="00DC3689"/>
    <w:rsid w:val="00DC3878"/>
    <w:rsid w:val="00DC3D49"/>
    <w:rsid w:val="00DC445E"/>
    <w:rsid w:val="00DC4B8F"/>
    <w:rsid w:val="00DC5A2D"/>
    <w:rsid w:val="00DC5E1C"/>
    <w:rsid w:val="00DC6412"/>
    <w:rsid w:val="00DC6668"/>
    <w:rsid w:val="00DC78A6"/>
    <w:rsid w:val="00DC7A10"/>
    <w:rsid w:val="00DC7E2D"/>
    <w:rsid w:val="00DD0926"/>
    <w:rsid w:val="00DD0CC0"/>
    <w:rsid w:val="00DD0E13"/>
    <w:rsid w:val="00DD1044"/>
    <w:rsid w:val="00DD15FB"/>
    <w:rsid w:val="00DD1E27"/>
    <w:rsid w:val="00DD20D6"/>
    <w:rsid w:val="00DD39CE"/>
    <w:rsid w:val="00DD3A06"/>
    <w:rsid w:val="00DD3C43"/>
    <w:rsid w:val="00DD3EB5"/>
    <w:rsid w:val="00DD3F09"/>
    <w:rsid w:val="00DD564A"/>
    <w:rsid w:val="00DD57A1"/>
    <w:rsid w:val="00DD5809"/>
    <w:rsid w:val="00DD6091"/>
    <w:rsid w:val="00DD6097"/>
    <w:rsid w:val="00DD63BF"/>
    <w:rsid w:val="00DD704E"/>
    <w:rsid w:val="00DD7154"/>
    <w:rsid w:val="00DD7ABB"/>
    <w:rsid w:val="00DD7E10"/>
    <w:rsid w:val="00DE000E"/>
    <w:rsid w:val="00DE06C9"/>
    <w:rsid w:val="00DE0AFF"/>
    <w:rsid w:val="00DE2BA1"/>
    <w:rsid w:val="00DE2F35"/>
    <w:rsid w:val="00DE3C0C"/>
    <w:rsid w:val="00DE4A9A"/>
    <w:rsid w:val="00DE4FAB"/>
    <w:rsid w:val="00DE4FD8"/>
    <w:rsid w:val="00DE5A6F"/>
    <w:rsid w:val="00DE694B"/>
    <w:rsid w:val="00DE7106"/>
    <w:rsid w:val="00DE7FD0"/>
    <w:rsid w:val="00DF00D8"/>
    <w:rsid w:val="00DF0A02"/>
    <w:rsid w:val="00DF16D6"/>
    <w:rsid w:val="00DF1F28"/>
    <w:rsid w:val="00DF201B"/>
    <w:rsid w:val="00DF20B7"/>
    <w:rsid w:val="00DF265D"/>
    <w:rsid w:val="00DF2BCB"/>
    <w:rsid w:val="00DF3544"/>
    <w:rsid w:val="00DF35AA"/>
    <w:rsid w:val="00DF38E1"/>
    <w:rsid w:val="00DF4E4F"/>
    <w:rsid w:val="00DF565E"/>
    <w:rsid w:val="00DF568E"/>
    <w:rsid w:val="00DF5B71"/>
    <w:rsid w:val="00DF67E1"/>
    <w:rsid w:val="00DF6A32"/>
    <w:rsid w:val="00DF7555"/>
    <w:rsid w:val="00DF7DE8"/>
    <w:rsid w:val="00E017B7"/>
    <w:rsid w:val="00E01E72"/>
    <w:rsid w:val="00E0278B"/>
    <w:rsid w:val="00E02A52"/>
    <w:rsid w:val="00E02C1E"/>
    <w:rsid w:val="00E02DC3"/>
    <w:rsid w:val="00E02F57"/>
    <w:rsid w:val="00E03D65"/>
    <w:rsid w:val="00E0502B"/>
    <w:rsid w:val="00E059D1"/>
    <w:rsid w:val="00E060CC"/>
    <w:rsid w:val="00E060F5"/>
    <w:rsid w:val="00E0611F"/>
    <w:rsid w:val="00E066AE"/>
    <w:rsid w:val="00E06875"/>
    <w:rsid w:val="00E0697C"/>
    <w:rsid w:val="00E06EEF"/>
    <w:rsid w:val="00E071F0"/>
    <w:rsid w:val="00E10205"/>
    <w:rsid w:val="00E110BA"/>
    <w:rsid w:val="00E110CE"/>
    <w:rsid w:val="00E1140F"/>
    <w:rsid w:val="00E11908"/>
    <w:rsid w:val="00E11EB4"/>
    <w:rsid w:val="00E134DF"/>
    <w:rsid w:val="00E13A66"/>
    <w:rsid w:val="00E147F3"/>
    <w:rsid w:val="00E147F9"/>
    <w:rsid w:val="00E14E0D"/>
    <w:rsid w:val="00E151AE"/>
    <w:rsid w:val="00E15831"/>
    <w:rsid w:val="00E15AF4"/>
    <w:rsid w:val="00E15BAA"/>
    <w:rsid w:val="00E17378"/>
    <w:rsid w:val="00E17E13"/>
    <w:rsid w:val="00E2079C"/>
    <w:rsid w:val="00E209BE"/>
    <w:rsid w:val="00E20A4E"/>
    <w:rsid w:val="00E212DA"/>
    <w:rsid w:val="00E2169B"/>
    <w:rsid w:val="00E216DC"/>
    <w:rsid w:val="00E21978"/>
    <w:rsid w:val="00E2262F"/>
    <w:rsid w:val="00E22900"/>
    <w:rsid w:val="00E23341"/>
    <w:rsid w:val="00E23EA4"/>
    <w:rsid w:val="00E25659"/>
    <w:rsid w:val="00E25700"/>
    <w:rsid w:val="00E25D20"/>
    <w:rsid w:val="00E26CEA"/>
    <w:rsid w:val="00E26DC8"/>
    <w:rsid w:val="00E26E1E"/>
    <w:rsid w:val="00E27339"/>
    <w:rsid w:val="00E30E5C"/>
    <w:rsid w:val="00E31362"/>
    <w:rsid w:val="00E31607"/>
    <w:rsid w:val="00E317AD"/>
    <w:rsid w:val="00E318C7"/>
    <w:rsid w:val="00E318E1"/>
    <w:rsid w:val="00E322E0"/>
    <w:rsid w:val="00E331C8"/>
    <w:rsid w:val="00E33A44"/>
    <w:rsid w:val="00E33E42"/>
    <w:rsid w:val="00E34E7C"/>
    <w:rsid w:val="00E35AFD"/>
    <w:rsid w:val="00E35D8D"/>
    <w:rsid w:val="00E367EA"/>
    <w:rsid w:val="00E36A79"/>
    <w:rsid w:val="00E36AE4"/>
    <w:rsid w:val="00E36C97"/>
    <w:rsid w:val="00E372A8"/>
    <w:rsid w:val="00E379BC"/>
    <w:rsid w:val="00E37D43"/>
    <w:rsid w:val="00E37E19"/>
    <w:rsid w:val="00E41211"/>
    <w:rsid w:val="00E41AC7"/>
    <w:rsid w:val="00E41C1E"/>
    <w:rsid w:val="00E42B5C"/>
    <w:rsid w:val="00E436B7"/>
    <w:rsid w:val="00E4370F"/>
    <w:rsid w:val="00E438AA"/>
    <w:rsid w:val="00E45913"/>
    <w:rsid w:val="00E45B1B"/>
    <w:rsid w:val="00E45DC2"/>
    <w:rsid w:val="00E4664F"/>
    <w:rsid w:val="00E468BA"/>
    <w:rsid w:val="00E46C80"/>
    <w:rsid w:val="00E46CE8"/>
    <w:rsid w:val="00E46F9C"/>
    <w:rsid w:val="00E4720E"/>
    <w:rsid w:val="00E47A18"/>
    <w:rsid w:val="00E47E01"/>
    <w:rsid w:val="00E50CD3"/>
    <w:rsid w:val="00E51A57"/>
    <w:rsid w:val="00E51ADA"/>
    <w:rsid w:val="00E51DDE"/>
    <w:rsid w:val="00E52830"/>
    <w:rsid w:val="00E533E4"/>
    <w:rsid w:val="00E53741"/>
    <w:rsid w:val="00E54075"/>
    <w:rsid w:val="00E55C96"/>
    <w:rsid w:val="00E55D48"/>
    <w:rsid w:val="00E5602A"/>
    <w:rsid w:val="00E5610B"/>
    <w:rsid w:val="00E562B0"/>
    <w:rsid w:val="00E566DE"/>
    <w:rsid w:val="00E56F80"/>
    <w:rsid w:val="00E57674"/>
    <w:rsid w:val="00E6121C"/>
    <w:rsid w:val="00E61BFA"/>
    <w:rsid w:val="00E61DB3"/>
    <w:rsid w:val="00E61E69"/>
    <w:rsid w:val="00E6260F"/>
    <w:rsid w:val="00E62DA4"/>
    <w:rsid w:val="00E6320D"/>
    <w:rsid w:val="00E63646"/>
    <w:rsid w:val="00E636E7"/>
    <w:rsid w:val="00E6374F"/>
    <w:rsid w:val="00E637EA"/>
    <w:rsid w:val="00E63EA1"/>
    <w:rsid w:val="00E66136"/>
    <w:rsid w:val="00E66690"/>
    <w:rsid w:val="00E66870"/>
    <w:rsid w:val="00E66DC5"/>
    <w:rsid w:val="00E6732A"/>
    <w:rsid w:val="00E67CD4"/>
    <w:rsid w:val="00E67D1E"/>
    <w:rsid w:val="00E705E4"/>
    <w:rsid w:val="00E711A3"/>
    <w:rsid w:val="00E71987"/>
    <w:rsid w:val="00E7201A"/>
    <w:rsid w:val="00E724CB"/>
    <w:rsid w:val="00E728D2"/>
    <w:rsid w:val="00E72B51"/>
    <w:rsid w:val="00E73901"/>
    <w:rsid w:val="00E74689"/>
    <w:rsid w:val="00E7535B"/>
    <w:rsid w:val="00E76149"/>
    <w:rsid w:val="00E773FD"/>
    <w:rsid w:val="00E8037E"/>
    <w:rsid w:val="00E807C9"/>
    <w:rsid w:val="00E8174B"/>
    <w:rsid w:val="00E81BDA"/>
    <w:rsid w:val="00E81F52"/>
    <w:rsid w:val="00E82835"/>
    <w:rsid w:val="00E82B40"/>
    <w:rsid w:val="00E82BFA"/>
    <w:rsid w:val="00E82F6D"/>
    <w:rsid w:val="00E830D1"/>
    <w:rsid w:val="00E84186"/>
    <w:rsid w:val="00E84C10"/>
    <w:rsid w:val="00E8535D"/>
    <w:rsid w:val="00E855CF"/>
    <w:rsid w:val="00E8694F"/>
    <w:rsid w:val="00E87605"/>
    <w:rsid w:val="00E87CAF"/>
    <w:rsid w:val="00E87DF0"/>
    <w:rsid w:val="00E90212"/>
    <w:rsid w:val="00E9092E"/>
    <w:rsid w:val="00E90DB1"/>
    <w:rsid w:val="00E914EB"/>
    <w:rsid w:val="00E92296"/>
    <w:rsid w:val="00E92608"/>
    <w:rsid w:val="00E92738"/>
    <w:rsid w:val="00E92C28"/>
    <w:rsid w:val="00E93439"/>
    <w:rsid w:val="00E9390B"/>
    <w:rsid w:val="00E93CC5"/>
    <w:rsid w:val="00E93CEC"/>
    <w:rsid w:val="00E9417C"/>
    <w:rsid w:val="00E94E78"/>
    <w:rsid w:val="00E95DB4"/>
    <w:rsid w:val="00E97080"/>
    <w:rsid w:val="00E97097"/>
    <w:rsid w:val="00E97807"/>
    <w:rsid w:val="00E97CB8"/>
    <w:rsid w:val="00EA0410"/>
    <w:rsid w:val="00EA1FF4"/>
    <w:rsid w:val="00EA2491"/>
    <w:rsid w:val="00EA26BA"/>
    <w:rsid w:val="00EA2A52"/>
    <w:rsid w:val="00EA2D0C"/>
    <w:rsid w:val="00EA2EA5"/>
    <w:rsid w:val="00EA3247"/>
    <w:rsid w:val="00EA3BC9"/>
    <w:rsid w:val="00EA49A9"/>
    <w:rsid w:val="00EA4DEA"/>
    <w:rsid w:val="00EA5506"/>
    <w:rsid w:val="00EA5853"/>
    <w:rsid w:val="00EA59E5"/>
    <w:rsid w:val="00EA5B6C"/>
    <w:rsid w:val="00EA5D06"/>
    <w:rsid w:val="00EA6582"/>
    <w:rsid w:val="00EA6C18"/>
    <w:rsid w:val="00EB00D8"/>
    <w:rsid w:val="00EB01B0"/>
    <w:rsid w:val="00EB01B2"/>
    <w:rsid w:val="00EB0F84"/>
    <w:rsid w:val="00EB1435"/>
    <w:rsid w:val="00EB1C36"/>
    <w:rsid w:val="00EB24DE"/>
    <w:rsid w:val="00EB2D46"/>
    <w:rsid w:val="00EB2D4E"/>
    <w:rsid w:val="00EB470D"/>
    <w:rsid w:val="00EB4F85"/>
    <w:rsid w:val="00EB58D9"/>
    <w:rsid w:val="00EB6ECC"/>
    <w:rsid w:val="00EB7604"/>
    <w:rsid w:val="00EC0581"/>
    <w:rsid w:val="00EC0B94"/>
    <w:rsid w:val="00EC0BFB"/>
    <w:rsid w:val="00EC2105"/>
    <w:rsid w:val="00EC2980"/>
    <w:rsid w:val="00EC4B1B"/>
    <w:rsid w:val="00EC54C3"/>
    <w:rsid w:val="00EC5E3C"/>
    <w:rsid w:val="00EC5FA6"/>
    <w:rsid w:val="00EC605B"/>
    <w:rsid w:val="00EC6765"/>
    <w:rsid w:val="00EC6B7C"/>
    <w:rsid w:val="00EC6CF2"/>
    <w:rsid w:val="00EC78C7"/>
    <w:rsid w:val="00EC79F5"/>
    <w:rsid w:val="00EC7D86"/>
    <w:rsid w:val="00ED0784"/>
    <w:rsid w:val="00ED084A"/>
    <w:rsid w:val="00ED1BF4"/>
    <w:rsid w:val="00ED2886"/>
    <w:rsid w:val="00ED36C8"/>
    <w:rsid w:val="00ED372C"/>
    <w:rsid w:val="00ED4B3B"/>
    <w:rsid w:val="00ED535A"/>
    <w:rsid w:val="00ED55D3"/>
    <w:rsid w:val="00ED58B4"/>
    <w:rsid w:val="00ED58BB"/>
    <w:rsid w:val="00ED61D2"/>
    <w:rsid w:val="00ED71F9"/>
    <w:rsid w:val="00ED7992"/>
    <w:rsid w:val="00ED7F37"/>
    <w:rsid w:val="00EE0287"/>
    <w:rsid w:val="00EE0A26"/>
    <w:rsid w:val="00EE25E9"/>
    <w:rsid w:val="00EE2CCA"/>
    <w:rsid w:val="00EE2DCA"/>
    <w:rsid w:val="00EE318B"/>
    <w:rsid w:val="00EE3A93"/>
    <w:rsid w:val="00EE42E9"/>
    <w:rsid w:val="00EE450A"/>
    <w:rsid w:val="00EE4DB7"/>
    <w:rsid w:val="00EE4E8F"/>
    <w:rsid w:val="00EE4FEA"/>
    <w:rsid w:val="00EE67D3"/>
    <w:rsid w:val="00EE6A94"/>
    <w:rsid w:val="00EE6DF6"/>
    <w:rsid w:val="00EE7D82"/>
    <w:rsid w:val="00EF1BD8"/>
    <w:rsid w:val="00EF2BCC"/>
    <w:rsid w:val="00EF30FF"/>
    <w:rsid w:val="00EF41D5"/>
    <w:rsid w:val="00EF4A81"/>
    <w:rsid w:val="00EF527A"/>
    <w:rsid w:val="00EF5A22"/>
    <w:rsid w:val="00EF5E0B"/>
    <w:rsid w:val="00EF639F"/>
    <w:rsid w:val="00EF6551"/>
    <w:rsid w:val="00EF66CB"/>
    <w:rsid w:val="00EF66FB"/>
    <w:rsid w:val="00EF794B"/>
    <w:rsid w:val="00F00031"/>
    <w:rsid w:val="00F00101"/>
    <w:rsid w:val="00F00104"/>
    <w:rsid w:val="00F013E6"/>
    <w:rsid w:val="00F02E49"/>
    <w:rsid w:val="00F0331A"/>
    <w:rsid w:val="00F04132"/>
    <w:rsid w:val="00F0567C"/>
    <w:rsid w:val="00F057E2"/>
    <w:rsid w:val="00F05C2D"/>
    <w:rsid w:val="00F068DB"/>
    <w:rsid w:val="00F07156"/>
    <w:rsid w:val="00F076F6"/>
    <w:rsid w:val="00F07A87"/>
    <w:rsid w:val="00F10FBB"/>
    <w:rsid w:val="00F11C97"/>
    <w:rsid w:val="00F12C24"/>
    <w:rsid w:val="00F13AA4"/>
    <w:rsid w:val="00F1433F"/>
    <w:rsid w:val="00F14BBD"/>
    <w:rsid w:val="00F16FA8"/>
    <w:rsid w:val="00F172BB"/>
    <w:rsid w:val="00F20777"/>
    <w:rsid w:val="00F21291"/>
    <w:rsid w:val="00F2158E"/>
    <w:rsid w:val="00F216B2"/>
    <w:rsid w:val="00F219F1"/>
    <w:rsid w:val="00F21D45"/>
    <w:rsid w:val="00F21D85"/>
    <w:rsid w:val="00F245E5"/>
    <w:rsid w:val="00F24E28"/>
    <w:rsid w:val="00F24F6E"/>
    <w:rsid w:val="00F2574C"/>
    <w:rsid w:val="00F259C0"/>
    <w:rsid w:val="00F259F9"/>
    <w:rsid w:val="00F2656F"/>
    <w:rsid w:val="00F2669A"/>
    <w:rsid w:val="00F26B4A"/>
    <w:rsid w:val="00F26C20"/>
    <w:rsid w:val="00F278AF"/>
    <w:rsid w:val="00F27EFE"/>
    <w:rsid w:val="00F30EF3"/>
    <w:rsid w:val="00F314E2"/>
    <w:rsid w:val="00F315F5"/>
    <w:rsid w:val="00F32131"/>
    <w:rsid w:val="00F32827"/>
    <w:rsid w:val="00F32915"/>
    <w:rsid w:val="00F33023"/>
    <w:rsid w:val="00F3382B"/>
    <w:rsid w:val="00F34880"/>
    <w:rsid w:val="00F34A92"/>
    <w:rsid w:val="00F34CB2"/>
    <w:rsid w:val="00F34D16"/>
    <w:rsid w:val="00F3501A"/>
    <w:rsid w:val="00F35ADF"/>
    <w:rsid w:val="00F35EC4"/>
    <w:rsid w:val="00F3618F"/>
    <w:rsid w:val="00F37FDF"/>
    <w:rsid w:val="00F4016A"/>
    <w:rsid w:val="00F408CD"/>
    <w:rsid w:val="00F40C98"/>
    <w:rsid w:val="00F40DE6"/>
    <w:rsid w:val="00F41C06"/>
    <w:rsid w:val="00F4221C"/>
    <w:rsid w:val="00F43480"/>
    <w:rsid w:val="00F44599"/>
    <w:rsid w:val="00F45EEA"/>
    <w:rsid w:val="00F46E7F"/>
    <w:rsid w:val="00F502BF"/>
    <w:rsid w:val="00F50583"/>
    <w:rsid w:val="00F508C7"/>
    <w:rsid w:val="00F50BC1"/>
    <w:rsid w:val="00F50DD8"/>
    <w:rsid w:val="00F51062"/>
    <w:rsid w:val="00F5278A"/>
    <w:rsid w:val="00F52BBF"/>
    <w:rsid w:val="00F5340A"/>
    <w:rsid w:val="00F53998"/>
    <w:rsid w:val="00F53EF2"/>
    <w:rsid w:val="00F54436"/>
    <w:rsid w:val="00F547F2"/>
    <w:rsid w:val="00F548A3"/>
    <w:rsid w:val="00F54F1D"/>
    <w:rsid w:val="00F55430"/>
    <w:rsid w:val="00F55B09"/>
    <w:rsid w:val="00F55EFB"/>
    <w:rsid w:val="00F56614"/>
    <w:rsid w:val="00F56ABC"/>
    <w:rsid w:val="00F57040"/>
    <w:rsid w:val="00F57984"/>
    <w:rsid w:val="00F6157A"/>
    <w:rsid w:val="00F619ED"/>
    <w:rsid w:val="00F623E1"/>
    <w:rsid w:val="00F6319A"/>
    <w:rsid w:val="00F637C2"/>
    <w:rsid w:val="00F63D51"/>
    <w:rsid w:val="00F64D8E"/>
    <w:rsid w:val="00F65173"/>
    <w:rsid w:val="00F6569E"/>
    <w:rsid w:val="00F659B0"/>
    <w:rsid w:val="00F65A91"/>
    <w:rsid w:val="00F65ACB"/>
    <w:rsid w:val="00F65F08"/>
    <w:rsid w:val="00F6681D"/>
    <w:rsid w:val="00F66826"/>
    <w:rsid w:val="00F66FB3"/>
    <w:rsid w:val="00F67E50"/>
    <w:rsid w:val="00F7070E"/>
    <w:rsid w:val="00F715EC"/>
    <w:rsid w:val="00F71940"/>
    <w:rsid w:val="00F71F78"/>
    <w:rsid w:val="00F72DCB"/>
    <w:rsid w:val="00F735EA"/>
    <w:rsid w:val="00F73F50"/>
    <w:rsid w:val="00F7418C"/>
    <w:rsid w:val="00F754EF"/>
    <w:rsid w:val="00F75C87"/>
    <w:rsid w:val="00F76D74"/>
    <w:rsid w:val="00F777A1"/>
    <w:rsid w:val="00F77CC9"/>
    <w:rsid w:val="00F77EC7"/>
    <w:rsid w:val="00F8006E"/>
    <w:rsid w:val="00F80544"/>
    <w:rsid w:val="00F80A74"/>
    <w:rsid w:val="00F80CBC"/>
    <w:rsid w:val="00F817D6"/>
    <w:rsid w:val="00F81A1F"/>
    <w:rsid w:val="00F8232D"/>
    <w:rsid w:val="00F82485"/>
    <w:rsid w:val="00F828E6"/>
    <w:rsid w:val="00F837A7"/>
    <w:rsid w:val="00F83A4E"/>
    <w:rsid w:val="00F83CF1"/>
    <w:rsid w:val="00F848FC"/>
    <w:rsid w:val="00F85B34"/>
    <w:rsid w:val="00F86C90"/>
    <w:rsid w:val="00F8781D"/>
    <w:rsid w:val="00F87C1D"/>
    <w:rsid w:val="00F907A8"/>
    <w:rsid w:val="00F90871"/>
    <w:rsid w:val="00F91413"/>
    <w:rsid w:val="00F925B5"/>
    <w:rsid w:val="00F92983"/>
    <w:rsid w:val="00F94EAD"/>
    <w:rsid w:val="00F94F8F"/>
    <w:rsid w:val="00F95374"/>
    <w:rsid w:val="00F95562"/>
    <w:rsid w:val="00F95628"/>
    <w:rsid w:val="00F95B14"/>
    <w:rsid w:val="00F95F16"/>
    <w:rsid w:val="00F963F3"/>
    <w:rsid w:val="00F97A2F"/>
    <w:rsid w:val="00F97CF6"/>
    <w:rsid w:val="00F97E74"/>
    <w:rsid w:val="00FA009C"/>
    <w:rsid w:val="00FA00C4"/>
    <w:rsid w:val="00FA0554"/>
    <w:rsid w:val="00FA12FF"/>
    <w:rsid w:val="00FA2E11"/>
    <w:rsid w:val="00FA3593"/>
    <w:rsid w:val="00FA40F6"/>
    <w:rsid w:val="00FA4242"/>
    <w:rsid w:val="00FA4AF5"/>
    <w:rsid w:val="00FA4E8B"/>
    <w:rsid w:val="00FA502F"/>
    <w:rsid w:val="00FA597F"/>
    <w:rsid w:val="00FA5BCB"/>
    <w:rsid w:val="00FA5E0C"/>
    <w:rsid w:val="00FA6694"/>
    <w:rsid w:val="00FA78C2"/>
    <w:rsid w:val="00FB0296"/>
    <w:rsid w:val="00FB122F"/>
    <w:rsid w:val="00FB18B4"/>
    <w:rsid w:val="00FB19D7"/>
    <w:rsid w:val="00FB256F"/>
    <w:rsid w:val="00FB2723"/>
    <w:rsid w:val="00FB35C3"/>
    <w:rsid w:val="00FB3E35"/>
    <w:rsid w:val="00FB418C"/>
    <w:rsid w:val="00FB521C"/>
    <w:rsid w:val="00FB5706"/>
    <w:rsid w:val="00FB57C2"/>
    <w:rsid w:val="00FB684C"/>
    <w:rsid w:val="00FB6D61"/>
    <w:rsid w:val="00FB76B5"/>
    <w:rsid w:val="00FB7765"/>
    <w:rsid w:val="00FB786F"/>
    <w:rsid w:val="00FB7C2E"/>
    <w:rsid w:val="00FC0491"/>
    <w:rsid w:val="00FC0652"/>
    <w:rsid w:val="00FC16EE"/>
    <w:rsid w:val="00FC1847"/>
    <w:rsid w:val="00FC269F"/>
    <w:rsid w:val="00FC2CB1"/>
    <w:rsid w:val="00FC2D32"/>
    <w:rsid w:val="00FC3156"/>
    <w:rsid w:val="00FC3346"/>
    <w:rsid w:val="00FC4053"/>
    <w:rsid w:val="00FC47F5"/>
    <w:rsid w:val="00FC4844"/>
    <w:rsid w:val="00FC4AF6"/>
    <w:rsid w:val="00FC5FD4"/>
    <w:rsid w:val="00FC647D"/>
    <w:rsid w:val="00FC6B8B"/>
    <w:rsid w:val="00FC6FE4"/>
    <w:rsid w:val="00FD0540"/>
    <w:rsid w:val="00FD0549"/>
    <w:rsid w:val="00FD0A76"/>
    <w:rsid w:val="00FD16BC"/>
    <w:rsid w:val="00FD170D"/>
    <w:rsid w:val="00FD173F"/>
    <w:rsid w:val="00FD2165"/>
    <w:rsid w:val="00FD2503"/>
    <w:rsid w:val="00FD2B04"/>
    <w:rsid w:val="00FD3761"/>
    <w:rsid w:val="00FD4337"/>
    <w:rsid w:val="00FD4378"/>
    <w:rsid w:val="00FD5565"/>
    <w:rsid w:val="00FD603F"/>
    <w:rsid w:val="00FD6EAD"/>
    <w:rsid w:val="00FD6ECC"/>
    <w:rsid w:val="00FD6FCE"/>
    <w:rsid w:val="00FD7D32"/>
    <w:rsid w:val="00FE0DDF"/>
    <w:rsid w:val="00FE0E87"/>
    <w:rsid w:val="00FE14F4"/>
    <w:rsid w:val="00FE15D6"/>
    <w:rsid w:val="00FE1AFE"/>
    <w:rsid w:val="00FE1F62"/>
    <w:rsid w:val="00FE207A"/>
    <w:rsid w:val="00FE2726"/>
    <w:rsid w:val="00FE32FB"/>
    <w:rsid w:val="00FE3AFC"/>
    <w:rsid w:val="00FE3D64"/>
    <w:rsid w:val="00FE4559"/>
    <w:rsid w:val="00FE462A"/>
    <w:rsid w:val="00FE4FAD"/>
    <w:rsid w:val="00FE5292"/>
    <w:rsid w:val="00FE53BD"/>
    <w:rsid w:val="00FE58C7"/>
    <w:rsid w:val="00FE5F9B"/>
    <w:rsid w:val="00FE685E"/>
    <w:rsid w:val="00FF05FA"/>
    <w:rsid w:val="00FF1124"/>
    <w:rsid w:val="00FF307C"/>
    <w:rsid w:val="00FF3760"/>
    <w:rsid w:val="00FF382D"/>
    <w:rsid w:val="00FF3C53"/>
    <w:rsid w:val="00FF472A"/>
    <w:rsid w:val="00FF4BBD"/>
    <w:rsid w:val="00FF4C28"/>
    <w:rsid w:val="00FF4F9A"/>
    <w:rsid w:val="00FF5766"/>
    <w:rsid w:val="00FF58BE"/>
    <w:rsid w:val="00FF5AAC"/>
    <w:rsid w:val="00FF5E2C"/>
    <w:rsid w:val="00FF69C5"/>
    <w:rsid w:val="00FF75F6"/>
    <w:rsid w:val="02985DC6"/>
    <w:rsid w:val="02C72207"/>
    <w:rsid w:val="03A10CAA"/>
    <w:rsid w:val="03A75932"/>
    <w:rsid w:val="07760225"/>
    <w:rsid w:val="088C1F29"/>
    <w:rsid w:val="08A454C4"/>
    <w:rsid w:val="0B164D6D"/>
    <w:rsid w:val="0BDB43C8"/>
    <w:rsid w:val="0BFC6565"/>
    <w:rsid w:val="0C175FAD"/>
    <w:rsid w:val="0C7A3C50"/>
    <w:rsid w:val="0CC90DD1"/>
    <w:rsid w:val="0E85607D"/>
    <w:rsid w:val="0F205179"/>
    <w:rsid w:val="101644FC"/>
    <w:rsid w:val="109638F9"/>
    <w:rsid w:val="10FB7C4C"/>
    <w:rsid w:val="121D3BF2"/>
    <w:rsid w:val="13B16CE7"/>
    <w:rsid w:val="14005579"/>
    <w:rsid w:val="15003A82"/>
    <w:rsid w:val="17AD0F4C"/>
    <w:rsid w:val="194D7945"/>
    <w:rsid w:val="1997072D"/>
    <w:rsid w:val="19F47CA9"/>
    <w:rsid w:val="19F52A4A"/>
    <w:rsid w:val="1A242253"/>
    <w:rsid w:val="1AB1581F"/>
    <w:rsid w:val="1BA01B1B"/>
    <w:rsid w:val="1BAA0BEC"/>
    <w:rsid w:val="1C297D63"/>
    <w:rsid w:val="1D4B3D09"/>
    <w:rsid w:val="1EB207BD"/>
    <w:rsid w:val="1FB1309C"/>
    <w:rsid w:val="1FF97A4C"/>
    <w:rsid w:val="204613CB"/>
    <w:rsid w:val="20C136FC"/>
    <w:rsid w:val="21185EB4"/>
    <w:rsid w:val="218477E9"/>
    <w:rsid w:val="21E27DC5"/>
    <w:rsid w:val="227527BA"/>
    <w:rsid w:val="233174FD"/>
    <w:rsid w:val="2411380F"/>
    <w:rsid w:val="25F94AAD"/>
    <w:rsid w:val="2604714B"/>
    <w:rsid w:val="27361586"/>
    <w:rsid w:val="27C059E8"/>
    <w:rsid w:val="28A80261"/>
    <w:rsid w:val="2C842574"/>
    <w:rsid w:val="2CB1777C"/>
    <w:rsid w:val="2E460719"/>
    <w:rsid w:val="308275EA"/>
    <w:rsid w:val="320C2E34"/>
    <w:rsid w:val="325645A9"/>
    <w:rsid w:val="32735F16"/>
    <w:rsid w:val="3343165F"/>
    <w:rsid w:val="33A65CE5"/>
    <w:rsid w:val="352929B7"/>
    <w:rsid w:val="357D65D2"/>
    <w:rsid w:val="363515F2"/>
    <w:rsid w:val="37226DE3"/>
    <w:rsid w:val="375C0B95"/>
    <w:rsid w:val="379540A7"/>
    <w:rsid w:val="38E2156D"/>
    <w:rsid w:val="3A1F40FB"/>
    <w:rsid w:val="3AC76C6D"/>
    <w:rsid w:val="3CAA05F4"/>
    <w:rsid w:val="3E2E7003"/>
    <w:rsid w:val="3F130281"/>
    <w:rsid w:val="4066074B"/>
    <w:rsid w:val="41780AFC"/>
    <w:rsid w:val="4230334A"/>
    <w:rsid w:val="42800301"/>
    <w:rsid w:val="43037320"/>
    <w:rsid w:val="452756F8"/>
    <w:rsid w:val="45E73032"/>
    <w:rsid w:val="468A0B4E"/>
    <w:rsid w:val="46933EA7"/>
    <w:rsid w:val="46C56AA7"/>
    <w:rsid w:val="49991F0E"/>
    <w:rsid w:val="4A0838D4"/>
    <w:rsid w:val="4BCE3EBD"/>
    <w:rsid w:val="4C507F75"/>
    <w:rsid w:val="4C7F222F"/>
    <w:rsid w:val="4DCA79ED"/>
    <w:rsid w:val="4F014BA7"/>
    <w:rsid w:val="4F1B40D5"/>
    <w:rsid w:val="515E00B9"/>
    <w:rsid w:val="531D6664"/>
    <w:rsid w:val="53A93B49"/>
    <w:rsid w:val="54153EF4"/>
    <w:rsid w:val="55296616"/>
    <w:rsid w:val="55B00A04"/>
    <w:rsid w:val="55E95892"/>
    <w:rsid w:val="56AB0D99"/>
    <w:rsid w:val="5805272B"/>
    <w:rsid w:val="58136BF6"/>
    <w:rsid w:val="590A786C"/>
    <w:rsid w:val="591118D5"/>
    <w:rsid w:val="59D543B3"/>
    <w:rsid w:val="5A2B013A"/>
    <w:rsid w:val="5C0D7E00"/>
    <w:rsid w:val="5CD74EDA"/>
    <w:rsid w:val="5DD76917"/>
    <w:rsid w:val="5E385608"/>
    <w:rsid w:val="5E6957C1"/>
    <w:rsid w:val="5E900C5B"/>
    <w:rsid w:val="5EEC01A1"/>
    <w:rsid w:val="5FDA449D"/>
    <w:rsid w:val="60D77935"/>
    <w:rsid w:val="62CE169E"/>
    <w:rsid w:val="62D839C7"/>
    <w:rsid w:val="63043D0B"/>
    <w:rsid w:val="63BA6F35"/>
    <w:rsid w:val="64282349"/>
    <w:rsid w:val="64967D96"/>
    <w:rsid w:val="64E51F36"/>
    <w:rsid w:val="656B0071"/>
    <w:rsid w:val="66312EF1"/>
    <w:rsid w:val="666E73D0"/>
    <w:rsid w:val="67B7628A"/>
    <w:rsid w:val="6CB71DEE"/>
    <w:rsid w:val="700C41FF"/>
    <w:rsid w:val="70253512"/>
    <w:rsid w:val="70404295"/>
    <w:rsid w:val="70871AD7"/>
    <w:rsid w:val="7443424F"/>
    <w:rsid w:val="749843E8"/>
    <w:rsid w:val="74A71246"/>
    <w:rsid w:val="75091655"/>
    <w:rsid w:val="75130903"/>
    <w:rsid w:val="760F67F7"/>
    <w:rsid w:val="76521164"/>
    <w:rsid w:val="76F34BA9"/>
    <w:rsid w:val="773A039D"/>
    <w:rsid w:val="77EA122D"/>
    <w:rsid w:val="79907C4E"/>
    <w:rsid w:val="79A94D92"/>
    <w:rsid w:val="7AEA4C4D"/>
    <w:rsid w:val="7B043031"/>
    <w:rsid w:val="7B721153"/>
    <w:rsid w:val="7BBB4A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23"/>
    <w:qFormat/>
    <w:uiPriority w:val="0"/>
    <w:pPr>
      <w:spacing w:line="580" w:lineRule="exact"/>
      <w:outlineLvl w:val="0"/>
    </w:pPr>
    <w:rPr>
      <w:rFonts w:ascii="方正小标宋_GBK" w:hAnsi="Calibri" w:eastAsia="方正小标宋_GBK" w:cs="黑体"/>
      <w:bCs/>
      <w:kern w:val="44"/>
      <w:sz w:val="44"/>
      <w:szCs w:val="44"/>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customStyle="1" w:styleId="2">
    <w:name w:val="BodyText1I"/>
    <w:basedOn w:val="3"/>
    <w:qFormat/>
    <w:uiPriority w:val="99"/>
    <w:pPr>
      <w:tabs>
        <w:tab w:val="left" w:pos="1080"/>
      </w:tabs>
      <w:spacing w:line="312" w:lineRule="auto"/>
      <w:ind w:firstLine="420"/>
    </w:pPr>
    <w:rPr>
      <w:szCs w:val="20"/>
    </w:rPr>
  </w:style>
  <w:style w:type="paragraph" w:customStyle="1" w:styleId="3">
    <w:name w:val="BodyText"/>
    <w:basedOn w:val="1"/>
    <w:qFormat/>
    <w:uiPriority w:val="99"/>
    <w:pPr>
      <w:tabs>
        <w:tab w:val="left" w:pos="1080"/>
      </w:tabs>
      <w:textAlignment w:val="baseline"/>
    </w:pPr>
    <w:rPr>
      <w:rFonts w:ascii="宋体" w:hAnsi="MS Sans Serif"/>
      <w:color w:val="000000"/>
      <w:kern w:val="0"/>
      <w:sz w:val="24"/>
      <w:szCs w:val="21"/>
      <w:lang w:val="zh-CN"/>
    </w:rPr>
  </w:style>
  <w:style w:type="paragraph" w:styleId="5">
    <w:name w:val="index 5"/>
    <w:basedOn w:val="1"/>
    <w:next w:val="1"/>
    <w:qFormat/>
    <w:uiPriority w:val="0"/>
    <w:pPr>
      <w:ind w:left="1680"/>
    </w:pPr>
  </w:style>
  <w:style w:type="paragraph" w:styleId="6">
    <w:name w:val="Body Text"/>
    <w:basedOn w:val="1"/>
    <w:unhideWhenUsed/>
    <w:qFormat/>
    <w:uiPriority w:val="99"/>
    <w:pPr>
      <w:spacing w:after="120"/>
    </w:pPr>
  </w:style>
  <w:style w:type="paragraph" w:styleId="7">
    <w:name w:val="toc 5"/>
    <w:basedOn w:val="1"/>
    <w:next w:val="1"/>
    <w:qFormat/>
    <w:uiPriority w:val="0"/>
    <w:pPr>
      <w:spacing w:line="600" w:lineRule="exact"/>
      <w:ind w:firstLine="200" w:firstLineChars="200"/>
    </w:pPr>
    <w:rPr>
      <w:rFonts w:ascii="方正黑体_GBK" w:eastAsia="方正黑体_GBK"/>
      <w:szCs w:val="32"/>
    </w:rPr>
  </w:style>
  <w:style w:type="paragraph" w:styleId="8">
    <w:name w:val="Date"/>
    <w:basedOn w:val="1"/>
    <w:next w:val="1"/>
    <w:link w:val="24"/>
    <w:qFormat/>
    <w:uiPriority w:val="0"/>
    <w:pPr>
      <w:ind w:left="100" w:leftChars="2500"/>
    </w:pPr>
  </w:style>
  <w:style w:type="paragraph" w:styleId="9">
    <w:name w:val="Balloon Text"/>
    <w:basedOn w:val="1"/>
    <w:next w:val="1"/>
    <w:qFormat/>
    <w:uiPriority w:val="0"/>
    <w:rPr>
      <w:rFonts w:ascii="Calibri" w:hAnsi="Calibri" w:eastAsia="宋体" w:cs="Calibri"/>
      <w:sz w:val="18"/>
      <w:szCs w:val="18"/>
    </w:rPr>
  </w:style>
  <w:style w:type="paragraph" w:styleId="10">
    <w:name w:val="footer"/>
    <w:basedOn w:val="1"/>
    <w:next w:val="5"/>
    <w:link w:val="22"/>
    <w:qFormat/>
    <w:uiPriority w:val="0"/>
    <w:pPr>
      <w:tabs>
        <w:tab w:val="center" w:pos="4153"/>
        <w:tab w:val="right" w:pos="8306"/>
      </w:tabs>
      <w:snapToGrid w:val="0"/>
      <w:spacing w:line="240" w:lineRule="atLeast"/>
      <w:jc w:val="left"/>
    </w:pPr>
    <w:rPr>
      <w:sz w:val="18"/>
      <w:szCs w:val="18"/>
    </w:rPr>
  </w:style>
  <w:style w:type="paragraph" w:styleId="11">
    <w:name w:val="header"/>
    <w:basedOn w:val="1"/>
    <w:link w:val="2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2">
    <w:name w:val="toc 1"/>
    <w:basedOn w:val="1"/>
    <w:next w:val="1"/>
    <w:unhideWhenUsed/>
    <w:qFormat/>
    <w:uiPriority w:val="39"/>
    <w:pPr>
      <w:widowControl/>
      <w:tabs>
        <w:tab w:val="right" w:leader="dot" w:pos="8296"/>
      </w:tabs>
      <w:spacing w:line="520" w:lineRule="exact"/>
      <w:jc w:val="left"/>
    </w:pPr>
    <w:rPr>
      <w:rFonts w:ascii="方正楷体_GBK" w:hAnsi="Times New Roman" w:eastAsia="方正楷体_GBK" w:cs="Times New Roman"/>
      <w:b/>
      <w:bCs/>
      <w:kern w:val="0"/>
      <w:sz w:val="30"/>
      <w:szCs w:val="30"/>
    </w:rPr>
  </w:style>
  <w:style w:type="paragraph" w:styleId="13">
    <w:name w:val="toc 2"/>
    <w:basedOn w:val="1"/>
    <w:next w:val="1"/>
    <w:unhideWhenUsed/>
    <w:qFormat/>
    <w:uiPriority w:val="39"/>
    <w:pPr>
      <w:widowControl/>
      <w:spacing w:after="100" w:line="259" w:lineRule="auto"/>
      <w:ind w:left="220"/>
      <w:jc w:val="left"/>
    </w:pPr>
    <w:rPr>
      <w:rFonts w:ascii="等线" w:hAnsi="等线" w:eastAsia="方正楷体_GBK" w:cs="Times New Roman"/>
      <w:kern w:val="0"/>
      <w:sz w:val="28"/>
      <w:szCs w:val="28"/>
    </w:rPr>
  </w:style>
  <w:style w:type="paragraph" w:styleId="14">
    <w:name w:val="Body Text First Indent"/>
    <w:basedOn w:val="6"/>
    <w:qFormat/>
    <w:uiPriority w:val="0"/>
    <w:pPr>
      <w:ind w:firstLine="420" w:firstLineChars="100"/>
    </w:pPr>
    <w:rPr>
      <w:rFonts w:ascii="Times New Roman" w:hAnsi="Times New Roman"/>
    </w:rPr>
  </w:style>
  <w:style w:type="table" w:styleId="16">
    <w:name w:val="Table Grid"/>
    <w:basedOn w:val="15"/>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qFormat/>
    <w:uiPriority w:val="0"/>
    <w:rPr>
      <w:color w:val="0000FF"/>
      <w:u w:val="single"/>
    </w:rPr>
  </w:style>
  <w:style w:type="paragraph" w:customStyle="1" w:styleId="1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0">
    <w:name w:val="Body text|3"/>
    <w:basedOn w:val="1"/>
    <w:qFormat/>
    <w:uiPriority w:val="0"/>
    <w:pPr>
      <w:spacing w:line="722" w:lineRule="exact"/>
      <w:jc w:val="center"/>
    </w:pPr>
    <w:rPr>
      <w:rFonts w:ascii="宋体" w:hAnsi="宋体" w:eastAsia="宋体" w:cs="宋体"/>
      <w:sz w:val="42"/>
      <w:szCs w:val="42"/>
      <w:lang w:val="zh-TW" w:eastAsia="zh-TW" w:bidi="zh-TW"/>
    </w:rPr>
  </w:style>
  <w:style w:type="character" w:customStyle="1" w:styleId="21">
    <w:name w:val="页眉 Char"/>
    <w:basedOn w:val="17"/>
    <w:link w:val="11"/>
    <w:qFormat/>
    <w:uiPriority w:val="0"/>
    <w:rPr>
      <w:kern w:val="2"/>
      <w:sz w:val="18"/>
      <w:szCs w:val="18"/>
    </w:rPr>
  </w:style>
  <w:style w:type="character" w:customStyle="1" w:styleId="22">
    <w:name w:val="页脚 Char"/>
    <w:basedOn w:val="17"/>
    <w:link w:val="10"/>
    <w:qFormat/>
    <w:uiPriority w:val="0"/>
    <w:rPr>
      <w:kern w:val="2"/>
      <w:sz w:val="18"/>
      <w:szCs w:val="18"/>
    </w:rPr>
  </w:style>
  <w:style w:type="character" w:customStyle="1" w:styleId="23">
    <w:name w:val="标题 1 Char"/>
    <w:basedOn w:val="17"/>
    <w:link w:val="4"/>
    <w:qFormat/>
    <w:uiPriority w:val="0"/>
    <w:rPr>
      <w:rFonts w:ascii="方正小标宋_GBK" w:hAnsi="Calibri" w:eastAsia="方正小标宋_GBK" w:cs="黑体"/>
      <w:bCs/>
      <w:kern w:val="44"/>
      <w:sz w:val="44"/>
      <w:szCs w:val="44"/>
    </w:rPr>
  </w:style>
  <w:style w:type="character" w:customStyle="1" w:styleId="24">
    <w:name w:val="日期 Char"/>
    <w:basedOn w:val="17"/>
    <w:link w:val="8"/>
    <w:qFormat/>
    <w:uiPriority w:val="0"/>
    <w:rPr>
      <w:kern w:val="2"/>
      <w:sz w:val="21"/>
    </w:rPr>
  </w:style>
  <w:style w:type="paragraph" w:customStyle="1" w:styleId="25">
    <w:name w:val="Char Char Char Char Char Char Char Char Char Char Char Char Char Char Char Char Char Char Char Char Char Char Char Char Char Char Char Char Char Char Char Char Char"/>
    <w:basedOn w:val="1"/>
    <w:qFormat/>
    <w:uiPriority w:val="0"/>
    <w:pPr>
      <w:widowControl/>
      <w:adjustRightInd/>
      <w:spacing w:after="160" w:afterLines="0" w:line="240" w:lineRule="exact"/>
      <w:jc w:val="left"/>
    </w:pPr>
    <w:rPr>
      <w:rFonts w:ascii="Verdana" w:hAnsi="Verdana" w:eastAsia="仿宋_GB2312" w:cs="Verdana"/>
      <w:sz w:val="24"/>
      <w:lang w:eastAsia="en-US"/>
    </w:rPr>
  </w:style>
  <w:style w:type="paragraph" w:customStyle="1" w:styleId="2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2236</Words>
  <Characters>222</Characters>
  <Lines>1</Lines>
  <Paragraphs>4</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2021-08-30T08:33:00Z</dcterms:created>
  <dc:creator>微软用户</dc:creator>
  <cp:lastModifiedBy>樂.</cp:lastModifiedBy>
  <cp:lastPrinted>2021-12-24T06:19:00Z</cp:lastPrinted>
  <dcterms:modified xsi:type="dcterms:W3CDTF">2023-08-16T01:47:39Z</dcterms:modified>
  <dc:title>关于进一步完善乡镇机关事业单位工作人员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8423D83594E64B05858E9D38A2B0A816</vt:lpwstr>
  </property>
</Properties>
</file>