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center"/>
        <w:textAlignment w:val="auto"/>
        <w:rPr>
          <w:rFonts w:hint="eastAsia" w:ascii="方正小标宋_GBK" w:hAnsi="方正小标宋_GBK" w:eastAsia="方正小标宋_GBK" w:cs="方正小标宋_GBK"/>
          <w:kern w:val="0"/>
          <w:sz w:val="36"/>
          <w:szCs w:val="36"/>
        </w:rPr>
      </w:pPr>
      <w:r>
        <w:rPr>
          <w:rStyle w:val="19"/>
          <w:rFonts w:hint="eastAsia" w:ascii="方正小标宋_GBK" w:hAnsi="方正小标宋_GBK" w:eastAsia="方正小标宋_GBK" w:cs="方正小标宋_GBK"/>
          <w:b/>
          <w:bCs w:val="0"/>
          <w:sz w:val="36"/>
          <w:szCs w:val="36"/>
          <w:shd w:val="clear" w:fill="FFFFFF"/>
        </w:rPr>
        <w:t>重庆市万盛经济技术开发区乡村产业发展中心</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center"/>
        <w:textAlignment w:val="auto"/>
        <w:rPr>
          <w:rStyle w:val="19"/>
          <w:rFonts w:hint="eastAsia" w:ascii="方正小标宋_GBK" w:hAnsi="方正小标宋_GBK" w:eastAsia="方正小标宋_GBK" w:cs="方正小标宋_GBK"/>
          <w:b/>
          <w:bCs w:val="0"/>
          <w:sz w:val="36"/>
          <w:szCs w:val="36"/>
          <w:shd w:val="clear" w:fill="FFFFFF"/>
        </w:rPr>
      </w:pPr>
      <w:r>
        <w:rPr>
          <w:rStyle w:val="19"/>
          <w:rFonts w:hint="eastAsia" w:ascii="方正小标宋_GBK" w:hAnsi="方正小标宋_GBK" w:eastAsia="方正小标宋_GBK" w:cs="方正小标宋_GBK"/>
          <w:b/>
          <w:bCs w:val="0"/>
          <w:sz w:val="36"/>
          <w:szCs w:val="36"/>
          <w:shd w:val="clear" w:fill="FFFFFF"/>
        </w:rPr>
        <w:t>2022年度</w:t>
      </w:r>
      <w:r>
        <w:rPr>
          <w:rStyle w:val="19"/>
          <w:rFonts w:hint="eastAsia" w:ascii="方正小标宋_GBK" w:hAnsi="方正小标宋_GBK" w:eastAsia="方正小标宋_GBK" w:cs="方正小标宋_GBK"/>
          <w:b/>
          <w:bCs w:val="0"/>
          <w:sz w:val="36"/>
          <w:szCs w:val="36"/>
          <w:shd w:val="clear" w:fill="FFFFFF"/>
          <w:lang w:eastAsia="zh-CN"/>
        </w:rPr>
        <w:t>部门</w:t>
      </w:r>
      <w:r>
        <w:rPr>
          <w:rStyle w:val="19"/>
          <w:rFonts w:hint="eastAsia" w:ascii="方正小标宋_GBK" w:hAnsi="方正小标宋_GBK" w:eastAsia="方正小标宋_GBK" w:cs="方正小标宋_GBK"/>
          <w:b/>
          <w:bCs w:val="0"/>
          <w:sz w:val="36"/>
          <w:szCs w:val="36"/>
          <w:shd w:val="clear" w:fill="FFFFFF"/>
        </w:rPr>
        <w:t>决算情况说明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center"/>
        <w:textAlignment w:val="auto"/>
        <w:rPr>
          <w:rFonts w:hint="eastAsia" w:ascii="方正小标宋_GBK" w:hAnsi="方正小标宋_GBK" w:eastAsia="方正小标宋_GBK" w:cs="方正小标宋_GBK"/>
          <w:b/>
          <w:bCs w:val="0"/>
          <w:kern w:val="0"/>
          <w:sz w:val="36"/>
          <w:szCs w:val="36"/>
          <w:shd w:val="clear" w:fill="FFFFFF"/>
          <w:lang w:eastAsia="zh-CN"/>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宋体" w:hAnsi="宋体" w:eastAsia="宋体" w:cs="宋体"/>
          <w:kern w:val="0"/>
          <w:sz w:val="24"/>
          <w:szCs w:val="24"/>
          <w:shd w:val="clear" w:fill="FFFF00"/>
        </w:rPr>
      </w:pPr>
      <w:r>
        <w:rPr>
          <w:rStyle w:val="19"/>
          <w:rFonts w:hint="eastAsia" w:ascii="方正黑体_GBK" w:hAnsi="方正黑体_GBK" w:eastAsia="方正黑体_GBK" w:cs="方正黑体_GBK"/>
          <w:b/>
          <w:bCs w:val="0"/>
          <w:sz w:val="32"/>
          <w:szCs w:val="32"/>
          <w:shd w:val="clear" w:fill="FFFFFF"/>
        </w:rPr>
        <w:t>一、</w:t>
      </w:r>
      <w:r>
        <w:rPr>
          <w:rStyle w:val="19"/>
          <w:rFonts w:hint="eastAsia" w:ascii="方正黑体_GBK" w:hAnsi="方正黑体_GBK" w:eastAsia="方正黑体_GBK" w:cs="方正黑体_GBK"/>
          <w:b/>
          <w:bCs w:val="0"/>
          <w:sz w:val="32"/>
          <w:szCs w:val="32"/>
          <w:shd w:val="clear" w:fill="FFFFFF"/>
          <w:lang w:eastAsia="zh-CN"/>
        </w:rPr>
        <w:t>部门</w:t>
      </w:r>
      <w:r>
        <w:rPr>
          <w:rStyle w:val="19"/>
          <w:rFonts w:hint="eastAsia" w:ascii="方正黑体_GBK" w:hAnsi="方正黑体_GBK" w:eastAsia="方正黑体_GBK" w:cs="方正黑体_GBK"/>
          <w:b/>
          <w:bCs w:val="0"/>
          <w:sz w:val="32"/>
          <w:szCs w:val="32"/>
          <w:shd w:val="clear" w:fill="FFFFFF"/>
        </w:rPr>
        <w:t>基本情况</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kern w:val="0"/>
          <w:sz w:val="32"/>
          <w:szCs w:val="32"/>
        </w:rPr>
      </w:pPr>
      <w:r>
        <w:rPr>
          <w:rStyle w:val="19"/>
          <w:rFonts w:hint="eastAsia" w:ascii="方正楷体_GBK" w:hAnsi="方正楷体_GBK" w:eastAsia="方正楷体_GBK" w:cs="方正楷体_GBK"/>
          <w:b/>
          <w:bCs w:val="0"/>
          <w:sz w:val="32"/>
          <w:szCs w:val="32"/>
          <w:shd w:val="clear" w:fill="FFFFFF"/>
        </w:rPr>
        <w:t>（一）职能职责</w:t>
      </w:r>
    </w:p>
    <w:p>
      <w:pPr>
        <w:keepNext w:val="0"/>
        <w:keepLines w:val="0"/>
        <w:pageBreakBefore w:val="0"/>
        <w:widowControl/>
        <w:suppressLineNumbers w:val="0"/>
        <w:kinsoku/>
        <w:wordWrap/>
        <w:overflowPunct/>
        <w:topLinePunct w:val="0"/>
        <w:autoSpaceDE w:val="0"/>
        <w:autoSpaceDN/>
        <w:bidi w:val="0"/>
        <w:adjustRightInd/>
        <w:snapToGrid/>
        <w:spacing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宋体" w:hAnsi="宋体" w:eastAsia="宋体" w:cs="宋体"/>
          <w:i w:val="0"/>
          <w:iCs w:val="0"/>
          <w:caps w:val="0"/>
          <w:color w:val="333333"/>
          <w:spacing w:val="0"/>
          <w:kern w:val="2"/>
          <w:sz w:val="32"/>
          <w:szCs w:val="32"/>
        </w:rPr>
        <w:t>1</w:t>
      </w:r>
      <w:r>
        <w:rPr>
          <w:rFonts w:hint="eastAsia" w:ascii="方正仿宋_GBK" w:hAnsi="方正仿宋_GBK" w:eastAsia="方正仿宋_GBK" w:cs="方正仿宋_GBK"/>
          <w:i w:val="0"/>
          <w:iCs w:val="0"/>
          <w:caps w:val="0"/>
          <w:color w:val="333333"/>
          <w:spacing w:val="0"/>
          <w:kern w:val="2"/>
          <w:sz w:val="32"/>
          <w:szCs w:val="32"/>
        </w:rPr>
        <w:t>、组织协调乡村产业发展。起草促进乡村特色产业、休闲农业发展的政策措施。提出农业产业化经营发展的政策建议。组织协调乡村特色产业、休闲农业、乡村旅游发展和相关农业产业园区建设。</w:t>
      </w:r>
    </w:p>
    <w:p>
      <w:pPr>
        <w:keepNext w:val="0"/>
        <w:keepLines w:val="0"/>
        <w:pageBreakBefore w:val="0"/>
        <w:widowControl/>
        <w:suppressLineNumbers w:val="0"/>
        <w:kinsoku/>
        <w:wordWrap/>
        <w:overflowPunct/>
        <w:topLinePunct w:val="0"/>
        <w:autoSpaceDE w:val="0"/>
        <w:autoSpaceDN/>
        <w:bidi w:val="0"/>
        <w:adjustRightInd/>
        <w:snapToGrid/>
        <w:spacing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宋体" w:hAnsi="宋体" w:eastAsia="宋体" w:cs="宋体"/>
          <w:i w:val="0"/>
          <w:iCs w:val="0"/>
          <w:caps w:val="0"/>
          <w:color w:val="333333"/>
          <w:spacing w:val="0"/>
          <w:kern w:val="2"/>
          <w:sz w:val="32"/>
          <w:szCs w:val="32"/>
        </w:rPr>
        <w:t>2</w:t>
      </w:r>
      <w:r>
        <w:rPr>
          <w:rFonts w:hint="eastAsia" w:ascii="方正仿宋_GBK" w:hAnsi="方正仿宋_GBK" w:eastAsia="方正仿宋_GBK" w:cs="方正仿宋_GBK"/>
          <w:i w:val="0"/>
          <w:iCs w:val="0"/>
          <w:caps w:val="0"/>
          <w:color w:val="333333"/>
          <w:spacing w:val="0"/>
          <w:kern w:val="2"/>
          <w:sz w:val="32"/>
          <w:szCs w:val="32"/>
        </w:rPr>
        <w:t>、牵头实施乡村产业振兴工作。组织实施农村一二三产业融合类项目、乡村振兴示范类项目、现代农业园区综合类项目、农产品加工园区项目、农业社会化服务体系等项目建设。对现代农业园区实施的农业项目的动植物重大病虫害，进行统一规划、统一防治。</w:t>
      </w:r>
    </w:p>
    <w:p>
      <w:pPr>
        <w:keepNext w:val="0"/>
        <w:keepLines w:val="0"/>
        <w:pageBreakBefore w:val="0"/>
        <w:widowControl/>
        <w:suppressLineNumbers w:val="0"/>
        <w:kinsoku/>
        <w:wordWrap/>
        <w:overflowPunct/>
        <w:topLinePunct w:val="0"/>
        <w:autoSpaceDE w:val="0"/>
        <w:autoSpaceDN/>
        <w:bidi w:val="0"/>
        <w:adjustRightInd/>
        <w:snapToGrid/>
        <w:spacing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宋体" w:hAnsi="宋体" w:eastAsia="宋体" w:cs="宋体"/>
          <w:i w:val="0"/>
          <w:iCs w:val="0"/>
          <w:caps w:val="0"/>
          <w:color w:val="333333"/>
          <w:spacing w:val="0"/>
          <w:kern w:val="2"/>
          <w:sz w:val="32"/>
          <w:szCs w:val="32"/>
        </w:rPr>
        <w:t>3</w:t>
      </w:r>
      <w:r>
        <w:rPr>
          <w:rFonts w:hint="eastAsia" w:ascii="方正仿宋_GBK" w:hAnsi="方正仿宋_GBK" w:eastAsia="方正仿宋_GBK" w:cs="方正仿宋_GBK"/>
          <w:i w:val="0"/>
          <w:iCs w:val="0"/>
          <w:caps w:val="0"/>
          <w:color w:val="333333"/>
          <w:spacing w:val="0"/>
          <w:kern w:val="2"/>
          <w:sz w:val="32"/>
          <w:szCs w:val="32"/>
        </w:rPr>
        <w:t>、组织协调农业对外开放工作，负责农业对外经济交流与合作、招商引资。负责重大项目策划、包装、申报等工作。</w:t>
      </w:r>
    </w:p>
    <w:p>
      <w:pPr>
        <w:keepNext w:val="0"/>
        <w:keepLines w:val="0"/>
        <w:pageBreakBefore w:val="0"/>
        <w:widowControl/>
        <w:suppressLineNumbers w:val="0"/>
        <w:kinsoku/>
        <w:wordWrap/>
        <w:overflowPunct/>
        <w:topLinePunct w:val="0"/>
        <w:autoSpaceDE w:val="0"/>
        <w:autoSpaceDN/>
        <w:bidi w:val="0"/>
        <w:adjustRightInd/>
        <w:snapToGrid/>
        <w:spacing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宋体" w:hAnsi="宋体" w:eastAsia="宋体" w:cs="宋体"/>
          <w:i w:val="0"/>
          <w:iCs w:val="0"/>
          <w:caps w:val="0"/>
          <w:color w:val="333333"/>
          <w:spacing w:val="0"/>
          <w:kern w:val="2"/>
          <w:sz w:val="32"/>
          <w:szCs w:val="32"/>
        </w:rPr>
        <w:t>4</w:t>
      </w:r>
      <w:r>
        <w:rPr>
          <w:rFonts w:hint="eastAsia" w:ascii="方正仿宋_GBK" w:hAnsi="方正仿宋_GBK" w:eastAsia="方正仿宋_GBK" w:cs="方正仿宋_GBK"/>
          <w:i w:val="0"/>
          <w:iCs w:val="0"/>
          <w:caps w:val="0"/>
          <w:color w:val="333333"/>
          <w:spacing w:val="0"/>
          <w:kern w:val="2"/>
          <w:sz w:val="32"/>
          <w:szCs w:val="32"/>
        </w:rPr>
        <w:t>、开展新型职业农民培育和农村实用人才培养，主要包括承办新型职业农民培训和农村实用人才认定具体事务。</w:t>
      </w:r>
    </w:p>
    <w:p>
      <w:pPr>
        <w:keepNext w:val="0"/>
        <w:keepLines w:val="0"/>
        <w:pageBreakBefore w:val="0"/>
        <w:widowControl/>
        <w:suppressLineNumbers w:val="0"/>
        <w:kinsoku/>
        <w:wordWrap/>
        <w:overflowPunct/>
        <w:topLinePunct w:val="0"/>
        <w:autoSpaceDE w:val="0"/>
        <w:autoSpaceDN/>
        <w:bidi w:val="0"/>
        <w:adjustRightInd/>
        <w:snapToGrid/>
        <w:spacing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宋体" w:hAnsi="宋体" w:eastAsia="宋体" w:cs="宋体"/>
          <w:i w:val="0"/>
          <w:iCs w:val="0"/>
          <w:caps w:val="0"/>
          <w:color w:val="333333"/>
          <w:spacing w:val="0"/>
          <w:kern w:val="2"/>
          <w:sz w:val="32"/>
          <w:szCs w:val="32"/>
        </w:rPr>
        <w:t>5</w:t>
      </w:r>
      <w:r>
        <w:rPr>
          <w:rFonts w:hint="eastAsia" w:ascii="方正仿宋_GBK" w:hAnsi="方正仿宋_GBK" w:eastAsia="方正仿宋_GBK" w:cs="方正仿宋_GBK"/>
          <w:i w:val="0"/>
          <w:iCs w:val="0"/>
          <w:caps w:val="0"/>
          <w:color w:val="333333"/>
          <w:spacing w:val="0"/>
          <w:kern w:val="2"/>
          <w:sz w:val="32"/>
          <w:szCs w:val="32"/>
        </w:rPr>
        <w:t>、开展农民体育活动，主要包括：指导和组织农民开展群众性体育活动、农民体育竞赛、农民体育交流，培养农民体育骨干。</w:t>
      </w:r>
    </w:p>
    <w:p>
      <w:pPr>
        <w:keepNext w:val="0"/>
        <w:keepLines w:val="0"/>
        <w:pageBreakBefore w:val="0"/>
        <w:widowControl/>
        <w:suppressLineNumbers w:val="0"/>
        <w:kinsoku/>
        <w:wordWrap/>
        <w:overflowPunct/>
        <w:topLinePunct w:val="0"/>
        <w:autoSpaceDE w:val="0"/>
        <w:autoSpaceDN/>
        <w:bidi w:val="0"/>
        <w:adjustRightInd/>
        <w:snapToGrid/>
        <w:spacing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宋体" w:hAnsi="宋体" w:eastAsia="宋体" w:cs="宋体"/>
          <w:i w:val="0"/>
          <w:iCs w:val="0"/>
          <w:caps w:val="0"/>
          <w:color w:val="333333"/>
          <w:spacing w:val="0"/>
          <w:kern w:val="2"/>
          <w:sz w:val="32"/>
          <w:szCs w:val="32"/>
        </w:rPr>
        <w:t>6</w:t>
      </w:r>
      <w:r>
        <w:rPr>
          <w:rFonts w:hint="eastAsia" w:ascii="方正仿宋_GBK" w:hAnsi="方正仿宋_GBK" w:eastAsia="方正仿宋_GBK" w:cs="方正仿宋_GBK"/>
          <w:i w:val="0"/>
          <w:iCs w:val="0"/>
          <w:caps w:val="0"/>
          <w:color w:val="333333"/>
          <w:spacing w:val="0"/>
          <w:kern w:val="2"/>
          <w:sz w:val="32"/>
          <w:szCs w:val="32"/>
        </w:rPr>
        <w:t>、完成上级交办的其他工作。</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9"/>
          <w:rFonts w:hint="eastAsia" w:ascii="方正楷体_GBK" w:hAnsi="方正楷体_GBK" w:eastAsia="方正楷体_GBK" w:cs="方正楷体_GBK"/>
          <w:b/>
          <w:bCs w:val="0"/>
          <w:sz w:val="32"/>
          <w:szCs w:val="32"/>
          <w:shd w:val="clear" w:fill="FFFFFF"/>
        </w:rPr>
        <w:t>（二）机构设置</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本单位无内设机构。</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9"/>
          <w:rFonts w:hint="eastAsia" w:ascii="方正楷体_GBK" w:hAnsi="方正楷体_GBK" w:eastAsia="方正楷体_GBK" w:cs="方正楷体_GBK"/>
          <w:b/>
          <w:bCs w:val="0"/>
          <w:sz w:val="32"/>
          <w:szCs w:val="32"/>
          <w:shd w:val="clear" w:fill="FFFFFF"/>
        </w:rPr>
        <w:t>（三）单位构成</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本单位无下级预算单位。</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黑体_GBK" w:hAnsi="方正黑体_GBK" w:eastAsia="方正黑体_GBK" w:cs="方正黑体_GBK"/>
          <w:b/>
          <w:bCs w:val="0"/>
          <w:kern w:val="0"/>
          <w:sz w:val="32"/>
          <w:szCs w:val="32"/>
          <w:shd w:val="clear" w:fill="FFFFFF"/>
        </w:rPr>
      </w:pPr>
      <w:r>
        <w:rPr>
          <w:rStyle w:val="19"/>
          <w:rFonts w:hint="eastAsia" w:ascii="方正黑体_GBK" w:hAnsi="方正黑体_GBK" w:eastAsia="方正黑体_GBK" w:cs="方正黑体_GBK"/>
          <w:b/>
          <w:bCs w:val="0"/>
          <w:sz w:val="32"/>
          <w:szCs w:val="32"/>
          <w:shd w:val="clear" w:fill="FFFFFF"/>
        </w:rPr>
        <w:t>二、</w:t>
      </w:r>
      <w:r>
        <w:rPr>
          <w:rStyle w:val="19"/>
          <w:rFonts w:hint="eastAsia" w:ascii="方正黑体_GBK" w:hAnsi="方正黑体_GBK" w:eastAsia="方正黑体_GBK" w:cs="方正黑体_GBK"/>
          <w:b/>
          <w:bCs w:val="0"/>
          <w:sz w:val="32"/>
          <w:szCs w:val="32"/>
          <w:shd w:val="clear" w:fill="FFFFFF"/>
          <w:lang w:eastAsia="zh-CN"/>
        </w:rPr>
        <w:t>部门</w:t>
      </w:r>
      <w:bookmarkStart w:id="0" w:name="_GoBack"/>
      <w:bookmarkEnd w:id="0"/>
      <w:r>
        <w:rPr>
          <w:rStyle w:val="19"/>
          <w:rFonts w:hint="eastAsia" w:ascii="方正黑体_GBK" w:hAnsi="方正黑体_GBK" w:eastAsia="方正黑体_GBK" w:cs="方正黑体_GBK"/>
          <w:b/>
          <w:bCs w:val="0"/>
          <w:sz w:val="32"/>
          <w:szCs w:val="32"/>
          <w:shd w:val="clear" w:fill="FFFFFF"/>
        </w:rPr>
        <w:t>决算情况说明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9"/>
          <w:rFonts w:hint="eastAsia" w:ascii="方正楷体_GBK" w:hAnsi="方正楷体_GBK" w:eastAsia="方正楷体_GBK" w:cs="方正楷体_GBK"/>
          <w:b/>
          <w:bCs w:val="0"/>
          <w:sz w:val="32"/>
          <w:szCs w:val="32"/>
          <w:shd w:val="clear" w:fill="FFFFFF"/>
        </w:rPr>
        <w:t>（一）收入支出决算总体情况说明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9"/>
          <w:rFonts w:hint="default" w:ascii="Calibri" w:hAnsi="Calibri" w:eastAsia="方正仿宋_GBK" w:cs="方正仿宋_GBK"/>
          <w:b/>
          <w:bCs w:val="0"/>
          <w:sz w:val="32"/>
          <w:szCs w:val="32"/>
          <w:shd w:val="clear" w:fill="FFFFFF"/>
        </w:rPr>
        <w:t>1</w:t>
      </w:r>
      <w:r>
        <w:rPr>
          <w:rStyle w:val="19"/>
          <w:rFonts w:hint="eastAsia" w:ascii="方正仿宋_GBK" w:hAnsi="方正仿宋_GBK" w:eastAsia="方正仿宋_GBK" w:cs="方正仿宋_GBK"/>
          <w:b/>
          <w:bCs w:val="0"/>
          <w:sz w:val="32"/>
          <w:szCs w:val="32"/>
          <w:shd w:val="clear" w:fill="FFFFFF"/>
        </w:rPr>
        <w:t>.总体情况。</w:t>
      </w: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年度收入总计</w:t>
      </w:r>
      <w:r>
        <w:rPr>
          <w:rFonts w:hint="default" w:ascii="Times New Roman" w:hAnsi="Times New Roman" w:eastAsia="方正仿宋_GBK" w:cs="Times New Roman"/>
          <w:i w:val="0"/>
          <w:iCs w:val="0"/>
          <w:caps w:val="0"/>
          <w:color w:val="333333"/>
          <w:spacing w:val="0"/>
          <w:kern w:val="2"/>
          <w:sz w:val="32"/>
          <w:szCs w:val="32"/>
        </w:rPr>
        <w:t>123.79</w:t>
      </w:r>
      <w:r>
        <w:rPr>
          <w:rFonts w:hint="eastAsia" w:ascii="方正仿宋_GBK" w:hAnsi="方正仿宋_GBK" w:eastAsia="方正仿宋_GBK" w:cs="方正仿宋_GBK"/>
          <w:i w:val="0"/>
          <w:iCs w:val="0"/>
          <w:caps w:val="0"/>
          <w:color w:val="333333"/>
          <w:spacing w:val="0"/>
          <w:kern w:val="2"/>
          <w:sz w:val="32"/>
          <w:szCs w:val="32"/>
        </w:rPr>
        <w:t>万元，支出总计</w:t>
      </w:r>
      <w:r>
        <w:rPr>
          <w:rFonts w:hint="default" w:ascii="Times New Roman" w:hAnsi="Times New Roman" w:eastAsia="方正仿宋_GBK" w:cs="Times New Roman"/>
          <w:i w:val="0"/>
          <w:iCs w:val="0"/>
          <w:caps w:val="0"/>
          <w:color w:val="333333"/>
          <w:spacing w:val="0"/>
          <w:kern w:val="2"/>
          <w:sz w:val="32"/>
          <w:szCs w:val="32"/>
        </w:rPr>
        <w:t>123.79</w:t>
      </w:r>
      <w:r>
        <w:rPr>
          <w:rFonts w:hint="eastAsia" w:ascii="方正仿宋_GBK" w:hAnsi="方正仿宋_GBK" w:eastAsia="方正仿宋_GBK" w:cs="方正仿宋_GBK"/>
          <w:i w:val="0"/>
          <w:iCs w:val="0"/>
          <w:caps w:val="0"/>
          <w:color w:val="333333"/>
          <w:spacing w:val="0"/>
          <w:kern w:val="2"/>
          <w:sz w:val="32"/>
          <w:szCs w:val="32"/>
        </w:rPr>
        <w:t>万元。收支较上年决算数增加</w:t>
      </w:r>
      <w:r>
        <w:rPr>
          <w:rFonts w:hint="default" w:ascii="Times New Roman" w:hAnsi="Times New Roman" w:eastAsia="方正仿宋_GBK" w:cs="Times New Roman"/>
          <w:i w:val="0"/>
          <w:iCs w:val="0"/>
          <w:caps w:val="0"/>
          <w:color w:val="333333"/>
          <w:spacing w:val="0"/>
          <w:kern w:val="2"/>
          <w:sz w:val="32"/>
          <w:szCs w:val="32"/>
        </w:rPr>
        <w:t>123.79</w:t>
      </w:r>
      <w:r>
        <w:rPr>
          <w:rFonts w:hint="eastAsia" w:ascii="方正仿宋_GBK" w:hAnsi="方正仿宋_GBK" w:eastAsia="方正仿宋_GBK" w:cs="方正仿宋_GBK"/>
          <w:i w:val="0"/>
          <w:iCs w:val="0"/>
          <w:caps w:val="0"/>
          <w:color w:val="333333"/>
          <w:spacing w:val="0"/>
          <w:kern w:val="2"/>
          <w:sz w:val="32"/>
          <w:szCs w:val="32"/>
        </w:rPr>
        <w:t>万元</w:t>
      </w:r>
      <w:r>
        <w:rPr>
          <w:rFonts w:hint="default" w:ascii="Times New Roman" w:hAnsi="Times New Roman" w:eastAsia="方正仿宋_GBK" w:cs="Times New Roman"/>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rPr>
        <w:t>增长</w:t>
      </w:r>
      <w:r>
        <w:rPr>
          <w:rFonts w:hint="eastAsia" w:ascii="Times New Roman" w:hAnsi="Times New Roman" w:eastAsia="方正仿宋_GBK" w:cs="Times New Roman"/>
          <w:i w:val="0"/>
          <w:iCs w:val="0"/>
          <w:caps w:val="0"/>
          <w:color w:val="333333"/>
          <w:spacing w:val="0"/>
          <w:kern w:val="2"/>
          <w:sz w:val="32"/>
          <w:szCs w:val="32"/>
          <w:lang w:eastAsia="zh-CN"/>
        </w:rPr>
        <w:t>100.0%</w:t>
      </w:r>
      <w:r>
        <w:rPr>
          <w:rFonts w:hint="eastAsia" w:ascii="方正仿宋_GBK" w:hAnsi="方正仿宋_GBK" w:eastAsia="方正仿宋_GBK" w:cs="方正仿宋_GBK"/>
          <w:i w:val="0"/>
          <w:iCs w:val="0"/>
          <w:caps w:val="0"/>
          <w:color w:val="333333"/>
          <w:spacing w:val="0"/>
          <w:kern w:val="2"/>
          <w:sz w:val="32"/>
          <w:szCs w:val="32"/>
        </w:rPr>
        <w:t>，主要原因是本单位在2021年及以前年度与农林局机关、农业技术推广站等9个单位合并记账，2022年开始独立填报决算，无上年决算数据。</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宋体" w:hAnsi="宋体" w:eastAsia="宋体" w:cs="宋体"/>
          <w:kern w:val="0"/>
          <w:sz w:val="24"/>
          <w:szCs w:val="24"/>
        </w:rPr>
      </w:pPr>
      <w:r>
        <w:rPr>
          <w:rStyle w:val="19"/>
          <w:rFonts w:hint="default" w:ascii="Calibri" w:hAnsi="Calibri" w:eastAsia="方正仿宋_GBK" w:cs="方正仿宋_GBK"/>
          <w:b/>
          <w:bCs w:val="0"/>
          <w:sz w:val="32"/>
          <w:szCs w:val="32"/>
          <w:shd w:val="clear" w:fill="FFFFFF"/>
        </w:rPr>
        <w:t>2.</w:t>
      </w:r>
      <w:r>
        <w:rPr>
          <w:rStyle w:val="19"/>
          <w:rFonts w:hint="eastAsia" w:ascii="方正仿宋_GBK" w:hAnsi="方正仿宋_GBK" w:eastAsia="方正仿宋_GBK" w:cs="方正仿宋_GBK"/>
          <w:b/>
          <w:bCs w:val="0"/>
          <w:sz w:val="32"/>
          <w:szCs w:val="32"/>
          <w:shd w:val="clear" w:fill="FFFFFF"/>
        </w:rPr>
        <w:t>收入情况。</w:t>
      </w: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年度收入合计</w:t>
      </w:r>
      <w:r>
        <w:rPr>
          <w:rFonts w:hint="default" w:ascii="Times New Roman" w:hAnsi="Times New Roman" w:eastAsia="方正仿宋_GBK" w:cs="Times New Roman"/>
          <w:i w:val="0"/>
          <w:iCs w:val="0"/>
          <w:caps w:val="0"/>
          <w:color w:val="333333"/>
          <w:spacing w:val="0"/>
          <w:kern w:val="2"/>
          <w:sz w:val="32"/>
          <w:szCs w:val="32"/>
        </w:rPr>
        <w:t>123.79</w:t>
      </w:r>
      <w:r>
        <w:rPr>
          <w:rFonts w:hint="eastAsia" w:ascii="方正仿宋_GBK" w:hAnsi="方正仿宋_GBK" w:eastAsia="方正仿宋_GBK" w:cs="方正仿宋_GBK"/>
          <w:i w:val="0"/>
          <w:iCs w:val="0"/>
          <w:caps w:val="0"/>
          <w:color w:val="333333"/>
          <w:spacing w:val="0"/>
          <w:kern w:val="2"/>
          <w:sz w:val="32"/>
          <w:szCs w:val="32"/>
        </w:rPr>
        <w:t>万元，较上年决算数增加</w:t>
      </w:r>
      <w:r>
        <w:rPr>
          <w:rFonts w:hint="default" w:ascii="Times New Roman" w:hAnsi="Times New Roman" w:eastAsia="方正仿宋_GBK" w:cs="Times New Roman"/>
          <w:i w:val="0"/>
          <w:iCs w:val="0"/>
          <w:caps w:val="0"/>
          <w:color w:val="333333"/>
          <w:spacing w:val="0"/>
          <w:kern w:val="2"/>
          <w:sz w:val="32"/>
          <w:szCs w:val="32"/>
        </w:rPr>
        <w:t>123.79</w:t>
      </w:r>
      <w:r>
        <w:rPr>
          <w:rFonts w:hint="eastAsia" w:ascii="方正仿宋_GBK" w:hAnsi="方正仿宋_GBK" w:eastAsia="方正仿宋_GBK" w:cs="方正仿宋_GBK"/>
          <w:i w:val="0"/>
          <w:iCs w:val="0"/>
          <w:caps w:val="0"/>
          <w:color w:val="333333"/>
          <w:spacing w:val="0"/>
          <w:kern w:val="2"/>
          <w:sz w:val="32"/>
          <w:szCs w:val="32"/>
        </w:rPr>
        <w:t>万元，增长</w:t>
      </w:r>
      <w:r>
        <w:rPr>
          <w:rFonts w:hint="eastAsia" w:ascii="Times New Roman" w:hAnsi="Times New Roman" w:eastAsia="方正仿宋_GBK" w:cs="Times New Roman"/>
          <w:i w:val="0"/>
          <w:iCs w:val="0"/>
          <w:caps w:val="0"/>
          <w:color w:val="333333"/>
          <w:spacing w:val="0"/>
          <w:kern w:val="2"/>
          <w:sz w:val="32"/>
          <w:szCs w:val="32"/>
          <w:lang w:eastAsia="zh-CN"/>
        </w:rPr>
        <w:t>100.0%</w:t>
      </w:r>
      <w:r>
        <w:rPr>
          <w:rFonts w:hint="eastAsia" w:ascii="方正仿宋_GBK" w:hAnsi="方正仿宋_GBK" w:eastAsia="方正仿宋_GBK" w:cs="方正仿宋_GBK"/>
          <w:i w:val="0"/>
          <w:iCs w:val="0"/>
          <w:caps w:val="0"/>
          <w:color w:val="333333"/>
          <w:spacing w:val="0"/>
          <w:kern w:val="2"/>
          <w:sz w:val="32"/>
          <w:szCs w:val="32"/>
        </w:rPr>
        <w:t>，主要原因是本单位在2021年及以前年度与农林局机关、农业技术推广站等9个单位合并记账，2022年开始独立填报决算，无上年决算数据。其中：财政拨款收入</w:t>
      </w:r>
      <w:r>
        <w:rPr>
          <w:rFonts w:hint="default" w:ascii="Times New Roman" w:hAnsi="Times New Roman" w:eastAsia="方正仿宋_GBK" w:cs="Times New Roman"/>
          <w:i w:val="0"/>
          <w:iCs w:val="0"/>
          <w:caps w:val="0"/>
          <w:color w:val="333333"/>
          <w:spacing w:val="0"/>
          <w:kern w:val="2"/>
          <w:sz w:val="32"/>
          <w:szCs w:val="32"/>
        </w:rPr>
        <w:t>123.79</w:t>
      </w:r>
      <w:r>
        <w:rPr>
          <w:rFonts w:hint="eastAsia" w:ascii="方正仿宋_GBK" w:hAnsi="方正仿宋_GBK" w:eastAsia="方正仿宋_GBK" w:cs="方正仿宋_GBK"/>
          <w:i w:val="0"/>
          <w:iCs w:val="0"/>
          <w:caps w:val="0"/>
          <w:color w:val="333333"/>
          <w:spacing w:val="0"/>
          <w:kern w:val="2"/>
          <w:sz w:val="32"/>
          <w:szCs w:val="32"/>
        </w:rPr>
        <w:t>万元，占</w:t>
      </w:r>
      <w:r>
        <w:rPr>
          <w:rFonts w:hint="eastAsia" w:ascii="Times New Roman" w:hAnsi="Times New Roman" w:eastAsia="方正仿宋_GBK" w:cs="Times New Roman"/>
          <w:i w:val="0"/>
          <w:iCs w:val="0"/>
          <w:caps w:val="0"/>
          <w:color w:val="333333"/>
          <w:spacing w:val="0"/>
          <w:kern w:val="2"/>
          <w:sz w:val="32"/>
          <w:szCs w:val="32"/>
          <w:lang w:eastAsia="zh-CN"/>
        </w:rPr>
        <w:t>100.0%</w:t>
      </w:r>
      <w:r>
        <w:rPr>
          <w:rFonts w:hint="eastAsia" w:ascii="方正仿宋_GBK" w:hAnsi="方正仿宋_GBK" w:eastAsia="方正仿宋_GBK" w:cs="方正仿宋_GBK"/>
          <w:i w:val="0"/>
          <w:iCs w:val="0"/>
          <w:caps w:val="0"/>
          <w:color w:val="333333"/>
          <w:spacing w:val="0"/>
          <w:kern w:val="2"/>
          <w:sz w:val="32"/>
          <w:szCs w:val="32"/>
        </w:rPr>
        <w:t>。</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宋体" w:hAnsi="宋体" w:eastAsia="宋体" w:cs="宋体"/>
          <w:kern w:val="0"/>
          <w:sz w:val="24"/>
          <w:szCs w:val="24"/>
        </w:rPr>
      </w:pPr>
      <w:r>
        <w:rPr>
          <w:rStyle w:val="19"/>
          <w:rFonts w:hint="default" w:ascii="Calibri" w:hAnsi="Calibri" w:eastAsia="方正仿宋_GBK" w:cs="方正仿宋_GBK"/>
          <w:b/>
          <w:bCs w:val="0"/>
          <w:sz w:val="32"/>
          <w:szCs w:val="32"/>
          <w:shd w:val="clear" w:fill="FFFFFF"/>
        </w:rPr>
        <w:t>3.</w:t>
      </w:r>
      <w:r>
        <w:rPr>
          <w:rStyle w:val="19"/>
          <w:rFonts w:hint="eastAsia" w:ascii="方正仿宋_GBK" w:hAnsi="方正仿宋_GBK" w:eastAsia="方正仿宋_GBK" w:cs="方正仿宋_GBK"/>
          <w:b/>
          <w:bCs w:val="0"/>
          <w:sz w:val="32"/>
          <w:szCs w:val="32"/>
          <w:shd w:val="clear" w:fill="FFFFFF"/>
        </w:rPr>
        <w:t>支出情况。</w:t>
      </w: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年度支出合计</w:t>
      </w:r>
      <w:r>
        <w:rPr>
          <w:rFonts w:hint="default" w:ascii="Times New Roman" w:hAnsi="Times New Roman" w:eastAsia="方正仿宋_GBK" w:cs="Times New Roman"/>
          <w:i w:val="0"/>
          <w:iCs w:val="0"/>
          <w:caps w:val="0"/>
          <w:color w:val="333333"/>
          <w:spacing w:val="0"/>
          <w:kern w:val="2"/>
          <w:sz w:val="32"/>
          <w:szCs w:val="32"/>
        </w:rPr>
        <w:t>123.79</w:t>
      </w:r>
      <w:r>
        <w:rPr>
          <w:rFonts w:hint="eastAsia" w:ascii="方正仿宋_GBK" w:hAnsi="方正仿宋_GBK" w:eastAsia="方正仿宋_GBK" w:cs="方正仿宋_GBK"/>
          <w:i w:val="0"/>
          <w:iCs w:val="0"/>
          <w:caps w:val="0"/>
          <w:color w:val="333333"/>
          <w:spacing w:val="0"/>
          <w:kern w:val="2"/>
          <w:sz w:val="32"/>
          <w:szCs w:val="32"/>
        </w:rPr>
        <w:t>万元，较上年决算增加</w:t>
      </w:r>
      <w:r>
        <w:rPr>
          <w:rFonts w:hint="default" w:ascii="Times New Roman" w:hAnsi="Times New Roman" w:eastAsia="方正仿宋_GBK" w:cs="Times New Roman"/>
          <w:i w:val="0"/>
          <w:iCs w:val="0"/>
          <w:caps w:val="0"/>
          <w:color w:val="333333"/>
          <w:spacing w:val="0"/>
          <w:kern w:val="2"/>
          <w:sz w:val="32"/>
          <w:szCs w:val="32"/>
        </w:rPr>
        <w:t>123.79</w:t>
      </w:r>
      <w:r>
        <w:rPr>
          <w:rFonts w:hint="eastAsia" w:ascii="方正仿宋_GBK" w:hAnsi="方正仿宋_GBK" w:eastAsia="方正仿宋_GBK" w:cs="方正仿宋_GBK"/>
          <w:i w:val="0"/>
          <w:iCs w:val="0"/>
          <w:caps w:val="0"/>
          <w:color w:val="333333"/>
          <w:spacing w:val="0"/>
          <w:kern w:val="2"/>
          <w:sz w:val="32"/>
          <w:szCs w:val="32"/>
        </w:rPr>
        <w:t>万元，增长</w:t>
      </w:r>
      <w:r>
        <w:rPr>
          <w:rFonts w:hint="eastAsia" w:ascii="Times New Roman" w:hAnsi="Times New Roman" w:eastAsia="方正仿宋_GBK" w:cs="Times New Roman"/>
          <w:i w:val="0"/>
          <w:iCs w:val="0"/>
          <w:caps w:val="0"/>
          <w:color w:val="333333"/>
          <w:spacing w:val="0"/>
          <w:kern w:val="2"/>
          <w:sz w:val="32"/>
          <w:szCs w:val="32"/>
          <w:lang w:eastAsia="zh-CN"/>
        </w:rPr>
        <w:t>100.0%</w:t>
      </w:r>
      <w:r>
        <w:rPr>
          <w:rFonts w:hint="eastAsia" w:ascii="方正仿宋_GBK" w:hAnsi="方正仿宋_GBK" w:eastAsia="方正仿宋_GBK" w:cs="方正仿宋_GBK"/>
          <w:i w:val="0"/>
          <w:iCs w:val="0"/>
          <w:caps w:val="0"/>
          <w:color w:val="333333"/>
          <w:spacing w:val="0"/>
          <w:kern w:val="2"/>
          <w:sz w:val="32"/>
          <w:szCs w:val="32"/>
        </w:rPr>
        <w:t>，主要原因是本单位在2021年及以前年度与农林局机关、农业技术推广站等9个单位合并记账，2022年开始独立填报决算，无上年决算数据。其中：基本支出</w:t>
      </w:r>
      <w:r>
        <w:rPr>
          <w:rFonts w:hint="default" w:ascii="Times New Roman" w:hAnsi="Times New Roman" w:eastAsia="方正仿宋_GBK" w:cs="Times New Roman"/>
          <w:i w:val="0"/>
          <w:iCs w:val="0"/>
          <w:caps w:val="0"/>
          <w:color w:val="333333"/>
          <w:spacing w:val="0"/>
          <w:kern w:val="2"/>
          <w:sz w:val="32"/>
          <w:szCs w:val="32"/>
        </w:rPr>
        <w:t>123.79</w:t>
      </w:r>
      <w:r>
        <w:rPr>
          <w:rFonts w:hint="eastAsia" w:ascii="方正仿宋_GBK" w:hAnsi="方正仿宋_GBK" w:eastAsia="方正仿宋_GBK" w:cs="方正仿宋_GBK"/>
          <w:i w:val="0"/>
          <w:iCs w:val="0"/>
          <w:caps w:val="0"/>
          <w:color w:val="333333"/>
          <w:spacing w:val="0"/>
          <w:kern w:val="2"/>
          <w:sz w:val="32"/>
          <w:szCs w:val="32"/>
        </w:rPr>
        <w:t>万元，占</w:t>
      </w:r>
      <w:r>
        <w:rPr>
          <w:rFonts w:hint="eastAsia" w:ascii="Times New Roman" w:hAnsi="Times New Roman" w:eastAsia="方正仿宋_GBK" w:cs="Times New Roman"/>
          <w:i w:val="0"/>
          <w:iCs w:val="0"/>
          <w:caps w:val="0"/>
          <w:color w:val="333333"/>
          <w:spacing w:val="0"/>
          <w:kern w:val="2"/>
          <w:sz w:val="32"/>
          <w:szCs w:val="32"/>
          <w:lang w:eastAsia="zh-CN"/>
        </w:rPr>
        <w:t>100.0%</w:t>
      </w:r>
      <w:r>
        <w:rPr>
          <w:rFonts w:hint="eastAsia" w:ascii="方正仿宋_GBK" w:hAnsi="方正仿宋_GBK" w:eastAsia="方正仿宋_GBK" w:cs="方正仿宋_GBK"/>
          <w:i w:val="0"/>
          <w:iCs w:val="0"/>
          <w:caps w:val="0"/>
          <w:color w:val="333333"/>
          <w:spacing w:val="0"/>
          <w:kern w:val="2"/>
          <w:sz w:val="32"/>
          <w:szCs w:val="32"/>
        </w:rPr>
        <w:t>。</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9"/>
          <w:rFonts w:hint="default" w:ascii="Calibri" w:hAnsi="Calibri" w:eastAsia="方正仿宋_GBK" w:cs="方正仿宋_GBK"/>
          <w:b/>
          <w:bCs w:val="0"/>
          <w:sz w:val="32"/>
          <w:szCs w:val="32"/>
          <w:shd w:val="clear" w:fill="FFFFFF"/>
        </w:rPr>
        <w:t>4.</w:t>
      </w:r>
      <w:r>
        <w:rPr>
          <w:rStyle w:val="19"/>
          <w:rFonts w:hint="eastAsia" w:ascii="方正仿宋_GBK" w:hAnsi="方正仿宋_GBK" w:eastAsia="方正仿宋_GBK" w:cs="方正仿宋_GBK"/>
          <w:b/>
          <w:bCs w:val="0"/>
          <w:sz w:val="32"/>
          <w:szCs w:val="32"/>
          <w:shd w:val="clear" w:fill="FFFFFF"/>
        </w:rPr>
        <w:t>结转结余情况。</w:t>
      </w: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年度年末结转和结余</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万元，与上年一致。</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9"/>
          <w:rFonts w:hint="eastAsia" w:ascii="方正楷体_GBK" w:hAnsi="方正楷体_GBK" w:eastAsia="方正楷体_GBK" w:cs="方正楷体_GBK"/>
          <w:b/>
          <w:bCs w:val="0"/>
          <w:sz w:val="32"/>
          <w:szCs w:val="32"/>
          <w:shd w:val="clear" w:fill="FFFFFF"/>
        </w:rPr>
        <w:t>（二）财政拨款收入支出决算总体情况说明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年度财政拨款收、支总计</w:t>
      </w:r>
      <w:r>
        <w:rPr>
          <w:rFonts w:hint="default" w:ascii="Times New Roman" w:hAnsi="Times New Roman" w:eastAsia="方正仿宋_GBK" w:cs="Times New Roman"/>
          <w:i w:val="0"/>
          <w:iCs w:val="0"/>
          <w:caps w:val="0"/>
          <w:color w:val="333333"/>
          <w:spacing w:val="0"/>
          <w:kern w:val="2"/>
          <w:sz w:val="32"/>
          <w:szCs w:val="32"/>
        </w:rPr>
        <w:t>123.79</w:t>
      </w:r>
      <w:r>
        <w:rPr>
          <w:rFonts w:hint="eastAsia" w:ascii="方正仿宋_GBK" w:hAnsi="方正仿宋_GBK" w:eastAsia="方正仿宋_GBK" w:cs="方正仿宋_GBK"/>
          <w:i w:val="0"/>
          <w:iCs w:val="0"/>
          <w:caps w:val="0"/>
          <w:color w:val="333333"/>
          <w:spacing w:val="0"/>
          <w:kern w:val="2"/>
          <w:sz w:val="32"/>
          <w:szCs w:val="32"/>
        </w:rPr>
        <w:t>万元。与</w:t>
      </w:r>
      <w:r>
        <w:rPr>
          <w:rFonts w:hint="default" w:ascii="Times New Roman" w:hAnsi="Times New Roman" w:eastAsia="方正仿宋_GBK" w:cs="Times New Roman"/>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年相比，财政拨款收、支总计各增加</w:t>
      </w:r>
      <w:r>
        <w:rPr>
          <w:rFonts w:hint="default" w:ascii="Times New Roman" w:hAnsi="Times New Roman" w:eastAsia="方正仿宋_GBK" w:cs="Times New Roman"/>
          <w:i w:val="0"/>
          <w:iCs w:val="0"/>
          <w:caps w:val="0"/>
          <w:color w:val="333333"/>
          <w:spacing w:val="0"/>
          <w:kern w:val="2"/>
          <w:sz w:val="32"/>
          <w:szCs w:val="32"/>
        </w:rPr>
        <w:t>123.79</w:t>
      </w:r>
      <w:r>
        <w:rPr>
          <w:rFonts w:hint="eastAsia" w:ascii="方正仿宋_GBK" w:hAnsi="方正仿宋_GBK" w:eastAsia="方正仿宋_GBK" w:cs="方正仿宋_GBK"/>
          <w:i w:val="0"/>
          <w:iCs w:val="0"/>
          <w:caps w:val="0"/>
          <w:color w:val="333333"/>
          <w:spacing w:val="0"/>
          <w:kern w:val="2"/>
          <w:sz w:val="32"/>
          <w:szCs w:val="32"/>
        </w:rPr>
        <w:t>万元，增长</w:t>
      </w:r>
      <w:r>
        <w:rPr>
          <w:rFonts w:hint="eastAsia" w:ascii="Times New Roman" w:hAnsi="Times New Roman" w:eastAsia="方正仿宋_GBK" w:cs="Times New Roman"/>
          <w:i w:val="0"/>
          <w:iCs w:val="0"/>
          <w:caps w:val="0"/>
          <w:color w:val="333333"/>
          <w:spacing w:val="0"/>
          <w:kern w:val="2"/>
          <w:sz w:val="32"/>
          <w:szCs w:val="32"/>
          <w:lang w:eastAsia="zh-CN"/>
        </w:rPr>
        <w:t>100.0%</w:t>
      </w:r>
      <w:r>
        <w:rPr>
          <w:rFonts w:hint="eastAsia" w:ascii="方正仿宋_GBK" w:hAnsi="方正仿宋_GBK" w:eastAsia="方正仿宋_GBK" w:cs="方正仿宋_GBK"/>
          <w:i w:val="0"/>
          <w:iCs w:val="0"/>
          <w:caps w:val="0"/>
          <w:color w:val="333333"/>
          <w:spacing w:val="0"/>
          <w:kern w:val="2"/>
          <w:sz w:val="32"/>
          <w:szCs w:val="32"/>
        </w:rPr>
        <w:t>，主要原因是本单位在2021年及以前年度与农林局机关、农业技术推广站等9个单位合并记账，2022年开始独立填报决算，无上年决算数据。</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9"/>
          <w:rFonts w:hint="eastAsia" w:ascii="方正楷体_GBK" w:hAnsi="方正楷体_GBK" w:eastAsia="方正楷体_GBK" w:cs="方正楷体_GBK"/>
          <w:b/>
          <w:bCs w:val="0"/>
          <w:sz w:val="32"/>
          <w:szCs w:val="32"/>
          <w:shd w:val="clear" w:fill="FFFFFF"/>
        </w:rPr>
        <w:t>（三）一般公共预算财政拨款收入支出决算情况说明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9"/>
          <w:rFonts w:hint="default" w:ascii="Calibri" w:hAnsi="Calibri" w:eastAsia="方正仿宋_GBK" w:cs="方正仿宋_GBK"/>
          <w:b/>
          <w:bCs w:val="0"/>
          <w:sz w:val="32"/>
          <w:szCs w:val="32"/>
          <w:shd w:val="clear" w:fill="FFFFFF"/>
        </w:rPr>
        <w:t>1.</w:t>
      </w:r>
      <w:r>
        <w:rPr>
          <w:rStyle w:val="19"/>
          <w:rFonts w:hint="eastAsia" w:ascii="方正仿宋_GBK" w:hAnsi="方正仿宋_GBK" w:eastAsia="方正仿宋_GBK" w:cs="方正仿宋_GBK"/>
          <w:b/>
          <w:bCs w:val="0"/>
          <w:sz w:val="32"/>
          <w:szCs w:val="32"/>
          <w:shd w:val="clear" w:fill="FFFFFF"/>
        </w:rPr>
        <w:t>收入情况。</w:t>
      </w: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年度一般公共预算财政拨款收入</w:t>
      </w:r>
      <w:r>
        <w:rPr>
          <w:rFonts w:hint="default" w:ascii="Times New Roman" w:hAnsi="Times New Roman" w:eastAsia="方正仿宋_GBK" w:cs="Times New Roman"/>
          <w:i w:val="0"/>
          <w:iCs w:val="0"/>
          <w:caps w:val="0"/>
          <w:color w:val="333333"/>
          <w:spacing w:val="0"/>
          <w:kern w:val="2"/>
          <w:sz w:val="32"/>
          <w:szCs w:val="32"/>
        </w:rPr>
        <w:t>123.79</w:t>
      </w:r>
      <w:r>
        <w:rPr>
          <w:rFonts w:hint="eastAsia" w:ascii="方正仿宋_GBK" w:hAnsi="方正仿宋_GBK" w:eastAsia="方正仿宋_GBK" w:cs="方正仿宋_GBK"/>
          <w:i w:val="0"/>
          <w:iCs w:val="0"/>
          <w:caps w:val="0"/>
          <w:color w:val="333333"/>
          <w:spacing w:val="0"/>
          <w:kern w:val="2"/>
          <w:sz w:val="32"/>
          <w:szCs w:val="32"/>
        </w:rPr>
        <w:t>万元，较上年决算数增加</w:t>
      </w:r>
      <w:r>
        <w:rPr>
          <w:rFonts w:hint="default" w:ascii="Times New Roman" w:hAnsi="Times New Roman" w:eastAsia="方正仿宋_GBK" w:cs="Times New Roman"/>
          <w:i w:val="0"/>
          <w:iCs w:val="0"/>
          <w:caps w:val="0"/>
          <w:color w:val="333333"/>
          <w:spacing w:val="0"/>
          <w:kern w:val="2"/>
          <w:sz w:val="32"/>
          <w:szCs w:val="32"/>
        </w:rPr>
        <w:t>123.79</w:t>
      </w:r>
      <w:r>
        <w:rPr>
          <w:rFonts w:hint="eastAsia" w:ascii="方正仿宋_GBK" w:hAnsi="方正仿宋_GBK" w:eastAsia="方正仿宋_GBK" w:cs="方正仿宋_GBK"/>
          <w:i w:val="0"/>
          <w:iCs w:val="0"/>
          <w:caps w:val="0"/>
          <w:color w:val="333333"/>
          <w:spacing w:val="0"/>
          <w:kern w:val="2"/>
          <w:sz w:val="32"/>
          <w:szCs w:val="32"/>
        </w:rPr>
        <w:t>万元，增长</w:t>
      </w:r>
      <w:r>
        <w:rPr>
          <w:rFonts w:hint="eastAsia" w:ascii="Times New Roman" w:hAnsi="Times New Roman" w:eastAsia="方正仿宋_GBK" w:cs="Times New Roman"/>
          <w:i w:val="0"/>
          <w:iCs w:val="0"/>
          <w:caps w:val="0"/>
          <w:color w:val="333333"/>
          <w:spacing w:val="0"/>
          <w:kern w:val="2"/>
          <w:sz w:val="32"/>
          <w:szCs w:val="32"/>
          <w:lang w:eastAsia="zh-CN"/>
        </w:rPr>
        <w:t>100.0%</w:t>
      </w:r>
      <w:r>
        <w:rPr>
          <w:rFonts w:hint="eastAsia" w:ascii="方正仿宋_GBK" w:hAnsi="方正仿宋_GBK" w:eastAsia="方正仿宋_GBK" w:cs="方正仿宋_GBK"/>
          <w:i w:val="0"/>
          <w:iCs w:val="0"/>
          <w:caps w:val="0"/>
          <w:color w:val="333333"/>
          <w:spacing w:val="0"/>
          <w:kern w:val="2"/>
          <w:sz w:val="32"/>
          <w:szCs w:val="32"/>
        </w:rPr>
        <w:t>。主要原因是本单位在2021年及以前年度与农林局机关、农业技术推广站等9个单位合并记账，2022年开始独立填报决算，无上年决算数据。较年初预算数增加</w:t>
      </w:r>
      <w:r>
        <w:rPr>
          <w:rFonts w:hint="default" w:ascii="Times New Roman" w:hAnsi="Times New Roman" w:eastAsia="方正仿宋_GBK" w:cs="Times New Roman"/>
          <w:i w:val="0"/>
          <w:iCs w:val="0"/>
          <w:caps w:val="0"/>
          <w:color w:val="333333"/>
          <w:spacing w:val="0"/>
          <w:kern w:val="2"/>
          <w:sz w:val="32"/>
          <w:szCs w:val="32"/>
        </w:rPr>
        <w:t>32.77</w:t>
      </w:r>
      <w:r>
        <w:rPr>
          <w:rFonts w:hint="eastAsia" w:ascii="方正仿宋_GBK" w:hAnsi="方正仿宋_GBK" w:eastAsia="方正仿宋_GBK" w:cs="方正仿宋_GBK"/>
          <w:i w:val="0"/>
          <w:iCs w:val="0"/>
          <w:caps w:val="0"/>
          <w:color w:val="333333"/>
          <w:spacing w:val="0"/>
          <w:kern w:val="2"/>
          <w:sz w:val="32"/>
          <w:szCs w:val="32"/>
        </w:rPr>
        <w:t>万元，增长</w:t>
      </w:r>
      <w:r>
        <w:rPr>
          <w:rFonts w:hint="default" w:ascii="Times New Roman" w:hAnsi="Times New Roman" w:eastAsia="方正仿宋_GBK" w:cs="Times New Roman"/>
          <w:i w:val="0"/>
          <w:iCs w:val="0"/>
          <w:caps w:val="0"/>
          <w:color w:val="333333"/>
          <w:spacing w:val="0"/>
          <w:kern w:val="2"/>
          <w:sz w:val="32"/>
          <w:szCs w:val="32"/>
        </w:rPr>
        <w:t>36%</w:t>
      </w:r>
      <w:r>
        <w:rPr>
          <w:rFonts w:hint="eastAsia" w:ascii="方正仿宋_GBK" w:hAnsi="方正仿宋_GBK" w:eastAsia="方正仿宋_GBK" w:cs="方正仿宋_GBK"/>
          <w:i w:val="0"/>
          <w:iCs w:val="0"/>
          <w:caps w:val="0"/>
          <w:color w:val="333333"/>
          <w:spacing w:val="0"/>
          <w:kern w:val="2"/>
          <w:sz w:val="32"/>
          <w:szCs w:val="32"/>
        </w:rPr>
        <w:t>，主要原因是津补贴政策调整，基本支出增加。此外，年初财政拨款结转和结余</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9"/>
          <w:rFonts w:hint="default" w:ascii="Calibri" w:hAnsi="Calibri" w:eastAsia="方正仿宋_GBK" w:cs="方正仿宋_GBK"/>
          <w:b/>
          <w:bCs w:val="0"/>
          <w:sz w:val="32"/>
          <w:szCs w:val="32"/>
          <w:shd w:val="clear" w:fill="FFFFFF"/>
        </w:rPr>
        <w:t>2.</w:t>
      </w:r>
      <w:r>
        <w:rPr>
          <w:rStyle w:val="19"/>
          <w:rFonts w:hint="eastAsia" w:ascii="方正仿宋_GBK" w:hAnsi="方正仿宋_GBK" w:eastAsia="方正仿宋_GBK" w:cs="方正仿宋_GBK"/>
          <w:b/>
          <w:bCs w:val="0"/>
          <w:sz w:val="32"/>
          <w:szCs w:val="32"/>
          <w:shd w:val="clear" w:fill="FFFFFF"/>
        </w:rPr>
        <w:t>支出情况。</w:t>
      </w: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年度一般公共预算财政拨款支出</w:t>
      </w:r>
      <w:r>
        <w:rPr>
          <w:rFonts w:hint="default" w:ascii="Times New Roman" w:hAnsi="Times New Roman" w:eastAsia="方正仿宋_GBK" w:cs="Times New Roman"/>
          <w:i w:val="0"/>
          <w:iCs w:val="0"/>
          <w:caps w:val="0"/>
          <w:color w:val="333333"/>
          <w:spacing w:val="0"/>
          <w:kern w:val="2"/>
          <w:sz w:val="32"/>
          <w:szCs w:val="32"/>
        </w:rPr>
        <w:t>123.79</w:t>
      </w:r>
      <w:r>
        <w:rPr>
          <w:rFonts w:hint="eastAsia" w:ascii="方正仿宋_GBK" w:hAnsi="方正仿宋_GBK" w:eastAsia="方正仿宋_GBK" w:cs="方正仿宋_GBK"/>
          <w:i w:val="0"/>
          <w:iCs w:val="0"/>
          <w:caps w:val="0"/>
          <w:color w:val="333333"/>
          <w:spacing w:val="0"/>
          <w:kern w:val="2"/>
          <w:sz w:val="32"/>
          <w:szCs w:val="32"/>
        </w:rPr>
        <w:t>万元，较上年决算数增加</w:t>
      </w:r>
      <w:r>
        <w:rPr>
          <w:rFonts w:hint="default" w:ascii="Times New Roman" w:hAnsi="Times New Roman" w:eastAsia="方正仿宋_GBK" w:cs="Times New Roman"/>
          <w:i w:val="0"/>
          <w:iCs w:val="0"/>
          <w:caps w:val="0"/>
          <w:color w:val="333333"/>
          <w:spacing w:val="0"/>
          <w:kern w:val="2"/>
          <w:sz w:val="32"/>
          <w:szCs w:val="32"/>
        </w:rPr>
        <w:t>123.79</w:t>
      </w:r>
      <w:r>
        <w:rPr>
          <w:rFonts w:hint="eastAsia" w:ascii="方正仿宋_GBK" w:hAnsi="方正仿宋_GBK" w:eastAsia="方正仿宋_GBK" w:cs="方正仿宋_GBK"/>
          <w:i w:val="0"/>
          <w:iCs w:val="0"/>
          <w:caps w:val="0"/>
          <w:color w:val="333333"/>
          <w:spacing w:val="0"/>
          <w:kern w:val="2"/>
          <w:sz w:val="32"/>
          <w:szCs w:val="32"/>
        </w:rPr>
        <w:t>万元，增长</w:t>
      </w:r>
      <w:r>
        <w:rPr>
          <w:rFonts w:hint="eastAsia" w:ascii="Times New Roman" w:hAnsi="Times New Roman" w:eastAsia="方正仿宋_GBK" w:cs="Times New Roman"/>
          <w:i w:val="0"/>
          <w:iCs w:val="0"/>
          <w:caps w:val="0"/>
          <w:color w:val="333333"/>
          <w:spacing w:val="0"/>
          <w:kern w:val="2"/>
          <w:sz w:val="32"/>
          <w:szCs w:val="32"/>
          <w:lang w:eastAsia="zh-CN"/>
        </w:rPr>
        <w:t>100.0%</w:t>
      </w:r>
      <w:r>
        <w:rPr>
          <w:rFonts w:hint="eastAsia" w:ascii="方正仿宋_GBK" w:hAnsi="方正仿宋_GBK" w:eastAsia="方正仿宋_GBK" w:cs="方正仿宋_GBK"/>
          <w:i w:val="0"/>
          <w:iCs w:val="0"/>
          <w:caps w:val="0"/>
          <w:color w:val="333333"/>
          <w:spacing w:val="0"/>
          <w:kern w:val="2"/>
          <w:sz w:val="32"/>
          <w:szCs w:val="32"/>
        </w:rPr>
        <w:t>。主要原因是本单位在2021年及以前年度与农林局机关、农业技术推广站等9个单位合并记账，2022年开始独立填报决算，无上年决算数据。较年初预算数增加</w:t>
      </w:r>
      <w:r>
        <w:rPr>
          <w:rFonts w:hint="default" w:ascii="Times New Roman" w:hAnsi="Times New Roman" w:eastAsia="方正仿宋_GBK" w:cs="Times New Roman"/>
          <w:i w:val="0"/>
          <w:iCs w:val="0"/>
          <w:caps w:val="0"/>
          <w:color w:val="333333"/>
          <w:spacing w:val="0"/>
          <w:kern w:val="2"/>
          <w:sz w:val="32"/>
          <w:szCs w:val="32"/>
        </w:rPr>
        <w:t>32.77</w:t>
      </w:r>
      <w:r>
        <w:rPr>
          <w:rFonts w:hint="eastAsia" w:ascii="方正仿宋_GBK" w:hAnsi="方正仿宋_GBK" w:eastAsia="方正仿宋_GBK" w:cs="方正仿宋_GBK"/>
          <w:i w:val="0"/>
          <w:iCs w:val="0"/>
          <w:caps w:val="0"/>
          <w:color w:val="333333"/>
          <w:spacing w:val="0"/>
          <w:kern w:val="2"/>
          <w:sz w:val="32"/>
          <w:szCs w:val="32"/>
        </w:rPr>
        <w:t>万元，增长</w:t>
      </w:r>
      <w:r>
        <w:rPr>
          <w:rFonts w:hint="default" w:ascii="Times New Roman" w:hAnsi="Times New Roman" w:eastAsia="方正仿宋_GBK" w:cs="Times New Roman"/>
          <w:i w:val="0"/>
          <w:iCs w:val="0"/>
          <w:caps w:val="0"/>
          <w:color w:val="333333"/>
          <w:spacing w:val="0"/>
          <w:kern w:val="2"/>
          <w:sz w:val="32"/>
          <w:szCs w:val="32"/>
        </w:rPr>
        <w:t>36%</w:t>
      </w:r>
      <w:r>
        <w:rPr>
          <w:rFonts w:hint="eastAsia" w:ascii="方正仿宋_GBK" w:hAnsi="方正仿宋_GBK" w:eastAsia="方正仿宋_GBK" w:cs="方正仿宋_GBK"/>
          <w:i w:val="0"/>
          <w:iCs w:val="0"/>
          <w:caps w:val="0"/>
          <w:color w:val="333333"/>
          <w:spacing w:val="0"/>
          <w:kern w:val="2"/>
          <w:sz w:val="32"/>
          <w:szCs w:val="32"/>
        </w:rPr>
        <w:t>，主要原因是津补贴政策调整，基本支出增加。</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9"/>
          <w:rFonts w:hint="default" w:ascii="Calibri" w:hAnsi="Calibri" w:eastAsia="方正仿宋_GBK" w:cs="方正仿宋_GBK"/>
          <w:b/>
          <w:bCs w:val="0"/>
          <w:sz w:val="32"/>
          <w:szCs w:val="32"/>
          <w:shd w:val="clear" w:fill="FFFFFF"/>
        </w:rPr>
        <w:t>3.</w:t>
      </w:r>
      <w:r>
        <w:rPr>
          <w:rStyle w:val="19"/>
          <w:rFonts w:hint="eastAsia" w:ascii="方正仿宋_GBK" w:hAnsi="方正仿宋_GBK" w:eastAsia="方正仿宋_GBK" w:cs="方正仿宋_GBK"/>
          <w:b/>
          <w:bCs w:val="0"/>
          <w:sz w:val="32"/>
          <w:szCs w:val="32"/>
          <w:shd w:val="clear" w:fill="FFFFFF"/>
        </w:rPr>
        <w:t>结转结余情况。</w:t>
      </w: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年度年末一般公共预算财政拨款结转和结余</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万元，与上年决算数一致。</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9"/>
          <w:rFonts w:hint="default" w:ascii="Calibri" w:hAnsi="Calibri" w:eastAsia="方正仿宋_GBK" w:cs="方正仿宋_GBK"/>
          <w:b/>
          <w:bCs w:val="0"/>
          <w:sz w:val="32"/>
          <w:szCs w:val="32"/>
          <w:shd w:val="clear" w:fill="FFFFFF"/>
        </w:rPr>
        <w:t>4.</w:t>
      </w:r>
      <w:r>
        <w:rPr>
          <w:rStyle w:val="19"/>
          <w:rFonts w:hint="eastAsia" w:ascii="方正仿宋_GBK" w:hAnsi="方正仿宋_GBK" w:eastAsia="方正仿宋_GBK" w:cs="方正仿宋_GBK"/>
          <w:b/>
          <w:bCs w:val="0"/>
          <w:sz w:val="32"/>
          <w:szCs w:val="32"/>
          <w:shd w:val="clear" w:fill="FFFFFF"/>
        </w:rPr>
        <w:t>比较情况。</w:t>
      </w:r>
      <w:r>
        <w:rPr>
          <w:rFonts w:hint="eastAsia" w:ascii="方正仿宋_GBK" w:hAnsi="方正仿宋_GBK" w:eastAsia="方正仿宋_GBK" w:cs="方正仿宋_GBK"/>
          <w:i w:val="0"/>
          <w:iCs w:val="0"/>
          <w:caps w:val="0"/>
          <w:color w:val="333333"/>
          <w:spacing w:val="0"/>
          <w:kern w:val="2"/>
          <w:sz w:val="32"/>
          <w:szCs w:val="32"/>
        </w:rPr>
        <w:t>本单位</w:t>
      </w: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年度一般公共预算财政拨款支出主要用于以下几个方面：</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w:t>
      </w:r>
      <w:r>
        <w:rPr>
          <w:rFonts w:hint="default" w:ascii="Times New Roman" w:hAnsi="Times New Roman" w:eastAsia="方正仿宋_GBK" w:cs="Times New Roman"/>
          <w:i w:val="0"/>
          <w:iCs w:val="0"/>
          <w:caps w:val="0"/>
          <w:color w:val="333333"/>
          <w:spacing w:val="0"/>
          <w:kern w:val="2"/>
          <w:sz w:val="32"/>
          <w:szCs w:val="32"/>
        </w:rPr>
        <w:t>1</w:t>
      </w:r>
      <w:r>
        <w:rPr>
          <w:rFonts w:hint="eastAsia" w:ascii="方正仿宋_GBK" w:hAnsi="方正仿宋_GBK" w:eastAsia="方正仿宋_GBK" w:cs="方正仿宋_GBK"/>
          <w:i w:val="0"/>
          <w:iCs w:val="0"/>
          <w:caps w:val="0"/>
          <w:color w:val="333333"/>
          <w:spacing w:val="0"/>
          <w:kern w:val="2"/>
          <w:sz w:val="32"/>
          <w:szCs w:val="32"/>
        </w:rPr>
        <w:t>）社会保障与就业支出</w:t>
      </w:r>
      <w:r>
        <w:rPr>
          <w:rFonts w:hint="default" w:ascii="Times New Roman" w:hAnsi="Times New Roman" w:eastAsia="方正仿宋_GBK" w:cs="Times New Roman"/>
          <w:i w:val="0"/>
          <w:iCs w:val="0"/>
          <w:caps w:val="0"/>
          <w:color w:val="333333"/>
          <w:spacing w:val="0"/>
          <w:kern w:val="2"/>
          <w:sz w:val="32"/>
          <w:szCs w:val="32"/>
        </w:rPr>
        <w:t>14.81</w:t>
      </w:r>
      <w:r>
        <w:rPr>
          <w:rFonts w:hint="eastAsia" w:ascii="方正仿宋_GBK" w:hAnsi="方正仿宋_GBK" w:eastAsia="方正仿宋_GBK" w:cs="方正仿宋_GBK"/>
          <w:i w:val="0"/>
          <w:iCs w:val="0"/>
          <w:caps w:val="0"/>
          <w:color w:val="333333"/>
          <w:spacing w:val="0"/>
          <w:kern w:val="2"/>
          <w:sz w:val="32"/>
          <w:szCs w:val="32"/>
        </w:rPr>
        <w:t>万元，占</w:t>
      </w:r>
      <w:r>
        <w:rPr>
          <w:rFonts w:hint="default" w:ascii="Times New Roman" w:hAnsi="Times New Roman" w:eastAsia="方正仿宋_GBK" w:cs="Times New Roman"/>
          <w:i w:val="0"/>
          <w:iCs w:val="0"/>
          <w:caps w:val="0"/>
          <w:color w:val="333333"/>
          <w:spacing w:val="0"/>
          <w:kern w:val="2"/>
          <w:sz w:val="32"/>
          <w:szCs w:val="32"/>
        </w:rPr>
        <w:t>12.0%</w:t>
      </w:r>
      <w:r>
        <w:rPr>
          <w:rFonts w:hint="eastAsia" w:ascii="方正仿宋_GBK" w:hAnsi="方正仿宋_GBK" w:eastAsia="方正仿宋_GBK" w:cs="方正仿宋_GBK"/>
          <w:i w:val="0"/>
          <w:iCs w:val="0"/>
          <w:caps w:val="0"/>
          <w:color w:val="333333"/>
          <w:spacing w:val="0"/>
          <w:kern w:val="2"/>
          <w:sz w:val="32"/>
          <w:szCs w:val="32"/>
        </w:rPr>
        <w:t>，较年初预算数增加</w:t>
      </w:r>
      <w:r>
        <w:rPr>
          <w:rFonts w:hint="default" w:ascii="Times New Roman" w:hAnsi="Times New Roman" w:eastAsia="方正仿宋_GBK" w:cs="Times New Roman"/>
          <w:i w:val="0"/>
          <w:iCs w:val="0"/>
          <w:caps w:val="0"/>
          <w:color w:val="333333"/>
          <w:spacing w:val="0"/>
          <w:kern w:val="2"/>
          <w:sz w:val="32"/>
          <w:szCs w:val="32"/>
        </w:rPr>
        <w:t>4.77</w:t>
      </w:r>
      <w:r>
        <w:rPr>
          <w:rFonts w:hint="eastAsia" w:ascii="方正仿宋_GBK" w:hAnsi="方正仿宋_GBK" w:eastAsia="方正仿宋_GBK" w:cs="方正仿宋_GBK"/>
          <w:i w:val="0"/>
          <w:iCs w:val="0"/>
          <w:caps w:val="0"/>
          <w:color w:val="333333"/>
          <w:spacing w:val="0"/>
          <w:kern w:val="2"/>
          <w:sz w:val="32"/>
          <w:szCs w:val="32"/>
        </w:rPr>
        <w:t>万元，增长</w:t>
      </w:r>
      <w:r>
        <w:rPr>
          <w:rFonts w:hint="default" w:ascii="Times New Roman" w:hAnsi="Times New Roman" w:eastAsia="方正仿宋_GBK" w:cs="Times New Roman"/>
          <w:i w:val="0"/>
          <w:iCs w:val="0"/>
          <w:caps w:val="0"/>
          <w:color w:val="333333"/>
          <w:spacing w:val="0"/>
          <w:kern w:val="2"/>
          <w:sz w:val="32"/>
          <w:szCs w:val="32"/>
        </w:rPr>
        <w:t>47.5%</w:t>
      </w:r>
      <w:r>
        <w:rPr>
          <w:rFonts w:hint="eastAsia" w:ascii="方正仿宋_GBK" w:hAnsi="方正仿宋_GBK" w:eastAsia="方正仿宋_GBK" w:cs="方正仿宋_GBK"/>
          <w:i w:val="0"/>
          <w:iCs w:val="0"/>
          <w:caps w:val="0"/>
          <w:color w:val="333333"/>
          <w:spacing w:val="0"/>
          <w:kern w:val="2"/>
          <w:sz w:val="32"/>
          <w:szCs w:val="32"/>
        </w:rPr>
        <w:t>，主要原因是保险、公积金基数调整及人员变动。</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w:t>
      </w:r>
      <w:r>
        <w:rPr>
          <w:rFonts w:hint="default" w:ascii="Times New Roman" w:hAnsi="Times New Roman" w:eastAsia="方正仿宋_GBK" w:cs="Times New Roman"/>
          <w:i w:val="0"/>
          <w:iCs w:val="0"/>
          <w:caps w:val="0"/>
          <w:color w:val="333333"/>
          <w:spacing w:val="0"/>
          <w:kern w:val="2"/>
          <w:sz w:val="32"/>
          <w:szCs w:val="32"/>
        </w:rPr>
        <w:t>2</w:t>
      </w:r>
      <w:r>
        <w:rPr>
          <w:rFonts w:hint="eastAsia" w:ascii="方正仿宋_GBK" w:hAnsi="方正仿宋_GBK" w:eastAsia="方正仿宋_GBK" w:cs="方正仿宋_GBK"/>
          <w:i w:val="0"/>
          <w:iCs w:val="0"/>
          <w:caps w:val="0"/>
          <w:color w:val="333333"/>
          <w:spacing w:val="0"/>
          <w:kern w:val="2"/>
          <w:sz w:val="32"/>
          <w:szCs w:val="32"/>
        </w:rPr>
        <w:t>）卫生健康支出</w:t>
      </w:r>
      <w:r>
        <w:rPr>
          <w:rFonts w:hint="default" w:ascii="Times New Roman" w:hAnsi="Times New Roman" w:eastAsia="方正仿宋_GBK" w:cs="Times New Roman"/>
          <w:i w:val="0"/>
          <w:iCs w:val="0"/>
          <w:caps w:val="0"/>
          <w:color w:val="333333"/>
          <w:spacing w:val="0"/>
          <w:kern w:val="2"/>
          <w:sz w:val="32"/>
          <w:szCs w:val="32"/>
        </w:rPr>
        <w:t>5.17</w:t>
      </w:r>
      <w:r>
        <w:rPr>
          <w:rFonts w:hint="eastAsia" w:ascii="方正仿宋_GBK" w:hAnsi="方正仿宋_GBK" w:eastAsia="方正仿宋_GBK" w:cs="方正仿宋_GBK"/>
          <w:i w:val="0"/>
          <w:iCs w:val="0"/>
          <w:caps w:val="0"/>
          <w:color w:val="333333"/>
          <w:spacing w:val="0"/>
          <w:kern w:val="2"/>
          <w:sz w:val="32"/>
          <w:szCs w:val="32"/>
        </w:rPr>
        <w:t>万元，占</w:t>
      </w:r>
      <w:r>
        <w:rPr>
          <w:rFonts w:hint="default" w:ascii="Times New Roman" w:hAnsi="Times New Roman" w:eastAsia="方正仿宋_GBK" w:cs="Times New Roman"/>
          <w:i w:val="0"/>
          <w:iCs w:val="0"/>
          <w:caps w:val="0"/>
          <w:color w:val="333333"/>
          <w:spacing w:val="0"/>
          <w:kern w:val="2"/>
          <w:sz w:val="32"/>
          <w:szCs w:val="32"/>
        </w:rPr>
        <w:t>4.2%</w:t>
      </w:r>
      <w:r>
        <w:rPr>
          <w:rFonts w:hint="eastAsia" w:ascii="方正仿宋_GBK" w:hAnsi="方正仿宋_GBK" w:eastAsia="方正仿宋_GBK" w:cs="方正仿宋_GBK"/>
          <w:i w:val="0"/>
          <w:iCs w:val="0"/>
          <w:caps w:val="0"/>
          <w:color w:val="333333"/>
          <w:spacing w:val="0"/>
          <w:kern w:val="2"/>
          <w:sz w:val="32"/>
          <w:szCs w:val="32"/>
        </w:rPr>
        <w:t>，与年初预算数一致。</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w:t>
      </w:r>
      <w:r>
        <w:rPr>
          <w:rFonts w:hint="default" w:ascii="Times New Roman" w:hAnsi="Times New Roman" w:eastAsia="方正仿宋_GBK" w:cs="Times New Roman"/>
          <w:i w:val="0"/>
          <w:iCs w:val="0"/>
          <w:caps w:val="0"/>
          <w:color w:val="333333"/>
          <w:spacing w:val="0"/>
          <w:kern w:val="2"/>
          <w:sz w:val="32"/>
          <w:szCs w:val="32"/>
        </w:rPr>
        <w:t>3</w:t>
      </w:r>
      <w:r>
        <w:rPr>
          <w:rFonts w:hint="eastAsia" w:ascii="方正仿宋_GBK" w:hAnsi="方正仿宋_GBK" w:eastAsia="方正仿宋_GBK" w:cs="方正仿宋_GBK"/>
          <w:i w:val="0"/>
          <w:iCs w:val="0"/>
          <w:caps w:val="0"/>
          <w:color w:val="333333"/>
          <w:spacing w:val="0"/>
          <w:kern w:val="2"/>
          <w:sz w:val="32"/>
          <w:szCs w:val="32"/>
        </w:rPr>
        <w:t>）农林水支出</w:t>
      </w:r>
      <w:r>
        <w:rPr>
          <w:rFonts w:hint="default" w:ascii="Times New Roman" w:hAnsi="Times New Roman" w:eastAsia="方正仿宋_GBK" w:cs="Times New Roman"/>
          <w:i w:val="0"/>
          <w:iCs w:val="0"/>
          <w:caps w:val="0"/>
          <w:color w:val="333333"/>
          <w:spacing w:val="0"/>
          <w:kern w:val="2"/>
          <w:sz w:val="32"/>
          <w:szCs w:val="32"/>
        </w:rPr>
        <w:t>98.78</w:t>
      </w:r>
      <w:r>
        <w:rPr>
          <w:rFonts w:hint="eastAsia" w:ascii="方正仿宋_GBK" w:hAnsi="方正仿宋_GBK" w:eastAsia="方正仿宋_GBK" w:cs="方正仿宋_GBK"/>
          <w:i w:val="0"/>
          <w:iCs w:val="0"/>
          <w:caps w:val="0"/>
          <w:color w:val="333333"/>
          <w:spacing w:val="0"/>
          <w:kern w:val="2"/>
          <w:sz w:val="32"/>
          <w:szCs w:val="32"/>
        </w:rPr>
        <w:t>万元，占</w:t>
      </w:r>
      <w:r>
        <w:rPr>
          <w:rFonts w:hint="default" w:ascii="Times New Roman" w:hAnsi="Times New Roman" w:eastAsia="方正仿宋_GBK" w:cs="Times New Roman"/>
          <w:i w:val="0"/>
          <w:iCs w:val="0"/>
          <w:caps w:val="0"/>
          <w:color w:val="333333"/>
          <w:spacing w:val="0"/>
          <w:kern w:val="2"/>
          <w:sz w:val="32"/>
          <w:szCs w:val="32"/>
        </w:rPr>
        <w:t>79.8%</w:t>
      </w:r>
      <w:r>
        <w:rPr>
          <w:rFonts w:hint="eastAsia" w:ascii="方正仿宋_GBK" w:hAnsi="方正仿宋_GBK" w:eastAsia="方正仿宋_GBK" w:cs="方正仿宋_GBK"/>
          <w:i w:val="0"/>
          <w:iCs w:val="0"/>
          <w:caps w:val="0"/>
          <w:color w:val="333333"/>
          <w:spacing w:val="0"/>
          <w:kern w:val="2"/>
          <w:sz w:val="32"/>
          <w:szCs w:val="32"/>
        </w:rPr>
        <w:t>，较年初预算数增加</w:t>
      </w:r>
      <w:r>
        <w:rPr>
          <w:rFonts w:hint="default" w:ascii="Times New Roman" w:hAnsi="Times New Roman" w:eastAsia="方正仿宋_GBK" w:cs="Times New Roman"/>
          <w:i w:val="0"/>
          <w:iCs w:val="0"/>
          <w:caps w:val="0"/>
          <w:color w:val="333333"/>
          <w:spacing w:val="0"/>
          <w:kern w:val="2"/>
          <w:sz w:val="32"/>
          <w:szCs w:val="32"/>
        </w:rPr>
        <w:t>27.99</w:t>
      </w:r>
      <w:r>
        <w:rPr>
          <w:rFonts w:hint="eastAsia" w:ascii="方正仿宋_GBK" w:hAnsi="方正仿宋_GBK" w:eastAsia="方正仿宋_GBK" w:cs="方正仿宋_GBK"/>
          <w:i w:val="0"/>
          <w:iCs w:val="0"/>
          <w:caps w:val="0"/>
          <w:color w:val="333333"/>
          <w:spacing w:val="0"/>
          <w:kern w:val="2"/>
          <w:sz w:val="32"/>
          <w:szCs w:val="32"/>
        </w:rPr>
        <w:t>万元，增长</w:t>
      </w:r>
      <w:r>
        <w:rPr>
          <w:rFonts w:hint="default" w:ascii="Times New Roman" w:hAnsi="Times New Roman" w:eastAsia="方正仿宋_GBK" w:cs="Times New Roman"/>
          <w:i w:val="0"/>
          <w:iCs w:val="0"/>
          <w:caps w:val="0"/>
          <w:color w:val="333333"/>
          <w:spacing w:val="0"/>
          <w:kern w:val="2"/>
          <w:sz w:val="32"/>
          <w:szCs w:val="32"/>
        </w:rPr>
        <w:t>39.5%</w:t>
      </w: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eastAsia="zh-CN"/>
        </w:rPr>
        <w:t>主要原因是</w:t>
      </w:r>
      <w:r>
        <w:rPr>
          <w:rFonts w:hint="eastAsia" w:ascii="方正仿宋_GBK" w:hAnsi="方正仿宋_GBK" w:eastAsia="方正仿宋_GBK" w:cs="方正仿宋_GBK"/>
          <w:i w:val="0"/>
          <w:iCs w:val="0"/>
          <w:caps w:val="0"/>
          <w:color w:val="333333"/>
          <w:spacing w:val="0"/>
          <w:kern w:val="2"/>
          <w:sz w:val="32"/>
          <w:szCs w:val="32"/>
        </w:rPr>
        <w:t>津补贴政策调整，基本支出增加。</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w:t>
      </w:r>
      <w:r>
        <w:rPr>
          <w:rFonts w:hint="default" w:ascii="Times New Roman" w:hAnsi="Times New Roman" w:eastAsia="方正仿宋_GBK" w:cs="Times New Roman"/>
          <w:i w:val="0"/>
          <w:iCs w:val="0"/>
          <w:caps w:val="0"/>
          <w:color w:val="333333"/>
          <w:spacing w:val="0"/>
          <w:kern w:val="2"/>
          <w:sz w:val="32"/>
          <w:szCs w:val="32"/>
        </w:rPr>
        <w:t>4</w:t>
      </w:r>
      <w:r>
        <w:rPr>
          <w:rFonts w:hint="eastAsia" w:ascii="方正仿宋_GBK" w:hAnsi="方正仿宋_GBK" w:eastAsia="方正仿宋_GBK" w:cs="方正仿宋_GBK"/>
          <w:i w:val="0"/>
          <w:iCs w:val="0"/>
          <w:caps w:val="0"/>
          <w:color w:val="333333"/>
          <w:spacing w:val="0"/>
          <w:kern w:val="2"/>
          <w:sz w:val="32"/>
          <w:szCs w:val="32"/>
        </w:rPr>
        <w:t>）住房保障支出</w:t>
      </w:r>
      <w:r>
        <w:rPr>
          <w:rFonts w:hint="default" w:ascii="Times New Roman" w:hAnsi="Times New Roman" w:eastAsia="方正仿宋_GBK" w:cs="Times New Roman"/>
          <w:i w:val="0"/>
          <w:iCs w:val="0"/>
          <w:caps w:val="0"/>
          <w:color w:val="333333"/>
          <w:spacing w:val="0"/>
          <w:kern w:val="2"/>
          <w:sz w:val="32"/>
          <w:szCs w:val="32"/>
        </w:rPr>
        <w:t>5.02</w:t>
      </w:r>
      <w:r>
        <w:rPr>
          <w:rFonts w:hint="eastAsia" w:ascii="方正仿宋_GBK" w:hAnsi="方正仿宋_GBK" w:eastAsia="方正仿宋_GBK" w:cs="方正仿宋_GBK"/>
          <w:i w:val="0"/>
          <w:iCs w:val="0"/>
          <w:caps w:val="0"/>
          <w:color w:val="333333"/>
          <w:spacing w:val="0"/>
          <w:kern w:val="2"/>
          <w:sz w:val="32"/>
          <w:szCs w:val="32"/>
        </w:rPr>
        <w:t>万元，占</w:t>
      </w:r>
      <w:r>
        <w:rPr>
          <w:rFonts w:hint="default" w:ascii="Times New Roman" w:hAnsi="Times New Roman" w:eastAsia="方正仿宋_GBK" w:cs="Times New Roman"/>
          <w:i w:val="0"/>
          <w:iCs w:val="0"/>
          <w:caps w:val="0"/>
          <w:color w:val="333333"/>
          <w:spacing w:val="0"/>
          <w:kern w:val="2"/>
          <w:sz w:val="32"/>
          <w:szCs w:val="32"/>
        </w:rPr>
        <w:t>4.0%</w:t>
      </w:r>
      <w:r>
        <w:rPr>
          <w:rFonts w:hint="eastAsia" w:ascii="方正仿宋_GBK" w:hAnsi="方正仿宋_GBK" w:eastAsia="方正仿宋_GBK" w:cs="方正仿宋_GBK"/>
          <w:i w:val="0"/>
          <w:iCs w:val="0"/>
          <w:caps w:val="0"/>
          <w:color w:val="333333"/>
          <w:spacing w:val="0"/>
          <w:kern w:val="2"/>
          <w:sz w:val="32"/>
          <w:szCs w:val="32"/>
        </w:rPr>
        <w:t>，与年初预算数增一致。</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9"/>
          <w:rFonts w:hint="eastAsia" w:ascii="方正楷体_GBK" w:hAnsi="方正楷体_GBK" w:eastAsia="方正楷体_GBK" w:cs="方正楷体_GBK"/>
          <w:b/>
          <w:bCs w:val="0"/>
          <w:sz w:val="32"/>
          <w:szCs w:val="32"/>
          <w:shd w:val="clear" w:fill="FFFFFF"/>
        </w:rPr>
        <w:t>（四）一般公共预算财政拨款基本支出决算情况说明</w:t>
      </w:r>
    </w:p>
    <w:p>
      <w:pPr>
        <w:pStyle w:val="1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atLeast"/>
        <w:ind w:left="0" w:leftChars="0" w:right="0" w:rightChars="0" w:firstLine="640" w:firstLineChars="200"/>
        <w:jc w:val="both"/>
        <w:textAlignment w:val="auto"/>
        <w:rPr>
          <w:rFonts w:hint="eastAsia" w:ascii="宋体" w:hAnsi="宋体" w:eastAsia="宋体" w:cs="宋体"/>
          <w:kern w:val="0"/>
          <w:sz w:val="24"/>
          <w:szCs w:val="24"/>
        </w:rPr>
      </w:pP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年度一般公共预算财政拨款基本支出</w:t>
      </w:r>
      <w:r>
        <w:rPr>
          <w:rFonts w:hint="default" w:ascii="Times New Roman" w:hAnsi="Times New Roman" w:eastAsia="方正仿宋_GBK" w:cs="Times New Roman"/>
          <w:i w:val="0"/>
          <w:iCs w:val="0"/>
          <w:caps w:val="0"/>
          <w:color w:val="333333"/>
          <w:spacing w:val="0"/>
          <w:kern w:val="2"/>
          <w:sz w:val="32"/>
          <w:szCs w:val="32"/>
        </w:rPr>
        <w:t>123.79</w:t>
      </w:r>
      <w:r>
        <w:rPr>
          <w:rFonts w:hint="eastAsia" w:ascii="方正仿宋_GBK" w:hAnsi="方正仿宋_GBK" w:eastAsia="方正仿宋_GBK" w:cs="方正仿宋_GBK"/>
          <w:i w:val="0"/>
          <w:iCs w:val="0"/>
          <w:caps w:val="0"/>
          <w:color w:val="333333"/>
          <w:spacing w:val="0"/>
          <w:kern w:val="2"/>
          <w:sz w:val="32"/>
          <w:szCs w:val="32"/>
        </w:rPr>
        <w:t>万元。其中：人员经费</w:t>
      </w:r>
      <w:r>
        <w:rPr>
          <w:rFonts w:hint="default" w:ascii="Times New Roman" w:hAnsi="Times New Roman" w:eastAsia="方正仿宋_GBK" w:cs="Times New Roman"/>
          <w:i w:val="0"/>
          <w:iCs w:val="0"/>
          <w:caps w:val="0"/>
          <w:color w:val="333333"/>
          <w:spacing w:val="0"/>
          <w:kern w:val="2"/>
          <w:sz w:val="32"/>
          <w:szCs w:val="32"/>
        </w:rPr>
        <w:t>99.78</w:t>
      </w:r>
      <w:r>
        <w:rPr>
          <w:rFonts w:hint="eastAsia" w:ascii="方正仿宋_GBK" w:hAnsi="方正仿宋_GBK" w:eastAsia="方正仿宋_GBK" w:cs="方正仿宋_GBK"/>
          <w:i w:val="0"/>
          <w:iCs w:val="0"/>
          <w:caps w:val="0"/>
          <w:color w:val="333333"/>
          <w:spacing w:val="0"/>
          <w:kern w:val="2"/>
          <w:sz w:val="32"/>
          <w:szCs w:val="32"/>
        </w:rPr>
        <w:t>万元，较上年决算数增加</w:t>
      </w:r>
      <w:r>
        <w:rPr>
          <w:rFonts w:hint="default" w:ascii="Times New Roman" w:hAnsi="Times New Roman" w:eastAsia="方正仿宋_GBK" w:cs="Times New Roman"/>
          <w:i w:val="0"/>
          <w:iCs w:val="0"/>
          <w:caps w:val="0"/>
          <w:color w:val="333333"/>
          <w:spacing w:val="0"/>
          <w:kern w:val="2"/>
          <w:sz w:val="32"/>
          <w:szCs w:val="32"/>
        </w:rPr>
        <w:t>99.78</w:t>
      </w:r>
      <w:r>
        <w:rPr>
          <w:rFonts w:hint="eastAsia" w:ascii="方正仿宋_GBK" w:hAnsi="方正仿宋_GBK" w:eastAsia="方正仿宋_GBK" w:cs="方正仿宋_GBK"/>
          <w:i w:val="0"/>
          <w:iCs w:val="0"/>
          <w:caps w:val="0"/>
          <w:color w:val="333333"/>
          <w:spacing w:val="0"/>
          <w:kern w:val="2"/>
          <w:sz w:val="32"/>
          <w:szCs w:val="32"/>
        </w:rPr>
        <w:t>万元，增长</w:t>
      </w:r>
      <w:r>
        <w:rPr>
          <w:rFonts w:hint="eastAsia" w:ascii="Times New Roman" w:hAnsi="Times New Roman" w:eastAsia="方正仿宋_GBK" w:cs="Times New Roman"/>
          <w:i w:val="0"/>
          <w:iCs w:val="0"/>
          <w:caps w:val="0"/>
          <w:color w:val="333333"/>
          <w:spacing w:val="0"/>
          <w:kern w:val="2"/>
          <w:sz w:val="32"/>
          <w:szCs w:val="32"/>
          <w:lang w:eastAsia="zh-CN"/>
        </w:rPr>
        <w:t>100.0%</w:t>
      </w:r>
      <w:r>
        <w:rPr>
          <w:rFonts w:hint="eastAsia" w:ascii="方正仿宋_GBK" w:hAnsi="方正仿宋_GBK" w:eastAsia="方正仿宋_GBK" w:cs="方正仿宋_GBK"/>
          <w:i w:val="0"/>
          <w:iCs w:val="0"/>
          <w:caps w:val="0"/>
          <w:color w:val="333333"/>
          <w:spacing w:val="0"/>
          <w:kern w:val="2"/>
          <w:sz w:val="32"/>
          <w:szCs w:val="32"/>
        </w:rPr>
        <w:t>，主要原因是本单位在2021年及以前年度与农林局机关、农业技术推广站等9个单位合并记账，2022年开始独立填报决算，无上年决算数据。人员经费用途主要包括人员工资、社保、公积金等。公用经费</w:t>
      </w:r>
      <w:r>
        <w:rPr>
          <w:rFonts w:hint="default" w:ascii="Times New Roman" w:hAnsi="Times New Roman" w:eastAsia="方正仿宋_GBK" w:cs="Times New Roman"/>
          <w:i w:val="0"/>
          <w:iCs w:val="0"/>
          <w:caps w:val="0"/>
          <w:color w:val="333333"/>
          <w:spacing w:val="0"/>
          <w:kern w:val="2"/>
          <w:sz w:val="32"/>
          <w:szCs w:val="32"/>
        </w:rPr>
        <w:t>24.01</w:t>
      </w:r>
      <w:r>
        <w:rPr>
          <w:rFonts w:hint="eastAsia" w:ascii="方正仿宋_GBK" w:hAnsi="方正仿宋_GBK" w:eastAsia="方正仿宋_GBK" w:cs="方正仿宋_GBK"/>
          <w:i w:val="0"/>
          <w:iCs w:val="0"/>
          <w:caps w:val="0"/>
          <w:color w:val="333333"/>
          <w:spacing w:val="0"/>
          <w:kern w:val="2"/>
          <w:sz w:val="32"/>
          <w:szCs w:val="32"/>
        </w:rPr>
        <w:t>万元，较上年决算数增加</w:t>
      </w:r>
      <w:r>
        <w:rPr>
          <w:rFonts w:hint="default" w:ascii="Times New Roman" w:hAnsi="Times New Roman" w:eastAsia="方正仿宋_GBK" w:cs="Times New Roman"/>
          <w:i w:val="0"/>
          <w:iCs w:val="0"/>
          <w:caps w:val="0"/>
          <w:color w:val="333333"/>
          <w:spacing w:val="0"/>
          <w:kern w:val="2"/>
          <w:sz w:val="32"/>
          <w:szCs w:val="32"/>
        </w:rPr>
        <w:t>24.01</w:t>
      </w:r>
      <w:r>
        <w:rPr>
          <w:rFonts w:hint="eastAsia" w:ascii="方正仿宋_GBK" w:hAnsi="方正仿宋_GBK" w:eastAsia="方正仿宋_GBK" w:cs="方正仿宋_GBK"/>
          <w:i w:val="0"/>
          <w:iCs w:val="0"/>
          <w:caps w:val="0"/>
          <w:color w:val="333333"/>
          <w:spacing w:val="0"/>
          <w:kern w:val="2"/>
          <w:sz w:val="32"/>
          <w:szCs w:val="32"/>
        </w:rPr>
        <w:t>万元，增长</w:t>
      </w:r>
      <w:r>
        <w:rPr>
          <w:rFonts w:hint="eastAsia" w:ascii="Times New Roman" w:hAnsi="Times New Roman" w:eastAsia="方正仿宋_GBK" w:cs="Times New Roman"/>
          <w:i w:val="0"/>
          <w:iCs w:val="0"/>
          <w:caps w:val="0"/>
          <w:color w:val="333333"/>
          <w:spacing w:val="0"/>
          <w:kern w:val="2"/>
          <w:sz w:val="32"/>
          <w:szCs w:val="32"/>
          <w:lang w:eastAsia="zh-CN"/>
        </w:rPr>
        <w:t>100.0%</w:t>
      </w:r>
      <w:r>
        <w:rPr>
          <w:rFonts w:hint="eastAsia" w:ascii="方正仿宋_GBK" w:hAnsi="方正仿宋_GBK" w:eastAsia="方正仿宋_GBK" w:cs="方正仿宋_GBK"/>
          <w:i w:val="0"/>
          <w:iCs w:val="0"/>
          <w:caps w:val="0"/>
          <w:color w:val="333333"/>
          <w:spacing w:val="0"/>
          <w:kern w:val="2"/>
          <w:sz w:val="32"/>
          <w:szCs w:val="32"/>
        </w:rPr>
        <w:t>，主要原因是本单位在2021年及以前年度与农林局机关、农业技术推广站等9个单位合并记账，2022年开始独立填报决算，无上年决算数据。公用经费用途主要包括机关水、电、气、日常办公费、印刷费、办公费、等日常公用开支。</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9"/>
          <w:rFonts w:hint="eastAsia" w:ascii="方正楷体_GBK" w:hAnsi="方正楷体_GBK" w:eastAsia="方正楷体_GBK" w:cs="方正楷体_GBK"/>
          <w:b/>
          <w:bCs w:val="0"/>
          <w:sz w:val="32"/>
          <w:szCs w:val="32"/>
          <w:shd w:val="clear" w:fill="FFFFFF"/>
        </w:rPr>
        <w:t>（五）政府性基金预算收支决算情况说明。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w:t>
      </w: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年度无政府性基金预算财政拨款收支。</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9"/>
          <w:rFonts w:hint="eastAsia" w:ascii="方正楷体_GBK" w:hAnsi="方正楷体_GBK" w:eastAsia="方正楷体_GBK" w:cs="方正楷体_GBK"/>
          <w:b/>
          <w:bCs w:val="0"/>
          <w:sz w:val="32"/>
          <w:szCs w:val="32"/>
          <w:shd w:val="clear" w:fill="FFFFFF"/>
        </w:rPr>
        <w:t>（六）国有资本经营预算财政拨款支出决算情况说明。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w:t>
      </w: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年度无国有资本经营预算财政拨款支出。</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黑体_GBK" w:hAnsi="方正黑体_GBK" w:eastAsia="方正黑体_GBK" w:cs="方正黑体_GBK"/>
          <w:b/>
          <w:bCs w:val="0"/>
          <w:kern w:val="0"/>
          <w:sz w:val="32"/>
          <w:szCs w:val="32"/>
          <w:shd w:val="clear" w:fill="FFFFFF"/>
        </w:rPr>
      </w:pPr>
      <w:r>
        <w:rPr>
          <w:rStyle w:val="19"/>
          <w:rFonts w:hint="eastAsia" w:ascii="方正黑体_GBK" w:hAnsi="方正黑体_GBK" w:eastAsia="方正黑体_GBK" w:cs="方正黑体_GBK"/>
          <w:b/>
          <w:bCs w:val="0"/>
          <w:sz w:val="32"/>
          <w:szCs w:val="32"/>
          <w:shd w:val="clear" w:fill="FFFFFF"/>
        </w:rPr>
        <w:t>三、“三公”经费情况说明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9"/>
          <w:rFonts w:hint="eastAsia" w:ascii="方正楷体_GBK" w:hAnsi="方正楷体_GBK" w:eastAsia="方正楷体_GBK" w:cs="方正楷体_GBK"/>
          <w:b/>
          <w:bCs w:val="0"/>
          <w:sz w:val="32"/>
          <w:szCs w:val="32"/>
          <w:shd w:val="clear" w:fill="FFFFFF"/>
        </w:rPr>
        <w:t>（一）“三公”经费支出总体情况说明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年度“三公”经费支出共计</w:t>
      </w:r>
      <w:r>
        <w:rPr>
          <w:rFonts w:hint="default" w:ascii="Times New Roman" w:hAnsi="Times New Roman" w:eastAsia="方正仿宋_GBK" w:cs="Times New Roman"/>
          <w:i w:val="0"/>
          <w:iCs w:val="0"/>
          <w:caps w:val="0"/>
          <w:color w:val="333333"/>
          <w:spacing w:val="0"/>
          <w:kern w:val="2"/>
          <w:sz w:val="32"/>
          <w:szCs w:val="32"/>
        </w:rPr>
        <w:t>0.25</w:t>
      </w:r>
      <w:r>
        <w:rPr>
          <w:rFonts w:hint="eastAsia" w:ascii="方正仿宋_GBK" w:hAnsi="方正仿宋_GBK" w:eastAsia="方正仿宋_GBK" w:cs="方正仿宋_GBK"/>
          <w:i w:val="0"/>
          <w:iCs w:val="0"/>
          <w:caps w:val="0"/>
          <w:color w:val="333333"/>
          <w:spacing w:val="0"/>
          <w:kern w:val="2"/>
          <w:sz w:val="32"/>
          <w:szCs w:val="32"/>
        </w:rPr>
        <w:t>万元，</w:t>
      </w:r>
      <w:r>
        <w:rPr>
          <w:rFonts w:hint="eastAsia" w:ascii="方正仿宋_GBK" w:hAnsi="方正仿宋_GBK" w:eastAsia="方正仿宋_GBK" w:cs="方正仿宋_GBK"/>
          <w:i w:val="0"/>
          <w:iCs w:val="0"/>
          <w:caps w:val="0"/>
          <w:color w:val="333333"/>
          <w:spacing w:val="0"/>
          <w:kern w:val="2"/>
          <w:sz w:val="32"/>
          <w:szCs w:val="32"/>
          <w:lang w:eastAsia="zh-CN"/>
        </w:rPr>
        <w:t>与</w:t>
      </w:r>
      <w:r>
        <w:rPr>
          <w:rFonts w:hint="eastAsia" w:ascii="方正仿宋_GBK" w:hAnsi="方正仿宋_GBK" w:eastAsia="方正仿宋_GBK" w:cs="方正仿宋_GBK"/>
          <w:i w:val="0"/>
          <w:iCs w:val="0"/>
          <w:caps w:val="0"/>
          <w:color w:val="333333"/>
          <w:spacing w:val="0"/>
          <w:kern w:val="2"/>
          <w:sz w:val="32"/>
          <w:szCs w:val="32"/>
        </w:rPr>
        <w:t>年初预算数</w:t>
      </w:r>
      <w:r>
        <w:rPr>
          <w:rFonts w:hint="eastAsia" w:ascii="方正仿宋_GBK" w:hAnsi="方正仿宋_GBK" w:eastAsia="方正仿宋_GBK" w:cs="方正仿宋_GBK"/>
          <w:i w:val="0"/>
          <w:iCs w:val="0"/>
          <w:caps w:val="0"/>
          <w:color w:val="333333"/>
          <w:spacing w:val="0"/>
          <w:kern w:val="2"/>
          <w:sz w:val="32"/>
          <w:szCs w:val="32"/>
          <w:lang w:eastAsia="zh-CN"/>
        </w:rPr>
        <w:t>一致</w:t>
      </w:r>
      <w:r>
        <w:rPr>
          <w:rFonts w:hint="eastAsia" w:ascii="方正仿宋_GBK" w:hAnsi="方正仿宋_GBK" w:eastAsia="方正仿宋_GBK" w:cs="方正仿宋_GBK"/>
          <w:i w:val="0"/>
          <w:iCs w:val="0"/>
          <w:caps w:val="0"/>
          <w:color w:val="333333"/>
          <w:spacing w:val="0"/>
          <w:kern w:val="2"/>
          <w:sz w:val="32"/>
          <w:szCs w:val="32"/>
        </w:rPr>
        <w:t>。较上年支出数增加</w:t>
      </w:r>
      <w:r>
        <w:rPr>
          <w:rFonts w:hint="default" w:ascii="Times New Roman" w:hAnsi="Times New Roman" w:eastAsia="方正仿宋_GBK" w:cs="Times New Roman"/>
          <w:i w:val="0"/>
          <w:iCs w:val="0"/>
          <w:caps w:val="0"/>
          <w:color w:val="333333"/>
          <w:spacing w:val="0"/>
          <w:kern w:val="2"/>
          <w:sz w:val="32"/>
          <w:szCs w:val="32"/>
        </w:rPr>
        <w:t>0.25</w:t>
      </w:r>
      <w:r>
        <w:rPr>
          <w:rFonts w:hint="eastAsia" w:ascii="方正仿宋_GBK" w:hAnsi="方正仿宋_GBK" w:eastAsia="方正仿宋_GBK" w:cs="方正仿宋_GBK"/>
          <w:i w:val="0"/>
          <w:iCs w:val="0"/>
          <w:caps w:val="0"/>
          <w:color w:val="333333"/>
          <w:spacing w:val="0"/>
          <w:kern w:val="2"/>
          <w:sz w:val="32"/>
          <w:szCs w:val="32"/>
        </w:rPr>
        <w:t>万元，增长</w:t>
      </w:r>
      <w:r>
        <w:rPr>
          <w:rFonts w:hint="eastAsia" w:ascii="Times New Roman" w:hAnsi="Times New Roman" w:eastAsia="方正仿宋_GBK" w:cs="Times New Roman"/>
          <w:i w:val="0"/>
          <w:iCs w:val="0"/>
          <w:caps w:val="0"/>
          <w:color w:val="333333"/>
          <w:spacing w:val="0"/>
          <w:kern w:val="2"/>
          <w:sz w:val="32"/>
          <w:szCs w:val="32"/>
          <w:lang w:eastAsia="zh-CN"/>
        </w:rPr>
        <w:t>100.0%</w:t>
      </w:r>
      <w:r>
        <w:rPr>
          <w:rFonts w:hint="eastAsia" w:ascii="方正仿宋_GBK" w:hAnsi="方正仿宋_GBK" w:eastAsia="方正仿宋_GBK" w:cs="方正仿宋_GBK"/>
          <w:i w:val="0"/>
          <w:iCs w:val="0"/>
          <w:caps w:val="0"/>
          <w:color w:val="333333"/>
          <w:spacing w:val="0"/>
          <w:kern w:val="2"/>
          <w:sz w:val="32"/>
          <w:szCs w:val="32"/>
        </w:rPr>
        <w:t>，主要原因是本单位在2021年及以前年度与农林局机关、农业技术推广站等9个单位合并记账，2022年开始独立填报决算，无上年决算数据。</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9"/>
          <w:rFonts w:hint="eastAsia" w:ascii="方正楷体_GBK" w:hAnsi="方正楷体_GBK" w:eastAsia="方正楷体_GBK" w:cs="方正楷体_GBK"/>
          <w:b/>
          <w:bCs w:val="0"/>
          <w:sz w:val="32"/>
          <w:szCs w:val="32"/>
          <w:shd w:val="clear" w:fill="FFFFFF"/>
        </w:rPr>
        <w:t>（二）“三公”经费分项支出情况</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年度本单位无因公出国（境）费用，公务车购置费，公务车运行维护费支出。</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公务接待费</w:t>
      </w:r>
      <w:r>
        <w:rPr>
          <w:rFonts w:hint="default" w:ascii="Times New Roman" w:hAnsi="Times New Roman" w:eastAsia="方正仿宋_GBK" w:cs="Times New Roman"/>
          <w:i w:val="0"/>
          <w:iCs w:val="0"/>
          <w:caps w:val="0"/>
          <w:color w:val="333333"/>
          <w:spacing w:val="0"/>
          <w:kern w:val="2"/>
          <w:sz w:val="32"/>
          <w:szCs w:val="32"/>
        </w:rPr>
        <w:t>0.25</w:t>
      </w:r>
      <w:r>
        <w:rPr>
          <w:rFonts w:hint="eastAsia" w:ascii="方正仿宋_GBK" w:hAnsi="方正仿宋_GBK" w:eastAsia="方正仿宋_GBK" w:cs="方正仿宋_GBK"/>
          <w:i w:val="0"/>
          <w:iCs w:val="0"/>
          <w:caps w:val="0"/>
          <w:color w:val="333333"/>
          <w:spacing w:val="0"/>
          <w:kern w:val="2"/>
          <w:sz w:val="32"/>
          <w:szCs w:val="32"/>
        </w:rPr>
        <w:t>万元，主要用于接待上级部门检查工作用餐和接待招商引资企业用餐。费用支出与年初预算数</w:t>
      </w:r>
      <w:r>
        <w:rPr>
          <w:rFonts w:hint="eastAsia" w:ascii="方正仿宋_GBK" w:hAnsi="方正仿宋_GBK" w:eastAsia="方正仿宋_GBK" w:cs="方正仿宋_GBK"/>
          <w:i w:val="0"/>
          <w:iCs w:val="0"/>
          <w:caps w:val="0"/>
          <w:color w:val="333333"/>
          <w:spacing w:val="0"/>
          <w:kern w:val="2"/>
          <w:sz w:val="32"/>
          <w:szCs w:val="32"/>
          <w:lang w:eastAsia="zh-CN"/>
        </w:rPr>
        <w:t>一致</w:t>
      </w:r>
      <w:r>
        <w:rPr>
          <w:rFonts w:hint="eastAsia" w:ascii="方正仿宋_GBK" w:hAnsi="方正仿宋_GBK" w:eastAsia="方正仿宋_GBK" w:cs="方正仿宋_GBK"/>
          <w:i w:val="0"/>
          <w:iCs w:val="0"/>
          <w:caps w:val="0"/>
          <w:color w:val="333333"/>
          <w:spacing w:val="0"/>
          <w:kern w:val="2"/>
          <w:sz w:val="32"/>
          <w:szCs w:val="32"/>
        </w:rPr>
        <w:t>，主要原因是严格按照年初预算执行。较上年支出数增加</w:t>
      </w:r>
      <w:r>
        <w:rPr>
          <w:rFonts w:hint="default" w:ascii="Times New Roman" w:hAnsi="Times New Roman" w:eastAsia="方正仿宋_GBK" w:cs="Times New Roman"/>
          <w:i w:val="0"/>
          <w:iCs w:val="0"/>
          <w:caps w:val="0"/>
          <w:color w:val="333333"/>
          <w:spacing w:val="0"/>
          <w:kern w:val="2"/>
          <w:sz w:val="32"/>
          <w:szCs w:val="32"/>
        </w:rPr>
        <w:t>0.25</w:t>
      </w:r>
      <w:r>
        <w:rPr>
          <w:rFonts w:hint="eastAsia" w:ascii="方正仿宋_GBK" w:hAnsi="方正仿宋_GBK" w:eastAsia="方正仿宋_GBK" w:cs="方正仿宋_GBK"/>
          <w:i w:val="0"/>
          <w:iCs w:val="0"/>
          <w:caps w:val="0"/>
          <w:color w:val="333333"/>
          <w:spacing w:val="0"/>
          <w:kern w:val="2"/>
          <w:sz w:val="32"/>
          <w:szCs w:val="32"/>
        </w:rPr>
        <w:t>万元，增长</w:t>
      </w:r>
      <w:r>
        <w:rPr>
          <w:rFonts w:hint="eastAsia" w:ascii="Times New Roman" w:hAnsi="Times New Roman" w:eastAsia="方正仿宋_GBK" w:cs="Times New Roman"/>
          <w:i w:val="0"/>
          <w:iCs w:val="0"/>
          <w:caps w:val="0"/>
          <w:color w:val="333333"/>
          <w:spacing w:val="0"/>
          <w:kern w:val="2"/>
          <w:sz w:val="32"/>
          <w:szCs w:val="32"/>
          <w:lang w:eastAsia="zh-CN"/>
        </w:rPr>
        <w:t>100.0%</w:t>
      </w:r>
      <w:r>
        <w:rPr>
          <w:rFonts w:hint="eastAsia" w:ascii="方正仿宋_GBK" w:hAnsi="方正仿宋_GBK" w:eastAsia="方正仿宋_GBK" w:cs="方正仿宋_GBK"/>
          <w:i w:val="0"/>
          <w:iCs w:val="0"/>
          <w:caps w:val="0"/>
          <w:color w:val="333333"/>
          <w:spacing w:val="0"/>
          <w:kern w:val="2"/>
          <w:sz w:val="32"/>
          <w:szCs w:val="32"/>
        </w:rPr>
        <w:t>，主要原因是本单位在2021年及以前年度与农林局机关、农业技术推广站等9个单位合并记账，2022年开始独立填报决算，无上年决算数据。</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9"/>
          <w:rFonts w:hint="eastAsia" w:ascii="方正楷体_GBK" w:hAnsi="方正楷体_GBK" w:eastAsia="方正楷体_GBK" w:cs="方正楷体_GBK"/>
          <w:b/>
          <w:bCs w:val="0"/>
          <w:sz w:val="32"/>
          <w:szCs w:val="32"/>
          <w:shd w:val="clear" w:fill="FFFFFF"/>
        </w:rPr>
        <w:t>（三）“三公”经费实物量情况</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年度本单位因公出国（境）共计</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个团组，</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人；公务用车购置</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辆，公务车保有量为</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辆；国内公务接待</w:t>
      </w:r>
      <w:r>
        <w:rPr>
          <w:rFonts w:hint="default" w:ascii="Times New Roman" w:hAnsi="Times New Roman" w:eastAsia="方正仿宋_GBK" w:cs="Times New Roman"/>
          <w:i w:val="0"/>
          <w:iCs w:val="0"/>
          <w:caps w:val="0"/>
          <w:color w:val="333333"/>
          <w:spacing w:val="0"/>
          <w:kern w:val="2"/>
          <w:sz w:val="32"/>
          <w:szCs w:val="32"/>
        </w:rPr>
        <w:t>5</w:t>
      </w:r>
      <w:r>
        <w:rPr>
          <w:rFonts w:hint="eastAsia" w:ascii="方正仿宋_GBK" w:hAnsi="方正仿宋_GBK" w:eastAsia="方正仿宋_GBK" w:cs="方正仿宋_GBK"/>
          <w:i w:val="0"/>
          <w:iCs w:val="0"/>
          <w:caps w:val="0"/>
          <w:color w:val="333333"/>
          <w:spacing w:val="0"/>
          <w:kern w:val="2"/>
          <w:sz w:val="32"/>
          <w:szCs w:val="32"/>
        </w:rPr>
        <w:t>批次</w:t>
      </w:r>
      <w:r>
        <w:rPr>
          <w:rFonts w:hint="default" w:ascii="Times New Roman" w:hAnsi="Times New Roman" w:eastAsia="方正仿宋_GBK" w:cs="Times New Roman"/>
          <w:i w:val="0"/>
          <w:iCs w:val="0"/>
          <w:caps w:val="0"/>
          <w:color w:val="333333"/>
          <w:spacing w:val="0"/>
          <w:kern w:val="2"/>
          <w:sz w:val="32"/>
          <w:szCs w:val="32"/>
        </w:rPr>
        <w:t>30</w:t>
      </w:r>
      <w:r>
        <w:rPr>
          <w:rFonts w:hint="eastAsia" w:ascii="方正仿宋_GBK" w:hAnsi="方正仿宋_GBK" w:eastAsia="方正仿宋_GBK" w:cs="方正仿宋_GBK"/>
          <w:i w:val="0"/>
          <w:iCs w:val="0"/>
          <w:caps w:val="0"/>
          <w:color w:val="333333"/>
          <w:spacing w:val="0"/>
          <w:kern w:val="2"/>
          <w:sz w:val="32"/>
          <w:szCs w:val="32"/>
        </w:rPr>
        <w:t>人，其中：国内外事接待</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批次，</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人；国（境）外公务接待</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批次，</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人。</w:t>
      </w: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年本单位人均接待费</w:t>
      </w:r>
      <w:r>
        <w:rPr>
          <w:rFonts w:hint="default" w:ascii="Times New Roman" w:hAnsi="Times New Roman" w:eastAsia="方正仿宋_GBK" w:cs="Times New Roman"/>
          <w:i w:val="0"/>
          <w:iCs w:val="0"/>
          <w:caps w:val="0"/>
          <w:color w:val="333333"/>
          <w:spacing w:val="0"/>
          <w:kern w:val="2"/>
          <w:sz w:val="32"/>
          <w:szCs w:val="32"/>
        </w:rPr>
        <w:t>83.33</w:t>
      </w:r>
      <w:r>
        <w:rPr>
          <w:rFonts w:hint="eastAsia" w:ascii="方正仿宋_GBK" w:hAnsi="方正仿宋_GBK" w:eastAsia="方正仿宋_GBK" w:cs="方正仿宋_GBK"/>
          <w:i w:val="0"/>
          <w:iCs w:val="0"/>
          <w:caps w:val="0"/>
          <w:color w:val="333333"/>
          <w:spacing w:val="0"/>
          <w:kern w:val="2"/>
          <w:sz w:val="32"/>
          <w:szCs w:val="32"/>
        </w:rPr>
        <w:t>元，车均购置费</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万元，车均维护费</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黑体_GBK" w:hAnsi="方正黑体_GBK" w:eastAsia="方正黑体_GBK" w:cs="方正黑体_GBK"/>
          <w:b/>
          <w:bCs w:val="0"/>
          <w:kern w:val="0"/>
          <w:sz w:val="32"/>
          <w:szCs w:val="32"/>
          <w:shd w:val="clear" w:fill="FFFFFF"/>
        </w:rPr>
      </w:pPr>
      <w:r>
        <w:rPr>
          <w:rStyle w:val="19"/>
          <w:rFonts w:hint="eastAsia" w:ascii="方正黑体_GBK" w:hAnsi="方正黑体_GBK" w:eastAsia="方正黑体_GBK" w:cs="方正黑体_GBK"/>
          <w:b/>
          <w:bCs w:val="0"/>
          <w:sz w:val="32"/>
          <w:szCs w:val="32"/>
          <w:shd w:val="clear" w:fill="FFFFFF"/>
        </w:rPr>
        <w:t>四、其他需要说明的事项</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9"/>
          <w:rFonts w:hint="eastAsia" w:ascii="方正楷体_GBK" w:hAnsi="方正楷体_GBK" w:eastAsia="方正楷体_GBK" w:cs="方正楷体_GBK"/>
          <w:b/>
          <w:bCs w:val="0"/>
          <w:sz w:val="32"/>
          <w:szCs w:val="32"/>
          <w:shd w:val="clear" w:fill="FFFFFF"/>
        </w:rPr>
        <w:t>（一）财政拨款会议费和培训费情况说明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宋体" w:hAnsi="宋体" w:eastAsia="宋体" w:cs="宋体"/>
          <w:kern w:val="0"/>
          <w:sz w:val="24"/>
          <w:szCs w:val="24"/>
        </w:rPr>
      </w:pPr>
      <w:r>
        <w:rPr>
          <w:rFonts w:hint="eastAsia" w:ascii="方正仿宋_GBK" w:hAnsi="方正仿宋_GBK" w:eastAsia="方正仿宋_GBK" w:cs="方正仿宋_GBK"/>
          <w:i w:val="0"/>
          <w:iCs w:val="0"/>
          <w:caps w:val="0"/>
          <w:color w:val="333333"/>
          <w:spacing w:val="0"/>
          <w:kern w:val="2"/>
          <w:sz w:val="32"/>
          <w:szCs w:val="32"/>
        </w:rPr>
        <w:t>本年度会议费支出</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万元，较上年决算数增加</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万元，增长</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，主要原因是本单位在2021年及以前年度与农林局机关、农业技术推广站等9个单位合并记账，2022年开始独立填报决算，无上年决算数据。本年度培训费支出</w:t>
      </w:r>
      <w:r>
        <w:rPr>
          <w:rFonts w:hint="default" w:ascii="Times New Roman" w:hAnsi="Times New Roman" w:eastAsia="方正仿宋_GBK" w:cs="Times New Roman"/>
          <w:i w:val="0"/>
          <w:iCs w:val="0"/>
          <w:caps w:val="0"/>
          <w:color w:val="333333"/>
          <w:spacing w:val="0"/>
          <w:kern w:val="2"/>
          <w:sz w:val="32"/>
          <w:szCs w:val="32"/>
        </w:rPr>
        <w:t>0.31</w:t>
      </w:r>
      <w:r>
        <w:rPr>
          <w:rFonts w:hint="eastAsia" w:ascii="方正仿宋_GBK" w:hAnsi="方正仿宋_GBK" w:eastAsia="方正仿宋_GBK" w:cs="方正仿宋_GBK"/>
          <w:i w:val="0"/>
          <w:iCs w:val="0"/>
          <w:caps w:val="0"/>
          <w:color w:val="333333"/>
          <w:spacing w:val="0"/>
          <w:kern w:val="2"/>
          <w:sz w:val="32"/>
          <w:szCs w:val="32"/>
        </w:rPr>
        <w:t>万元，较上年决算数增加</w:t>
      </w:r>
      <w:r>
        <w:rPr>
          <w:rFonts w:hint="default" w:ascii="Times New Roman" w:hAnsi="Times New Roman" w:eastAsia="方正仿宋_GBK" w:cs="Times New Roman"/>
          <w:i w:val="0"/>
          <w:iCs w:val="0"/>
          <w:caps w:val="0"/>
          <w:color w:val="333333"/>
          <w:spacing w:val="0"/>
          <w:kern w:val="2"/>
          <w:sz w:val="32"/>
          <w:szCs w:val="32"/>
        </w:rPr>
        <w:t>0.31</w:t>
      </w:r>
      <w:r>
        <w:rPr>
          <w:rFonts w:hint="eastAsia" w:ascii="方正仿宋_GBK" w:hAnsi="方正仿宋_GBK" w:eastAsia="方正仿宋_GBK" w:cs="方正仿宋_GBK"/>
          <w:i w:val="0"/>
          <w:iCs w:val="0"/>
          <w:caps w:val="0"/>
          <w:color w:val="333333"/>
          <w:spacing w:val="0"/>
          <w:kern w:val="2"/>
          <w:sz w:val="32"/>
          <w:szCs w:val="32"/>
        </w:rPr>
        <w:t>万元，增长</w:t>
      </w:r>
      <w:r>
        <w:rPr>
          <w:rFonts w:hint="eastAsia" w:ascii="Times New Roman" w:hAnsi="Times New Roman" w:eastAsia="方正仿宋_GBK" w:cs="Times New Roman"/>
          <w:i w:val="0"/>
          <w:iCs w:val="0"/>
          <w:caps w:val="0"/>
          <w:color w:val="333333"/>
          <w:spacing w:val="0"/>
          <w:kern w:val="2"/>
          <w:sz w:val="32"/>
          <w:szCs w:val="32"/>
          <w:lang w:eastAsia="zh-CN"/>
        </w:rPr>
        <w:t>100.0%</w:t>
      </w:r>
      <w:r>
        <w:rPr>
          <w:rFonts w:hint="eastAsia" w:ascii="方正仿宋_GBK" w:hAnsi="方正仿宋_GBK" w:eastAsia="方正仿宋_GBK" w:cs="方正仿宋_GBK"/>
          <w:i w:val="0"/>
          <w:iCs w:val="0"/>
          <w:caps w:val="0"/>
          <w:color w:val="333333"/>
          <w:spacing w:val="0"/>
          <w:kern w:val="2"/>
          <w:sz w:val="32"/>
          <w:szCs w:val="32"/>
        </w:rPr>
        <w:t>，主要原因是本单位在2021年及以前年度与农林局机关、农业技术推广站等9个单位合并记账，2022年开始独立填报决算，无上年决算数据。</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9"/>
          <w:rFonts w:hint="eastAsia" w:ascii="方正楷体_GBK" w:hAnsi="方正楷体_GBK" w:eastAsia="方正楷体_GBK" w:cs="方正楷体_GBK"/>
          <w:b/>
          <w:bCs w:val="0"/>
          <w:sz w:val="32"/>
          <w:szCs w:val="32"/>
          <w:shd w:val="clear" w:fill="FFFFFF"/>
        </w:rPr>
        <w:t>（二）机关运行经费支出情况说明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按照单位决算列报口径，我单位不在机关运行经费统计范围之内。</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9"/>
          <w:rFonts w:hint="eastAsia" w:ascii="方正楷体_GBK" w:hAnsi="方正楷体_GBK" w:eastAsia="方正楷体_GBK" w:cs="方正楷体_GBK"/>
          <w:b/>
          <w:bCs w:val="0"/>
          <w:sz w:val="32"/>
          <w:szCs w:val="32"/>
          <w:shd w:val="clear" w:fill="FFFFFF"/>
        </w:rPr>
        <w:t>（三）国有资产占用情况说明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截至</w:t>
      </w: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w:t>
      </w:r>
      <w:r>
        <w:rPr>
          <w:rFonts w:hint="default" w:ascii="Times New Roman" w:hAnsi="Times New Roman" w:eastAsia="方正仿宋_GBK" w:cs="Times New Roman"/>
          <w:i w:val="0"/>
          <w:iCs w:val="0"/>
          <w:caps w:val="0"/>
          <w:color w:val="333333"/>
          <w:spacing w:val="0"/>
          <w:kern w:val="2"/>
          <w:sz w:val="32"/>
          <w:szCs w:val="32"/>
        </w:rPr>
        <w:t>12</w:t>
      </w:r>
      <w:r>
        <w:rPr>
          <w:rFonts w:hint="eastAsia" w:ascii="方正仿宋_GBK" w:hAnsi="方正仿宋_GBK" w:eastAsia="方正仿宋_GBK" w:cs="方正仿宋_GBK"/>
          <w:i w:val="0"/>
          <w:iCs w:val="0"/>
          <w:caps w:val="0"/>
          <w:color w:val="333333"/>
          <w:spacing w:val="0"/>
          <w:kern w:val="2"/>
          <w:sz w:val="32"/>
          <w:szCs w:val="32"/>
        </w:rPr>
        <w:t>月</w:t>
      </w:r>
      <w:r>
        <w:rPr>
          <w:rFonts w:hint="default" w:ascii="Times New Roman" w:hAnsi="Times New Roman" w:eastAsia="方正仿宋_GBK" w:cs="Times New Roman"/>
          <w:i w:val="0"/>
          <w:iCs w:val="0"/>
          <w:caps w:val="0"/>
          <w:color w:val="333333"/>
          <w:spacing w:val="0"/>
          <w:kern w:val="2"/>
          <w:sz w:val="32"/>
          <w:szCs w:val="32"/>
        </w:rPr>
        <w:t>31</w:t>
      </w:r>
      <w:r>
        <w:rPr>
          <w:rFonts w:hint="eastAsia" w:ascii="方正仿宋_GBK" w:hAnsi="方正仿宋_GBK" w:eastAsia="方正仿宋_GBK" w:cs="方正仿宋_GBK"/>
          <w:i w:val="0"/>
          <w:iCs w:val="0"/>
          <w:caps w:val="0"/>
          <w:color w:val="333333"/>
          <w:spacing w:val="0"/>
          <w:kern w:val="2"/>
          <w:sz w:val="32"/>
          <w:szCs w:val="32"/>
        </w:rPr>
        <w:t>日，本单位共有车辆</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辆，其中，副部（省）级及以上领导用车</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辆、主要领导干部用车</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辆、机要通信用车</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辆、应急保障用车</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辆、执法执勤用车</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辆，特种专业技术用车</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辆，离退休干部用车</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辆，其他用车</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辆。单价</w:t>
      </w:r>
      <w:r>
        <w:rPr>
          <w:rFonts w:hint="default" w:ascii="Times New Roman" w:hAnsi="Times New Roman" w:eastAsia="方正仿宋_GBK" w:cs="Times New Roman"/>
          <w:i w:val="0"/>
          <w:iCs w:val="0"/>
          <w:caps w:val="0"/>
          <w:color w:val="333333"/>
          <w:spacing w:val="0"/>
          <w:kern w:val="2"/>
          <w:sz w:val="32"/>
          <w:szCs w:val="32"/>
        </w:rPr>
        <w:t>100</w:t>
      </w:r>
      <w:r>
        <w:rPr>
          <w:rFonts w:hint="eastAsia" w:ascii="方正仿宋_GBK" w:hAnsi="方正仿宋_GBK" w:eastAsia="方正仿宋_GBK" w:cs="方正仿宋_GBK"/>
          <w:i w:val="0"/>
          <w:iCs w:val="0"/>
          <w:caps w:val="0"/>
          <w:color w:val="333333"/>
          <w:spacing w:val="0"/>
          <w:kern w:val="2"/>
          <w:sz w:val="32"/>
          <w:szCs w:val="32"/>
        </w:rPr>
        <w:t>万元（含）以上设备（不含车辆）</w:t>
      </w:r>
      <w:r>
        <w:rPr>
          <w:rFonts w:hint="default" w:ascii="Times New Roman" w:hAnsi="Times New Roman" w:eastAsia="方正仿宋_GBK" w:cs="Times New Roman"/>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台（套）。</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9"/>
          <w:rFonts w:hint="eastAsia" w:ascii="方正楷体_GBK" w:hAnsi="方正楷体_GBK" w:eastAsia="方正楷体_GBK" w:cs="方正楷体_GBK"/>
          <w:b/>
          <w:bCs w:val="0"/>
          <w:sz w:val="32"/>
          <w:szCs w:val="32"/>
          <w:shd w:val="clear" w:fill="FFFFFF"/>
        </w:rPr>
        <w:t>（四）政府采购支出说明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年度我单位未发生政府采购事项，无相关经费支出。</w:t>
      </w:r>
    </w:p>
    <w:p>
      <w:pPr>
        <w:pStyle w:val="17"/>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Autospacing="0" w:line="600" w:lineRule="atLeast"/>
        <w:ind w:left="0" w:firstLine="0"/>
        <w:jc w:val="both"/>
        <w:textAlignment w:val="auto"/>
        <w:rPr>
          <w:rFonts w:hint="eastAsia" w:ascii="方正黑体_GBK" w:hAnsi="方正黑体_GBK" w:eastAsia="方正黑体_GBK" w:cs="方正黑体_GBK"/>
          <w:b/>
          <w:bCs w:val="0"/>
          <w:kern w:val="0"/>
          <w:sz w:val="32"/>
          <w:szCs w:val="32"/>
          <w:shd w:val="clear" w:fill="FFFFFF"/>
        </w:rPr>
      </w:pPr>
      <w:r>
        <w:rPr>
          <w:rStyle w:val="19"/>
          <w:rFonts w:hint="eastAsia" w:ascii="方正黑体_GBK" w:hAnsi="方正黑体_GBK" w:eastAsia="方正黑体_GBK" w:cs="方正黑体_GBK"/>
          <w:b/>
          <w:bCs w:val="0"/>
          <w:sz w:val="32"/>
          <w:szCs w:val="32"/>
          <w:shd w:val="clear" w:fill="FFFFFF"/>
        </w:rPr>
        <w:t>预算绩效管理情况说明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default" w:ascii="Times New Roman" w:hAnsi="Times New Roman" w:eastAsia="方正仿宋_GBK" w:cs="Times New Roman"/>
          <w:i w:val="0"/>
          <w:iCs w:val="0"/>
          <w:caps w:val="0"/>
          <w:color w:val="333333"/>
          <w:spacing w:val="0"/>
          <w:kern w:val="2"/>
          <w:sz w:val="32"/>
          <w:szCs w:val="32"/>
        </w:rPr>
      </w:pP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年度本单位无项目支出，因此</w:t>
      </w:r>
      <w:r>
        <w:rPr>
          <w:rFonts w:hint="eastAsia" w:ascii="方正仿宋_GBK" w:hAnsi="方正仿宋_GBK" w:eastAsia="方正仿宋_GBK" w:cs="方正仿宋_GBK"/>
          <w:i w:val="0"/>
          <w:iCs w:val="0"/>
          <w:caps w:val="0"/>
          <w:color w:val="333333"/>
          <w:spacing w:val="0"/>
          <w:kern w:val="2"/>
          <w:sz w:val="32"/>
          <w:szCs w:val="32"/>
          <w:lang w:eastAsia="zh-CN"/>
        </w:rPr>
        <w:t>无相关</w:t>
      </w:r>
      <w:r>
        <w:rPr>
          <w:rFonts w:hint="eastAsia" w:ascii="方正仿宋_GBK" w:hAnsi="方正仿宋_GBK" w:eastAsia="方正仿宋_GBK" w:cs="方正仿宋_GBK"/>
          <w:i w:val="0"/>
          <w:iCs w:val="0"/>
          <w:caps w:val="0"/>
          <w:color w:val="333333"/>
          <w:spacing w:val="0"/>
          <w:kern w:val="2"/>
          <w:sz w:val="32"/>
          <w:szCs w:val="32"/>
        </w:rPr>
        <w:t>绩效管理。</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黑体_GBK" w:hAnsi="方正黑体_GBK" w:eastAsia="方正黑体_GBK" w:cs="方正黑体_GBK"/>
          <w:b/>
          <w:bCs w:val="0"/>
          <w:kern w:val="0"/>
          <w:sz w:val="32"/>
          <w:szCs w:val="32"/>
          <w:shd w:val="clear" w:fill="FFFFFF"/>
        </w:rPr>
      </w:pPr>
      <w:r>
        <w:rPr>
          <w:rStyle w:val="19"/>
          <w:rFonts w:hint="eastAsia" w:ascii="方正黑体_GBK" w:hAnsi="方正黑体_GBK" w:eastAsia="方正黑体_GBK" w:cs="方正黑体_GBK"/>
          <w:b/>
          <w:bCs w:val="0"/>
          <w:sz w:val="32"/>
          <w:szCs w:val="32"/>
          <w:shd w:val="clear" w:fill="FFFFFF"/>
        </w:rPr>
        <w:t>六、专业名词解释</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9"/>
          <w:rFonts w:hint="eastAsia" w:ascii="方正楷体_GBK" w:hAnsi="方正楷体_GBK" w:eastAsia="方正楷体_GBK" w:cs="方正楷体_GBK"/>
          <w:b/>
          <w:bCs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kern w:val="2"/>
          <w:sz w:val="32"/>
          <w:szCs w:val="32"/>
        </w:rPr>
        <w:t>指本年度从本级财政</w:t>
      </w:r>
      <w:r>
        <w:rPr>
          <w:rFonts w:hint="eastAsia" w:ascii="方正仿宋_GBK" w:hAnsi="方正仿宋_GBK" w:eastAsia="方正仿宋_GBK" w:cs="方正仿宋_GBK"/>
          <w:i w:val="0"/>
          <w:iCs w:val="0"/>
          <w:caps w:val="0"/>
          <w:color w:val="333333"/>
          <w:spacing w:val="0"/>
          <w:kern w:val="2"/>
          <w:sz w:val="32"/>
          <w:szCs w:val="32"/>
          <w:lang w:eastAsia="zh-CN"/>
        </w:rPr>
        <w:t>部门</w:t>
      </w:r>
      <w:r>
        <w:rPr>
          <w:rFonts w:hint="eastAsia" w:ascii="方正仿宋_GBK" w:hAnsi="方正仿宋_GBK" w:eastAsia="方正仿宋_GBK" w:cs="方正仿宋_GBK"/>
          <w:i w:val="0"/>
          <w:iCs w:val="0"/>
          <w:caps w:val="0"/>
          <w:color w:val="333333"/>
          <w:spacing w:val="0"/>
          <w:kern w:val="2"/>
          <w:sz w:val="32"/>
          <w:szCs w:val="32"/>
        </w:rPr>
        <w:t>取得的财政拨款，包括一般公共预算财政拨款和政府性基金预算财政拨款。</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9"/>
          <w:rFonts w:hint="eastAsia" w:ascii="方正楷体_GBK" w:hAnsi="方正楷体_GBK" w:eastAsia="方正楷体_GBK" w:cs="方正楷体_GBK"/>
          <w:b/>
          <w:bCs w:val="0"/>
          <w:sz w:val="32"/>
          <w:szCs w:val="32"/>
          <w:shd w:val="clear" w:fill="FFFFFF"/>
        </w:rPr>
        <w:t>（二）事业收入：</w:t>
      </w:r>
      <w:r>
        <w:rPr>
          <w:rFonts w:hint="eastAsia" w:ascii="方正仿宋_GBK" w:hAnsi="方正仿宋_GBK" w:eastAsia="方正仿宋_GBK" w:cs="方正仿宋_GBK"/>
          <w:i w:val="0"/>
          <w:iCs w:val="0"/>
          <w:caps w:val="0"/>
          <w:color w:val="333333"/>
          <w:spacing w:val="0"/>
          <w:kern w:val="2"/>
          <w:sz w:val="32"/>
          <w:szCs w:val="32"/>
        </w:rPr>
        <w:t>指事业单位开展专业业务活动及其辅助活动取得的现金流入；事业单位收到的财政专户实际核拨的教育收费等资金在此反映。</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9"/>
          <w:rFonts w:hint="eastAsia" w:ascii="方正楷体_GBK" w:hAnsi="方正楷体_GBK" w:eastAsia="方正楷体_GBK" w:cs="方正楷体_GBK"/>
          <w:b/>
          <w:bCs w:val="0"/>
          <w:sz w:val="32"/>
          <w:szCs w:val="32"/>
          <w:shd w:val="clear" w:fill="FFFFFF"/>
        </w:rPr>
        <w:t>（三）经营收入：</w:t>
      </w:r>
      <w:r>
        <w:rPr>
          <w:rFonts w:hint="eastAsia" w:ascii="方正仿宋_GBK" w:hAnsi="方正仿宋_GBK" w:eastAsia="方正仿宋_GBK" w:cs="方正仿宋_GBK"/>
          <w:i w:val="0"/>
          <w:iCs w:val="0"/>
          <w:caps w:val="0"/>
          <w:color w:val="333333"/>
          <w:spacing w:val="0"/>
          <w:kern w:val="2"/>
          <w:sz w:val="32"/>
          <w:szCs w:val="32"/>
        </w:rPr>
        <w:t>指事业单位在专业业务活动及其辅助活动之外开展非独立核算经营活动取得的现金流入。</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9"/>
          <w:rFonts w:hint="eastAsia" w:ascii="方正楷体_GBK" w:hAnsi="方正楷体_GBK" w:eastAsia="方正楷体_GBK" w:cs="方正楷体_GBK"/>
          <w:b/>
          <w:bCs w:val="0"/>
          <w:sz w:val="32"/>
          <w:szCs w:val="32"/>
          <w:shd w:val="clear" w:fill="FFFFFF"/>
        </w:rPr>
        <w:t>（四）其他收入：</w:t>
      </w:r>
      <w:r>
        <w:rPr>
          <w:rFonts w:hint="eastAsia" w:ascii="方正仿宋_GBK" w:hAnsi="方正仿宋_GBK" w:eastAsia="方正仿宋_GBK" w:cs="方正仿宋_GBK"/>
          <w:i w:val="0"/>
          <w:iCs w:val="0"/>
          <w:caps w:val="0"/>
          <w:color w:val="333333"/>
          <w:spacing w:val="0"/>
          <w:kern w:val="2"/>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单位以外的同级单位取得的经费、从非本级财政单位取得的经费，以及行政单位收到的财政专户管理资金反映在本项内。</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9"/>
          <w:rFonts w:hint="eastAsia" w:ascii="方正楷体_GBK" w:hAnsi="方正楷体_GBK" w:eastAsia="方正楷体_GBK" w:cs="方正楷体_GBK"/>
          <w:b/>
          <w:bCs w:val="0"/>
          <w:sz w:val="32"/>
          <w:szCs w:val="32"/>
          <w:shd w:val="clear" w:fill="FFFFFF"/>
        </w:rPr>
        <w:t>（五）使用非财政拨款结余：</w:t>
      </w:r>
      <w:r>
        <w:rPr>
          <w:rFonts w:hint="eastAsia" w:ascii="方正仿宋_GBK" w:hAnsi="方正仿宋_GBK" w:eastAsia="方正仿宋_GBK" w:cs="方正仿宋_GBK"/>
          <w:i w:val="0"/>
          <w:iCs w:val="0"/>
          <w:caps w:val="0"/>
          <w:color w:val="333333"/>
          <w:spacing w:val="0"/>
          <w:kern w:val="2"/>
          <w:sz w:val="32"/>
          <w:szCs w:val="32"/>
        </w:rPr>
        <w:t>指单位在当年的“财政拨款收入”、“事业收入”、“经营收入”、“其他收入”等不足以安排当年支出的情况下，使用以前年度积累的非财政拨款结余弥补本年度收支缺口的资金。</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9"/>
          <w:rFonts w:hint="eastAsia" w:ascii="方正楷体_GBK" w:hAnsi="方正楷体_GBK" w:eastAsia="方正楷体_GBK" w:cs="方正楷体_GBK"/>
          <w:b/>
          <w:bCs w:val="0"/>
          <w:sz w:val="32"/>
          <w:szCs w:val="32"/>
          <w:shd w:val="clear" w:fill="FFFFFF"/>
        </w:rPr>
        <w:t>（六）年初结转和结余：</w:t>
      </w:r>
      <w:r>
        <w:rPr>
          <w:rFonts w:hint="eastAsia" w:ascii="方正仿宋_GBK" w:hAnsi="方正仿宋_GBK" w:eastAsia="方正仿宋_GBK" w:cs="方正仿宋_GBK"/>
          <w:i w:val="0"/>
          <w:iCs w:val="0"/>
          <w:caps w:val="0"/>
          <w:color w:val="333333"/>
          <w:spacing w:val="0"/>
          <w:kern w:val="2"/>
          <w:sz w:val="32"/>
          <w:szCs w:val="32"/>
        </w:rPr>
        <w:t>指单位上年结转本年使用的基本支出结转、项目支出结转和结余、经营结余。</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9"/>
          <w:rFonts w:hint="eastAsia" w:ascii="方正楷体_GBK" w:hAnsi="方正楷体_GBK" w:eastAsia="方正楷体_GBK" w:cs="方正楷体_GBK"/>
          <w:b/>
          <w:bCs w:val="0"/>
          <w:sz w:val="32"/>
          <w:szCs w:val="32"/>
          <w:shd w:val="clear" w:fill="FFFFFF"/>
        </w:rPr>
        <w:t>（七）结余分配：</w:t>
      </w:r>
      <w:r>
        <w:rPr>
          <w:rFonts w:hint="eastAsia" w:ascii="方正仿宋_GBK" w:hAnsi="方正仿宋_GBK" w:eastAsia="方正仿宋_GBK" w:cs="方正仿宋_GBK"/>
          <w:i w:val="0"/>
          <w:iCs w:val="0"/>
          <w:caps w:val="0"/>
          <w:color w:val="333333"/>
          <w:spacing w:val="0"/>
          <w:kern w:val="2"/>
          <w:sz w:val="32"/>
          <w:szCs w:val="32"/>
        </w:rPr>
        <w:t>指单位按照国家有关规定，缴纳所得税、提取专用基金、转入非财政拨款结余等当年结余的分配情况。</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9"/>
          <w:rFonts w:hint="eastAsia" w:ascii="方正楷体_GBK" w:hAnsi="方正楷体_GBK" w:eastAsia="方正楷体_GBK" w:cs="方正楷体_GBK"/>
          <w:b/>
          <w:bCs w:val="0"/>
          <w:sz w:val="32"/>
          <w:szCs w:val="32"/>
          <w:shd w:val="clear" w:fill="FFFFFF"/>
        </w:rPr>
        <w:t>（八）年末结转和结余：</w:t>
      </w:r>
      <w:r>
        <w:rPr>
          <w:rFonts w:hint="eastAsia" w:ascii="方正仿宋_GBK" w:hAnsi="方正仿宋_GBK" w:eastAsia="方正仿宋_GBK" w:cs="方正仿宋_GBK"/>
          <w:i w:val="0"/>
          <w:iCs w:val="0"/>
          <w:caps w:val="0"/>
          <w:color w:val="333333"/>
          <w:spacing w:val="0"/>
          <w:kern w:val="2"/>
          <w:sz w:val="32"/>
          <w:szCs w:val="32"/>
        </w:rPr>
        <w:t>指单位结转下年的基本支出结转、项目支出结转和结余、经营结余。</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宋体" w:hAnsi="宋体" w:eastAsia="宋体" w:cs="宋体"/>
          <w:kern w:val="0"/>
          <w:sz w:val="24"/>
          <w:szCs w:val="24"/>
        </w:rPr>
      </w:pPr>
      <w:r>
        <w:rPr>
          <w:rStyle w:val="19"/>
          <w:rFonts w:hint="eastAsia" w:ascii="方正楷体_GBK" w:hAnsi="方正楷体_GBK" w:eastAsia="方正楷体_GBK" w:cs="方正楷体_GBK"/>
          <w:b/>
          <w:bCs w:val="0"/>
          <w:sz w:val="32"/>
          <w:szCs w:val="32"/>
          <w:shd w:val="clear" w:fill="FFFFFF"/>
        </w:rPr>
        <w:t>（九）基本支出：</w:t>
      </w:r>
      <w:r>
        <w:rPr>
          <w:rFonts w:hint="eastAsia" w:ascii="方正仿宋_GBK" w:hAnsi="方正仿宋_GBK" w:eastAsia="方正仿宋_GBK" w:cs="方正仿宋_GBK"/>
          <w:i w:val="0"/>
          <w:iCs w:val="0"/>
          <w:caps w:val="0"/>
          <w:color w:val="333333"/>
          <w:spacing w:val="0"/>
          <w:kern w:val="2"/>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9"/>
          <w:rFonts w:hint="eastAsia" w:ascii="方正楷体_GBK" w:hAnsi="方正楷体_GBK" w:eastAsia="方正楷体_GBK" w:cs="方正楷体_GBK"/>
          <w:b/>
          <w:bCs w:val="0"/>
          <w:sz w:val="32"/>
          <w:szCs w:val="32"/>
          <w:shd w:val="clear" w:fill="FFFFFF"/>
        </w:rPr>
        <w:t>（十）项目支出：</w:t>
      </w:r>
      <w:r>
        <w:rPr>
          <w:rFonts w:hint="eastAsia" w:ascii="方正仿宋_GBK" w:hAnsi="方正仿宋_GBK" w:eastAsia="方正仿宋_GBK" w:cs="方正仿宋_GBK"/>
          <w:i w:val="0"/>
          <w:iCs w:val="0"/>
          <w:caps w:val="0"/>
          <w:color w:val="333333"/>
          <w:spacing w:val="0"/>
          <w:kern w:val="2"/>
          <w:sz w:val="32"/>
          <w:szCs w:val="32"/>
        </w:rPr>
        <w:t>指在基本支出之外为完成特定行政任务和事业发展目标所发生的支出。</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宋体" w:hAnsi="宋体" w:eastAsia="宋体" w:cs="宋体"/>
          <w:kern w:val="0"/>
          <w:sz w:val="24"/>
          <w:szCs w:val="24"/>
        </w:rPr>
      </w:pPr>
      <w:r>
        <w:rPr>
          <w:rStyle w:val="19"/>
          <w:rFonts w:hint="eastAsia" w:ascii="方正楷体_GBK" w:hAnsi="方正楷体_GBK" w:eastAsia="方正楷体_GBK" w:cs="方正楷体_GBK"/>
          <w:b/>
          <w:bCs w:val="0"/>
          <w:sz w:val="32"/>
          <w:szCs w:val="32"/>
          <w:shd w:val="clear" w:fill="FFFFFF"/>
        </w:rPr>
        <w:t>（十一）经营支出：</w:t>
      </w:r>
      <w:r>
        <w:rPr>
          <w:rFonts w:hint="eastAsia" w:ascii="方正仿宋_GBK" w:hAnsi="方正仿宋_GBK" w:eastAsia="方正仿宋_GBK" w:cs="方正仿宋_GBK"/>
          <w:i w:val="0"/>
          <w:iCs w:val="0"/>
          <w:caps w:val="0"/>
          <w:color w:val="333333"/>
          <w:spacing w:val="0"/>
          <w:kern w:val="2"/>
          <w:sz w:val="32"/>
          <w:szCs w:val="32"/>
        </w:rPr>
        <w:t>指事业单位在专业业务活动及其辅助活动之外开展非独立核算经营活动发生的支出。</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9"/>
          <w:rFonts w:hint="eastAsia" w:ascii="方正楷体_GBK" w:hAnsi="方正楷体_GBK" w:eastAsia="方正楷体_GBK" w:cs="方正楷体_GBK"/>
          <w:b/>
          <w:bCs w:val="0"/>
          <w:sz w:val="32"/>
          <w:szCs w:val="32"/>
          <w:shd w:val="clear" w:fill="FFFFFF"/>
        </w:rPr>
        <w:t>（十二）“三公”经费：</w:t>
      </w:r>
      <w:r>
        <w:rPr>
          <w:rFonts w:hint="eastAsia" w:ascii="方正仿宋_GBK" w:hAnsi="方正仿宋_GBK" w:eastAsia="方正仿宋_GBK" w:cs="方正仿宋_GBK"/>
          <w:i w:val="0"/>
          <w:iCs w:val="0"/>
          <w:caps w:val="0"/>
          <w:color w:val="333333"/>
          <w:spacing w:val="0"/>
          <w:kern w:val="2"/>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9"/>
          <w:rFonts w:hint="eastAsia" w:ascii="方正楷体_GBK" w:hAnsi="方正楷体_GBK" w:eastAsia="方正楷体_GBK" w:cs="方正楷体_GBK"/>
          <w:b/>
          <w:bCs w:val="0"/>
          <w:sz w:val="32"/>
          <w:szCs w:val="32"/>
          <w:shd w:val="clear" w:fill="FFFFFF"/>
        </w:rPr>
        <w:t>（十三）机关运行经费：</w:t>
      </w:r>
      <w:r>
        <w:rPr>
          <w:rFonts w:hint="eastAsia" w:ascii="方正仿宋_GBK" w:hAnsi="方正仿宋_GBK" w:eastAsia="方正仿宋_GBK" w:cs="方正仿宋_GBK"/>
          <w:i w:val="0"/>
          <w:iCs w:val="0"/>
          <w:caps w:val="0"/>
          <w:color w:val="333333"/>
          <w:spacing w:val="0"/>
          <w:kern w:val="2"/>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9"/>
          <w:rFonts w:hint="eastAsia" w:ascii="方正楷体_GBK" w:hAnsi="方正楷体_GBK" w:eastAsia="方正楷体_GBK" w:cs="方正楷体_GBK"/>
          <w:b/>
          <w:bCs w:val="0"/>
          <w:sz w:val="32"/>
          <w:szCs w:val="32"/>
          <w:shd w:val="clear" w:fill="FFFFFF"/>
        </w:rPr>
        <w:t>（十四）工资福利支出（支出经济分类科目类级）：</w:t>
      </w:r>
      <w:r>
        <w:rPr>
          <w:rFonts w:hint="eastAsia" w:ascii="方正仿宋_GBK" w:hAnsi="方正仿宋_GBK" w:eastAsia="方正仿宋_GBK" w:cs="方正仿宋_GBK"/>
          <w:i w:val="0"/>
          <w:iCs w:val="0"/>
          <w:caps w:val="0"/>
          <w:color w:val="333333"/>
          <w:spacing w:val="0"/>
          <w:kern w:val="2"/>
          <w:sz w:val="32"/>
          <w:szCs w:val="32"/>
        </w:rPr>
        <w:t>反映单位开支的在职职工和编制外长期聘用人员的各类劳动报酬，以及为上述人员缴纳的各项社会保险费等。</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9"/>
          <w:rFonts w:hint="eastAsia" w:ascii="方正楷体_GBK" w:hAnsi="方正楷体_GBK" w:eastAsia="方正楷体_GBK" w:cs="方正楷体_GBK"/>
          <w:b/>
          <w:bCs w:val="0"/>
          <w:sz w:val="32"/>
          <w:szCs w:val="32"/>
          <w:shd w:val="clear" w:fill="FFFFFF"/>
        </w:rPr>
        <w:t>（十五）商品和服务支出（支出经济分类科目类级）：</w:t>
      </w:r>
      <w:r>
        <w:rPr>
          <w:rFonts w:hint="eastAsia" w:ascii="方正仿宋_GBK" w:hAnsi="方正仿宋_GBK" w:eastAsia="方正仿宋_GBK" w:cs="方正仿宋_GBK"/>
          <w:i w:val="0"/>
          <w:iCs w:val="0"/>
          <w:caps w:val="0"/>
          <w:color w:val="333333"/>
          <w:spacing w:val="0"/>
          <w:kern w:val="2"/>
          <w:sz w:val="32"/>
          <w:szCs w:val="32"/>
        </w:rPr>
        <w:t>反映单位购买商品和服务的支出（不包括用于购置固定资产的支出、战略性和应急储备支出）。</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9"/>
          <w:rFonts w:hint="eastAsia" w:ascii="方正楷体_GBK" w:hAnsi="方正楷体_GBK" w:eastAsia="方正楷体_GBK" w:cs="方正楷体_GBK"/>
          <w:b/>
          <w:bCs w:val="0"/>
          <w:sz w:val="32"/>
          <w:szCs w:val="32"/>
          <w:shd w:val="clear" w:fill="FFFFFF"/>
        </w:rPr>
        <w:t>（十六）对个人和家庭的补助（支出经济分类科目类级）：</w:t>
      </w:r>
      <w:r>
        <w:rPr>
          <w:rFonts w:hint="eastAsia" w:ascii="方正仿宋_GBK" w:hAnsi="方正仿宋_GBK" w:eastAsia="方正仿宋_GBK" w:cs="方正仿宋_GBK"/>
          <w:i w:val="0"/>
          <w:iCs w:val="0"/>
          <w:caps w:val="0"/>
          <w:color w:val="333333"/>
          <w:spacing w:val="0"/>
          <w:kern w:val="2"/>
          <w:sz w:val="32"/>
          <w:szCs w:val="32"/>
        </w:rPr>
        <w:t>反映用于对个人和家庭的补助支出。</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9"/>
          <w:rFonts w:hint="eastAsia" w:ascii="方正楷体_GBK" w:hAnsi="方正楷体_GBK" w:eastAsia="方正楷体_GBK" w:cs="方正楷体_GBK"/>
          <w:b/>
          <w:bCs w:val="0"/>
          <w:sz w:val="32"/>
          <w:szCs w:val="32"/>
          <w:shd w:val="clear" w:fill="FFFFFF"/>
        </w:rPr>
        <w:t>（十七）其他资本性支出（支出经济分类科目类级）：</w:t>
      </w:r>
      <w:r>
        <w:rPr>
          <w:rFonts w:hint="eastAsia" w:ascii="方正仿宋_GBK" w:hAnsi="方正仿宋_GBK" w:eastAsia="方正仿宋_GBK" w:cs="方正仿宋_GBK"/>
          <w:i w:val="0"/>
          <w:iCs w:val="0"/>
          <w:caps w:val="0"/>
          <w:color w:val="333333"/>
          <w:spacing w:val="0"/>
          <w:kern w:val="2"/>
          <w:sz w:val="32"/>
          <w:szCs w:val="32"/>
        </w:rPr>
        <w:t>反映非各级发展与改革</w:t>
      </w:r>
      <w:r>
        <w:rPr>
          <w:rFonts w:hint="eastAsia" w:ascii="方正仿宋_GBK" w:hAnsi="方正仿宋_GBK" w:eastAsia="方正仿宋_GBK" w:cs="方正仿宋_GBK"/>
          <w:i w:val="0"/>
          <w:iCs w:val="0"/>
          <w:caps w:val="0"/>
          <w:color w:val="333333"/>
          <w:spacing w:val="0"/>
          <w:kern w:val="2"/>
          <w:sz w:val="32"/>
          <w:szCs w:val="32"/>
          <w:lang w:eastAsia="zh-CN"/>
        </w:rPr>
        <w:t>部门</w:t>
      </w:r>
      <w:r>
        <w:rPr>
          <w:rFonts w:hint="eastAsia" w:ascii="方正仿宋_GBK" w:hAnsi="方正仿宋_GBK" w:eastAsia="方正仿宋_GBK" w:cs="方正仿宋_GBK"/>
          <w:i w:val="0"/>
          <w:iCs w:val="0"/>
          <w:caps w:val="0"/>
          <w:color w:val="333333"/>
          <w:spacing w:val="0"/>
          <w:kern w:val="2"/>
          <w:sz w:val="32"/>
          <w:szCs w:val="32"/>
        </w:rPr>
        <w:t>集中安排的用于购置固定资产、战略性和应急性储备、土地和无形资产，以及构建基础设施、大型修缮和财政支持企业更新改造所发生的支出。</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黑体_GBK" w:hAnsi="方正黑体_GBK" w:eastAsia="方正黑体_GBK" w:cs="方正黑体_GBK"/>
          <w:b/>
          <w:bCs w:val="0"/>
          <w:kern w:val="0"/>
          <w:sz w:val="32"/>
          <w:szCs w:val="32"/>
          <w:shd w:val="clear" w:fill="FFFFFF"/>
        </w:rPr>
      </w:pPr>
      <w:r>
        <w:rPr>
          <w:rStyle w:val="19"/>
          <w:rFonts w:hint="eastAsia" w:ascii="方正黑体_GBK" w:hAnsi="方正黑体_GBK" w:eastAsia="方正黑体_GBK" w:cs="方正黑体_GBK"/>
          <w:b/>
          <w:bCs w:val="0"/>
          <w:sz w:val="32"/>
          <w:szCs w:val="32"/>
          <w:shd w:val="clear" w:fill="FFFFFF"/>
        </w:rPr>
        <w:t>七、决算公开联系方式及信息反馈渠道</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本单位决算公开信息反馈和联系方式：</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eastAsia" w:ascii="Times New Roman" w:hAnsi="Times New Roman" w:eastAsia="方正仿宋_GBK" w:cs="Times New Roman"/>
          <w:i w:val="0"/>
          <w:iCs w:val="0"/>
          <w:caps w:val="0"/>
          <w:color w:val="333333"/>
          <w:spacing w:val="0"/>
          <w:kern w:val="2"/>
          <w:sz w:val="32"/>
          <w:szCs w:val="32"/>
          <w:lang w:eastAsia="zh-CN"/>
        </w:rPr>
      </w:pPr>
      <w:r>
        <w:rPr>
          <w:rFonts w:hint="eastAsia" w:ascii="方正仿宋_GBK" w:hAnsi="方正仿宋_GBK" w:eastAsia="方正仿宋_GBK" w:cs="方正仿宋_GBK"/>
          <w:i w:val="0"/>
          <w:iCs w:val="0"/>
          <w:caps w:val="0"/>
          <w:color w:val="333333"/>
          <w:spacing w:val="0"/>
          <w:kern w:val="2"/>
          <w:sz w:val="32"/>
          <w:szCs w:val="32"/>
        </w:rPr>
        <w:t>彭鹏</w:t>
      </w:r>
      <w:r>
        <w:rPr>
          <w:rFonts w:hint="default" w:ascii="Times New Roman" w:hAnsi="Times New Roman" w:eastAsia="方正仿宋_GBK" w:cs="Times New Roman"/>
          <w:i w:val="0"/>
          <w:iCs w:val="0"/>
          <w:caps w:val="0"/>
          <w:color w:val="333333"/>
          <w:spacing w:val="0"/>
          <w:kern w:val="2"/>
          <w:sz w:val="32"/>
          <w:szCs w:val="32"/>
        </w:rPr>
        <w:t>023-48288361</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23"/>
        <w:gridCol w:w="669"/>
        <w:gridCol w:w="2470"/>
        <w:gridCol w:w="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2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公开单位：重庆市万盛经济技术开发区乡村产业发展中心</w:t>
            </w:r>
          </w:p>
        </w:tc>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p>
        </w:tc>
        <w:tc>
          <w:tcPr>
            <w:tcW w:w="18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60"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收入</w:t>
            </w:r>
          </w:p>
        </w:tc>
        <w:tc>
          <w:tcPr>
            <w:tcW w:w="1839" w:type="pct"/>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39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w:t>
            </w:r>
          </w:p>
        </w:tc>
        <w:tc>
          <w:tcPr>
            <w:tcW w:w="39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123.79</w:t>
            </w: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123.79</w:t>
            </w: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39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68" w:type="pct"/>
            <w:tcBorders>
              <w:top w:val="nil"/>
              <w:left w:val="single" w:color="000000" w:sz="4" w:space="0"/>
              <w:bottom w:val="nil"/>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392"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123.79</w:t>
            </w:r>
          </w:p>
        </w:tc>
        <w:tc>
          <w:tcPr>
            <w:tcW w:w="1447" w:type="pct"/>
            <w:tcBorders>
              <w:top w:val="nil"/>
              <w:left w:val="nil"/>
              <w:bottom w:val="nil"/>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392"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备注：本表反映单位本年度取得的各项收入情况。</w:t>
            </w:r>
          </w:p>
        </w:tc>
      </w:tr>
    </w:tbl>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9"/>
        <w:gridCol w:w="3255"/>
        <w:gridCol w:w="1197"/>
        <w:gridCol w:w="721"/>
        <w:gridCol w:w="385"/>
        <w:gridCol w:w="385"/>
        <w:gridCol w:w="554"/>
        <w:gridCol w:w="385"/>
        <w:gridCol w:w="385"/>
        <w:gridCol w:w="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109"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公开单位：重庆市万盛经济技术开发区乡村产业发展中心</w:t>
            </w:r>
          </w:p>
        </w:tc>
        <w:tc>
          <w:tcPr>
            <w:tcW w:w="2890" w:type="pct"/>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468"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468"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财政拨款收入</w:t>
            </w:r>
          </w:p>
        </w:tc>
        <w:tc>
          <w:tcPr>
            <w:tcW w:w="397"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上级补助收入</w:t>
            </w:r>
          </w:p>
        </w:tc>
        <w:tc>
          <w:tcPr>
            <w:tcW w:w="830" w:type="pct"/>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事业收入</w:t>
            </w:r>
          </w:p>
        </w:tc>
        <w:tc>
          <w:tcPr>
            <w:tcW w:w="397"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经营收入</w:t>
            </w:r>
          </w:p>
        </w:tc>
        <w:tc>
          <w:tcPr>
            <w:tcW w:w="397"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附属单位上缴收入</w:t>
            </w:r>
          </w:p>
        </w:tc>
        <w:tc>
          <w:tcPr>
            <w:tcW w:w="399"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29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468"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68"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7"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433"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其中：教育收费</w:t>
            </w:r>
          </w:p>
        </w:tc>
        <w:tc>
          <w:tcPr>
            <w:tcW w:w="397"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9"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vMerge w:val="continue"/>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298" w:type="pct"/>
            <w:vMerge w:val="continue"/>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68"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68"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33"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9"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vMerge w:val="continue"/>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298" w:type="pct"/>
            <w:vMerge w:val="continue"/>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68"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68"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33"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399"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123.79</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123.79</w:t>
            </w: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14.81</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14.81</w:t>
            </w: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14.81</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14.81</w:t>
            </w: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事业单位离退休</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w:t>
            </w: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w:t>
            </w: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5.17</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5.17</w:t>
            </w: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5.17</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5.17</w:t>
            </w: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事业单位医疗</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w:t>
            </w: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2101199</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其他行政事业单位医疗支出</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98.78</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98.78</w:t>
            </w: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农业农村</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98.78</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98.78</w:t>
            </w: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2130104</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事业运行</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98.78</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98.78</w:t>
            </w: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5.02</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5.02</w:t>
            </w: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5.02</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5.02</w:t>
            </w: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1" w:type="pct"/>
            <w:tcBorders>
              <w:top w:val="nil"/>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298" w:type="pct"/>
            <w:tcBorders>
              <w:top w:val="nil"/>
              <w:left w:val="nil"/>
              <w:bottom w:val="nil"/>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468"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468"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397"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33"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备注：本表反映单位本年度取得的各项收入情况。</w:t>
            </w:r>
          </w:p>
        </w:tc>
      </w:tr>
    </w:tbl>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6"/>
        <w:gridCol w:w="3739"/>
        <w:gridCol w:w="1356"/>
        <w:gridCol w:w="801"/>
        <w:gridCol w:w="412"/>
        <w:gridCol w:w="412"/>
        <w:gridCol w:w="412"/>
        <w:gridCol w:w="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29"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公开单位：重庆市万盛经济技术开发区乡村产业发展中心</w:t>
            </w:r>
          </w:p>
        </w:tc>
        <w:tc>
          <w:tcPr>
            <w:tcW w:w="247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66"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562"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562"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476"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c>
          <w:tcPr>
            <w:tcW w:w="476"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上缴上级支出</w:t>
            </w:r>
          </w:p>
        </w:tc>
        <w:tc>
          <w:tcPr>
            <w:tcW w:w="476"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经营支出</w:t>
            </w:r>
          </w:p>
        </w:tc>
        <w:tc>
          <w:tcPr>
            <w:tcW w:w="478"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9" w:type="pct"/>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55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562"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62"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76"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76"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76"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78"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9" w:type="pct"/>
            <w:vMerge w:val="continue"/>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557" w:type="pct"/>
            <w:vMerge w:val="continue"/>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62"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62"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76"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76"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76"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78"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9" w:type="pct"/>
            <w:vMerge w:val="continue"/>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557" w:type="pct"/>
            <w:vMerge w:val="continue"/>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62"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62"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76"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76"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76"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78" w:type="pct"/>
            <w:vMerge w:val="continue"/>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66"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123.79</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123.79</w:t>
            </w:r>
          </w:p>
        </w:tc>
        <w:tc>
          <w:tcPr>
            <w:tcW w:w="47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55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14.81</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14.81</w:t>
            </w: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55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14.81</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14.81</w:t>
            </w: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155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事业单位离退休</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w:t>
            </w:r>
          </w:p>
        </w:tc>
        <w:tc>
          <w:tcPr>
            <w:tcW w:w="47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55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w:t>
            </w:r>
          </w:p>
        </w:tc>
        <w:tc>
          <w:tcPr>
            <w:tcW w:w="47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55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47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55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5.17</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5.17</w:t>
            </w: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55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5.17</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5.17</w:t>
            </w: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55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事业单位医疗</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w:t>
            </w:r>
          </w:p>
        </w:tc>
        <w:tc>
          <w:tcPr>
            <w:tcW w:w="47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2101199</w:t>
            </w:r>
          </w:p>
        </w:tc>
        <w:tc>
          <w:tcPr>
            <w:tcW w:w="155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其他行政事业单位医疗支出</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47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155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98.78</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98.78</w:t>
            </w: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w:t>
            </w:r>
          </w:p>
        </w:tc>
        <w:tc>
          <w:tcPr>
            <w:tcW w:w="155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农业农村</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98.78</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98.78</w:t>
            </w: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2130104</w:t>
            </w:r>
          </w:p>
        </w:tc>
        <w:tc>
          <w:tcPr>
            <w:tcW w:w="155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事业运行</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98.78</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98.78</w:t>
            </w:r>
          </w:p>
        </w:tc>
        <w:tc>
          <w:tcPr>
            <w:tcW w:w="47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55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5.02</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5.02</w:t>
            </w: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55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5.02</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5.02</w:t>
            </w: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9" w:type="pct"/>
            <w:tcBorders>
              <w:top w:val="nil"/>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557" w:type="pct"/>
            <w:tcBorders>
              <w:top w:val="nil"/>
              <w:left w:val="nil"/>
              <w:bottom w:val="nil"/>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562"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562"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476"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6"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6"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478"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备注：本表反映单位本年度各项支出情况。</w:t>
            </w:r>
          </w:p>
        </w:tc>
      </w:tr>
    </w:tbl>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75"/>
        <w:gridCol w:w="592"/>
        <w:gridCol w:w="2096"/>
        <w:gridCol w:w="592"/>
        <w:gridCol w:w="592"/>
        <w:gridCol w:w="342"/>
        <w:gridCol w:w="3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公开单位：重庆市万盛经济技术开发区乡村产业发展中心</w:t>
            </w: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p>
        </w:tc>
        <w:tc>
          <w:tcPr>
            <w:tcW w:w="2578"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421" w:type="pct"/>
            <w:gridSpan w:val="2"/>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收入</w:t>
            </w:r>
          </w:p>
        </w:tc>
        <w:tc>
          <w:tcPr>
            <w:tcW w:w="2578" w:type="pct"/>
            <w:gridSpan w:val="5"/>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73"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648"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c>
          <w:tcPr>
            <w:tcW w:w="990"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w:t>
            </w:r>
          </w:p>
        </w:tc>
        <w:tc>
          <w:tcPr>
            <w:tcW w:w="1587"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773"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23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557" w:type="pc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一般公共预算财政拨款</w:t>
            </w:r>
          </w:p>
        </w:tc>
        <w:tc>
          <w:tcPr>
            <w:tcW w:w="397" w:type="pc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政府性基金预算财政拨款</w:t>
            </w:r>
          </w:p>
        </w:tc>
        <w:tc>
          <w:tcPr>
            <w:tcW w:w="399" w:type="pc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123.79</w:t>
            </w: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w:t>
            </w: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14.81</w:t>
            </w: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14.81</w:t>
            </w: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w:t>
            </w: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w:t>
            </w: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98.78</w:t>
            </w: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98.78</w:t>
            </w: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123.79</w:t>
            </w: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123.79</w:t>
            </w: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123.79</w:t>
            </w: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w:t>
            </w: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7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123.79</w:t>
            </w:r>
          </w:p>
        </w:tc>
        <w:tc>
          <w:tcPr>
            <w:tcW w:w="9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123.79</w:t>
            </w:r>
          </w:p>
        </w:tc>
        <w:tc>
          <w:tcPr>
            <w:tcW w:w="5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123.79</w:t>
            </w:r>
          </w:p>
        </w:tc>
        <w:tc>
          <w:tcPr>
            <w:tcW w:w="3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备注：本表反映单位本年度一般公共预算财政拨款、政府性基金预算财政拨款及国有资本经营预算财政拨款的总收支和年末结转结余情况。</w:t>
            </w:r>
          </w:p>
        </w:tc>
      </w:tr>
    </w:tbl>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4"/>
        <w:gridCol w:w="3268"/>
        <w:gridCol w:w="1955"/>
        <w:gridCol w:w="1352"/>
        <w:gridCol w:w="1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5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公开单位：重庆市万盛经济技术开发区乡村产业发展中心</w:t>
            </w:r>
          </w:p>
        </w:tc>
        <w:tc>
          <w:tcPr>
            <w:tcW w:w="184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116"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2883" w:type="pct"/>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663"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1033"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032"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81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663"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033"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03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81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663"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033"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03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81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116"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0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123.79</w:t>
            </w:r>
          </w:p>
        </w:tc>
        <w:tc>
          <w:tcPr>
            <w:tcW w:w="10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123.79</w:t>
            </w:r>
          </w:p>
        </w:tc>
        <w:tc>
          <w:tcPr>
            <w:tcW w:w="8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66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社会保障和就业支出</w:t>
            </w:r>
          </w:p>
        </w:tc>
        <w:tc>
          <w:tcPr>
            <w:tcW w:w="103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14.81</w:t>
            </w:r>
          </w:p>
        </w:tc>
        <w:tc>
          <w:tcPr>
            <w:tcW w:w="103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14.81</w:t>
            </w:r>
          </w:p>
        </w:tc>
        <w:tc>
          <w:tcPr>
            <w:tcW w:w="81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66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行政事业单位养老支出</w:t>
            </w:r>
          </w:p>
        </w:tc>
        <w:tc>
          <w:tcPr>
            <w:tcW w:w="103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14.81</w:t>
            </w:r>
          </w:p>
        </w:tc>
        <w:tc>
          <w:tcPr>
            <w:tcW w:w="103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14.81</w:t>
            </w:r>
          </w:p>
        </w:tc>
        <w:tc>
          <w:tcPr>
            <w:tcW w:w="81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1663"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事业单位离退休</w:t>
            </w:r>
          </w:p>
        </w:tc>
        <w:tc>
          <w:tcPr>
            <w:tcW w:w="10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w:t>
            </w:r>
          </w:p>
        </w:tc>
        <w:tc>
          <w:tcPr>
            <w:tcW w:w="10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w:t>
            </w:r>
          </w:p>
        </w:tc>
        <w:tc>
          <w:tcPr>
            <w:tcW w:w="8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663"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0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w:t>
            </w:r>
          </w:p>
        </w:tc>
        <w:tc>
          <w:tcPr>
            <w:tcW w:w="10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w:t>
            </w:r>
          </w:p>
        </w:tc>
        <w:tc>
          <w:tcPr>
            <w:tcW w:w="8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663"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10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0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8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66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03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5.17</w:t>
            </w:r>
          </w:p>
        </w:tc>
        <w:tc>
          <w:tcPr>
            <w:tcW w:w="103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5.17</w:t>
            </w:r>
          </w:p>
        </w:tc>
        <w:tc>
          <w:tcPr>
            <w:tcW w:w="81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66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03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5.17</w:t>
            </w:r>
          </w:p>
        </w:tc>
        <w:tc>
          <w:tcPr>
            <w:tcW w:w="103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5.17</w:t>
            </w:r>
          </w:p>
        </w:tc>
        <w:tc>
          <w:tcPr>
            <w:tcW w:w="81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663"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事业单位医疗</w:t>
            </w:r>
          </w:p>
        </w:tc>
        <w:tc>
          <w:tcPr>
            <w:tcW w:w="10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w:t>
            </w:r>
          </w:p>
        </w:tc>
        <w:tc>
          <w:tcPr>
            <w:tcW w:w="10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w:t>
            </w:r>
          </w:p>
        </w:tc>
        <w:tc>
          <w:tcPr>
            <w:tcW w:w="8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2101199</w:t>
            </w:r>
          </w:p>
        </w:tc>
        <w:tc>
          <w:tcPr>
            <w:tcW w:w="1663"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其他行政事业单位医疗支出</w:t>
            </w:r>
          </w:p>
        </w:tc>
        <w:tc>
          <w:tcPr>
            <w:tcW w:w="10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0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8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166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103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98.78</w:t>
            </w:r>
          </w:p>
        </w:tc>
        <w:tc>
          <w:tcPr>
            <w:tcW w:w="103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98.78</w:t>
            </w:r>
          </w:p>
        </w:tc>
        <w:tc>
          <w:tcPr>
            <w:tcW w:w="81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w:t>
            </w:r>
          </w:p>
        </w:tc>
        <w:tc>
          <w:tcPr>
            <w:tcW w:w="166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农业农村</w:t>
            </w:r>
          </w:p>
        </w:tc>
        <w:tc>
          <w:tcPr>
            <w:tcW w:w="103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98.78</w:t>
            </w:r>
          </w:p>
        </w:tc>
        <w:tc>
          <w:tcPr>
            <w:tcW w:w="103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98.78</w:t>
            </w:r>
          </w:p>
        </w:tc>
        <w:tc>
          <w:tcPr>
            <w:tcW w:w="81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2130104</w:t>
            </w:r>
          </w:p>
        </w:tc>
        <w:tc>
          <w:tcPr>
            <w:tcW w:w="1663"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事业运行</w:t>
            </w:r>
          </w:p>
        </w:tc>
        <w:tc>
          <w:tcPr>
            <w:tcW w:w="10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98.78</w:t>
            </w:r>
          </w:p>
        </w:tc>
        <w:tc>
          <w:tcPr>
            <w:tcW w:w="10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98.78</w:t>
            </w:r>
          </w:p>
        </w:tc>
        <w:tc>
          <w:tcPr>
            <w:tcW w:w="8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66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03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5.02</w:t>
            </w:r>
          </w:p>
        </w:tc>
        <w:tc>
          <w:tcPr>
            <w:tcW w:w="103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5.02</w:t>
            </w:r>
          </w:p>
        </w:tc>
        <w:tc>
          <w:tcPr>
            <w:tcW w:w="81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66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03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5.02</w:t>
            </w:r>
          </w:p>
        </w:tc>
        <w:tc>
          <w:tcPr>
            <w:tcW w:w="103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5.02</w:t>
            </w:r>
          </w:p>
        </w:tc>
        <w:tc>
          <w:tcPr>
            <w:tcW w:w="81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663"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10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10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8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备注：本表反映单位本年度一般公共预算财政拨款支出情况。</w:t>
            </w:r>
          </w:p>
        </w:tc>
      </w:tr>
    </w:tbl>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3"/>
        <w:gridCol w:w="2548"/>
        <w:gridCol w:w="466"/>
        <w:gridCol w:w="466"/>
        <w:gridCol w:w="1115"/>
        <w:gridCol w:w="466"/>
        <w:gridCol w:w="466"/>
        <w:gridCol w:w="2015"/>
        <w:gridCol w:w="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4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公开单位：重庆市万盛经济技术开发区乡村产业发展中心</w:t>
            </w:r>
          </w:p>
        </w:tc>
        <w:tc>
          <w:tcPr>
            <w:tcW w:w="3757" w:type="pct"/>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66" w:type="pct"/>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人员经费</w:t>
            </w:r>
          </w:p>
        </w:tc>
        <w:tc>
          <w:tcPr>
            <w:tcW w:w="3333" w:type="pct"/>
            <w:gridSpan w:val="6"/>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经济分类科目编码</w:t>
            </w:r>
          </w:p>
        </w:tc>
        <w:tc>
          <w:tcPr>
            <w:tcW w:w="106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经济分类科目（按“款”级经济分类科目）</w:t>
            </w:r>
          </w:p>
        </w:tc>
        <w:tc>
          <w:tcPr>
            <w:tcW w:w="423"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c>
          <w:tcPr>
            <w:tcW w:w="18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经济分类科目编码</w:t>
            </w:r>
          </w:p>
        </w:tc>
        <w:tc>
          <w:tcPr>
            <w:tcW w:w="106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经济分类科目（按“款”级经济分类科目）</w:t>
            </w:r>
          </w:p>
        </w:tc>
        <w:tc>
          <w:tcPr>
            <w:tcW w:w="423"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c>
          <w:tcPr>
            <w:tcW w:w="18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经济分类科目编码</w:t>
            </w:r>
          </w:p>
        </w:tc>
        <w:tc>
          <w:tcPr>
            <w:tcW w:w="106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经济分类科目（按“款”级功能分类科目）</w:t>
            </w:r>
          </w:p>
        </w:tc>
        <w:tc>
          <w:tcPr>
            <w:tcW w:w="424"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06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23"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8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06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23"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8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06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424"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95.45</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24.01</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基本工资</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23.78</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房屋建筑物购建</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津贴补贴</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印刷费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办公设备购置</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奖金</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咨询费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专用设备购置</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伙食补助费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手续费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基础设施建设</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绩效工资</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46.47</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大型修缮</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信息网络及软件购置更新</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职业年金缴费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邮电费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物资储备</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职工基本医疗保险缴费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取暖费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土地补偿</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公务员医疗补助缴费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物业管理费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安置补助</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其他社会保障缴费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差旅费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地上附着物和青苗补偿</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拆迁补偿</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维修（护）费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0.05</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其他工资福利支出</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租赁费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其他交通工具购置</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文物和陈列品购置</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离休费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无形资产购置</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其他资本性支出</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退职（役）费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专用材料费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对企业补助</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抚恤金</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被装购置费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31201</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资本金注入</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生活补助</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专用燃料费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31203</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政府投资基金股权投资</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救济费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31204</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费用补贴</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医疗费补助</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委托业务费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31205</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利息补贴</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助学金</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工会经费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31299</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其他对企业补助</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奖励金</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福利费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个人农业生产补贴</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国家赔偿费用支出</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代缴社会保险费</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其他交通费用</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对民间非营利组织和群众性自治组织补贴</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其他个人和家庭的补助支出</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税金及附加费用</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39909</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经常性赠与</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其他商品和服务支出</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39910</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资本性赠与</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国内债务付息</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国外债务付息</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30703</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国内债务发行费用</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30704</w:t>
            </w: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国外债务发行费用</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106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2" w:type="pct"/>
            <w:gridSpan w:val="2"/>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人员经费合计</w:t>
            </w:r>
          </w:p>
        </w:tc>
        <w:tc>
          <w:tcPr>
            <w:tcW w:w="4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99.78</w:t>
            </w:r>
          </w:p>
        </w:tc>
        <w:tc>
          <w:tcPr>
            <w:tcW w:w="2908" w:type="pct"/>
            <w:gridSpan w:val="5"/>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公用经费合计</w:t>
            </w:r>
          </w:p>
        </w:tc>
        <w:tc>
          <w:tcPr>
            <w:tcW w:w="4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注：本表反映单位本年度一般公共预算财政拨款基本支出明细情况。</w:t>
            </w:r>
          </w:p>
        </w:tc>
      </w:tr>
    </w:tbl>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1"/>
        <w:gridCol w:w="2661"/>
        <w:gridCol w:w="1359"/>
        <w:gridCol w:w="758"/>
        <w:gridCol w:w="758"/>
        <w:gridCol w:w="758"/>
        <w:gridCol w:w="760"/>
        <w:gridCol w:w="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59"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公开单位：重庆市万盛经济技术开发区乡村产业发展中心</w:t>
            </w:r>
          </w:p>
        </w:tc>
        <w:tc>
          <w:tcPr>
            <w:tcW w:w="294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71"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年初结转和结余</w:t>
            </w: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w:t>
            </w:r>
          </w:p>
        </w:tc>
        <w:tc>
          <w:tcPr>
            <w:tcW w:w="1763" w:type="pct"/>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5"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176"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9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71"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1176"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备注：1、本表反映单位本年度政府性基金预算财政拨款收入支出及结转和结余情况。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2、本单位无政府性基金收入，也没有使用政府性基金安排的支出，故本表无数据。</w:t>
            </w:r>
          </w:p>
        </w:tc>
      </w:tr>
    </w:tbl>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28"/>
        <w:gridCol w:w="2972"/>
        <w:gridCol w:w="1861"/>
        <w:gridCol w:w="1384"/>
        <w:gridCol w:w="1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5"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公开单位：重庆市万盛经济技术开发区乡村产业发展中心</w:t>
            </w:r>
          </w:p>
        </w:tc>
        <w:tc>
          <w:tcPr>
            <w:tcW w:w="193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75"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2924" w:type="pct"/>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89"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585"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科目名称</w:t>
            </w:r>
          </w:p>
        </w:tc>
        <w:tc>
          <w:tcPr>
            <w:tcW w:w="989"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6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96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58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96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96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8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158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96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c>
          <w:tcPr>
            <w:tcW w:w="96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75"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1585"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rPr>
                <w:rFonts w:hint="eastAsia" w:ascii="宋体" w:hAnsi="宋体" w:eastAsia="宋体" w:cs="宋体"/>
                <w:i w:val="0"/>
                <w:iCs w:val="0"/>
                <w:color w:val="000000"/>
                <w:sz w:val="20"/>
                <w:szCs w:val="20"/>
                <w:u w:val="none"/>
              </w:rPr>
            </w:pP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c>
          <w:tcPr>
            <w:tcW w:w="9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备注：1、本表反映单位本年度国有资本经营预算财政拨款支出情况。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2、本单位无国有资本经营预算财政拨款支出，故本表无数据。</w:t>
            </w:r>
          </w:p>
        </w:tc>
      </w:tr>
    </w:tbl>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50"/>
        <w:gridCol w:w="770"/>
        <w:gridCol w:w="770"/>
        <w:gridCol w:w="549"/>
        <w:gridCol w:w="2643"/>
        <w:gridCol w:w="5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机构运行信息表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公开单位：重庆市万盛经济技术开发区乡村产业发展中心</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18"/>
                <w:szCs w:val="18"/>
                <w:u w:val="none"/>
              </w:rPr>
            </w:pPr>
          </w:p>
        </w:tc>
        <w:tc>
          <w:tcPr>
            <w:tcW w:w="2626"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41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年初预算数</w:t>
            </w:r>
          </w:p>
        </w:tc>
        <w:tc>
          <w:tcPr>
            <w:tcW w:w="41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全年预算数</w:t>
            </w:r>
          </w:p>
        </w:tc>
        <w:tc>
          <w:tcPr>
            <w:tcW w:w="28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c>
          <w:tcPr>
            <w:tcW w:w="164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28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一、“三公”经费支出</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4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四、机关运行经费</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（一）支出合计</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164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（一）行政单位</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1．因公出国（境）费</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c>
          <w:tcPr>
            <w:tcW w:w="164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（二）参照公务员法管理事业单位</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2．公务用车购置及运行维护费</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c>
          <w:tcPr>
            <w:tcW w:w="164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五、资产信息</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（1）公务用车购置费</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c>
          <w:tcPr>
            <w:tcW w:w="164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（一）车辆数合计（辆）</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（2）公务用车运行维护费</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c>
          <w:tcPr>
            <w:tcW w:w="164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1．副部（省）级及以上领导用车</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3．公务接待费</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164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2．主要领导干部用车</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（1）国内接待费</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164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3．机要通信用车</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其中：外事接待费</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c>
          <w:tcPr>
            <w:tcW w:w="164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4．应急保障用车</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（2）国（境）外接待费</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c>
          <w:tcPr>
            <w:tcW w:w="164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5．执法执勤用车</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（二）相关统计数</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4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6．特种专业技术用车</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1．因公出国（境）团组数（个）</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c>
          <w:tcPr>
            <w:tcW w:w="164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7．离退休干部用车</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2．因公出国（境）人次数（人）</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c>
          <w:tcPr>
            <w:tcW w:w="164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8．其他用车</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3．公务用车购置数（辆）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c>
          <w:tcPr>
            <w:tcW w:w="164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（二）单价100万元（含）以上设备（不含车辆）</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4．公务用车保有量（辆）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c>
          <w:tcPr>
            <w:tcW w:w="164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六、政府采购支出信息</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5．国内公务接待批次（个）</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4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（一）政府采购支出合计</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其中：外事接待批次（个）</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c>
          <w:tcPr>
            <w:tcW w:w="164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1．政府采购货物支出</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6．国内公务接待人次（人）</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64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2．政府采购工程支出</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其中：外事接待人次（人）</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c>
          <w:tcPr>
            <w:tcW w:w="164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3．政府采购服务支出</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5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7．国（境）外公务接待批次（个）</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c>
          <w:tcPr>
            <w:tcW w:w="164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（二）政府采购授予中小企业合同金额</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5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8．国（境）外公务接待人次（人）</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c>
          <w:tcPr>
            <w:tcW w:w="164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其中：授予小微企业合同金额</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5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二、会议费</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c>
          <w:tcPr>
            <w:tcW w:w="164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5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三、培训费</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w:t>
            </w:r>
          </w:p>
        </w:tc>
        <w:tc>
          <w:tcPr>
            <w:tcW w:w="164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本表反应单位本年度“三公”经费支出预决算情况。其中：年初预算数为“三公”经费年初单位预算批复数，全年预算数为“三公”经费全年预算数，反应按照规定程序调整后的预算数；决算数是包括当年一般公共预算财政拨款、政府性基金预算财政拨款和以前年度结转资金安排的实际支出。</w:t>
            </w:r>
          </w:p>
        </w:tc>
      </w:tr>
    </w:tbl>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A0D111"/>
    <w:multiLevelType w:val="multilevel"/>
    <w:tmpl w:val="BBA0D111"/>
    <w:lvl w:ilvl="0" w:tentative="0">
      <w:start w:val="5"/>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OTZkNDZkZDYwMDUzZTQyN2E1YTZmMWVjMjMxMDkifQ=="/>
  </w:docVars>
  <w:rsids>
    <w:rsidRoot w:val="00000000"/>
    <w:rsid w:val="087F1AB3"/>
    <w:rsid w:val="08B85747"/>
    <w:rsid w:val="16AD3C79"/>
    <w:rsid w:val="2E104BF1"/>
    <w:rsid w:val="33823B55"/>
    <w:rsid w:val="35786192"/>
    <w:rsid w:val="40F81C1C"/>
    <w:rsid w:val="4E4E1993"/>
    <w:rsid w:val="679163F4"/>
    <w:rsid w:val="6C6D5F26"/>
    <w:rsid w:val="6D7427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unhideWhenUsed/>
    <w:qFormat/>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3">
    <w:name w:val="heading 1"/>
    <w:basedOn w:val="1"/>
    <w:next w:val="1"/>
    <w:qFormat/>
    <w:uiPriority w:val="0"/>
    <w:pPr>
      <w:spacing w:before="0" w:beforeAutospacing="1" w:after="0" w:afterAutospacing="1"/>
      <w:ind w:left="0" w:right="0"/>
      <w:jc w:val="left"/>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0"/>
    <w:pPr>
      <w:spacing w:before="0" w:beforeAutospacing="1" w:after="0" w:afterAutospacing="1"/>
      <w:ind w:left="0" w:right="0"/>
      <w:jc w:val="left"/>
    </w:pPr>
    <w:rPr>
      <w:rFonts w:hint="eastAsia" w:ascii="宋体" w:hAnsi="宋体" w:eastAsia="宋体" w:cs="宋体"/>
      <w:b/>
      <w:bCs/>
      <w:kern w:val="0"/>
      <w:sz w:val="36"/>
      <w:szCs w:val="36"/>
      <w:lang w:val="en-US" w:eastAsia="zh-CN" w:bidi="ar"/>
    </w:rPr>
  </w:style>
  <w:style w:type="paragraph" w:styleId="5">
    <w:name w:val="heading 3"/>
    <w:basedOn w:val="1"/>
    <w:next w:val="1"/>
    <w:qFormat/>
    <w:uiPriority w:val="0"/>
    <w:pPr>
      <w:spacing w:before="0" w:beforeAutospacing="1" w:after="0" w:afterAutospacing="1"/>
      <w:ind w:left="0" w:right="0"/>
      <w:jc w:val="left"/>
    </w:pPr>
    <w:rPr>
      <w:rFonts w:hint="eastAsia" w:ascii="宋体" w:hAnsi="宋体" w:eastAsia="宋体" w:cs="宋体"/>
      <w:b/>
      <w:bCs/>
      <w:kern w:val="0"/>
      <w:sz w:val="27"/>
      <w:szCs w:val="27"/>
      <w:lang w:val="en-US" w:eastAsia="zh-CN" w:bidi="ar"/>
    </w:rPr>
  </w:style>
  <w:style w:type="paragraph" w:styleId="6">
    <w:name w:val="heading 4"/>
    <w:basedOn w:val="1"/>
    <w:next w:val="1"/>
    <w:qFormat/>
    <w:uiPriority w:val="0"/>
    <w:pPr>
      <w:spacing w:before="0" w:beforeAutospacing="1" w:after="0" w:afterAutospacing="1"/>
      <w:ind w:left="0" w:right="0"/>
      <w:jc w:val="left"/>
    </w:pPr>
    <w:rPr>
      <w:rFonts w:hint="eastAsia" w:ascii="宋体" w:hAnsi="宋体" w:eastAsia="宋体" w:cs="宋体"/>
      <w:b/>
      <w:bCs/>
      <w:kern w:val="0"/>
      <w:sz w:val="24"/>
      <w:szCs w:val="24"/>
      <w:lang w:val="en-US" w:eastAsia="zh-CN" w:bidi="ar"/>
    </w:rPr>
  </w:style>
  <w:style w:type="paragraph" w:styleId="7">
    <w:name w:val="heading 5"/>
    <w:basedOn w:val="1"/>
    <w:next w:val="1"/>
    <w:qFormat/>
    <w:uiPriority w:val="0"/>
    <w:pPr>
      <w:spacing w:before="0" w:beforeAutospacing="1" w:after="0" w:afterAutospacing="1"/>
      <w:ind w:left="0" w:right="0"/>
      <w:jc w:val="left"/>
    </w:pPr>
    <w:rPr>
      <w:rFonts w:hint="eastAsia" w:ascii="宋体" w:hAnsi="宋体" w:eastAsia="宋体" w:cs="宋体"/>
      <w:b/>
      <w:bCs/>
      <w:kern w:val="0"/>
      <w:sz w:val="20"/>
      <w:szCs w:val="20"/>
      <w:lang w:val="en-US" w:eastAsia="zh-CN" w:bidi="ar"/>
    </w:rPr>
  </w:style>
  <w:style w:type="paragraph" w:styleId="8">
    <w:name w:val="heading 6"/>
    <w:basedOn w:val="1"/>
    <w:next w:val="1"/>
    <w:qFormat/>
    <w:uiPriority w:val="0"/>
    <w:pPr>
      <w:spacing w:before="0" w:beforeAutospacing="1" w:after="0" w:afterAutospacing="1"/>
      <w:ind w:left="0" w:right="0"/>
      <w:jc w:val="left"/>
    </w:pPr>
    <w:rPr>
      <w:rFonts w:hint="eastAsia" w:ascii="宋体" w:hAnsi="宋体" w:eastAsia="宋体" w:cs="宋体"/>
      <w:b/>
      <w:bCs/>
      <w:kern w:val="0"/>
      <w:sz w:val="15"/>
      <w:szCs w:val="15"/>
      <w:lang w:val="en-US" w:eastAsia="zh-CN" w:bidi="ar"/>
    </w:rPr>
  </w:style>
  <w:style w:type="character" w:default="1" w:styleId="12">
    <w:name w:val="Default Paragraph Font"/>
    <w:semiHidden/>
    <w:unhideWhenUsed/>
    <w:qFormat/>
    <w:uiPriority w:val="99"/>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Plain Text"/>
    <w:basedOn w:val="1"/>
    <w:qFormat/>
    <w:uiPriority w:val="0"/>
    <w:pPr>
      <w:spacing w:before="0" w:beforeAutospacing="0" w:after="0" w:afterAutospacing="0"/>
      <w:ind w:left="0" w:right="0" w:firstLine="648" w:firstLineChars="200"/>
      <w:jc w:val="left"/>
    </w:pPr>
    <w:rPr>
      <w:rFonts w:hint="eastAsia" w:ascii="方正黑体_GBK" w:hAnsi="Courier New" w:eastAsia="方正仿宋_GBK" w:cs="Times New Roman"/>
      <w:kern w:val="0"/>
      <w:sz w:val="32"/>
      <w:szCs w:val="32"/>
      <w:lang w:val="en-US" w:eastAsia="zh-CN" w:bidi="ar"/>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3">
    <w:name w:val="普通(网站) Char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4">
    <w:name w:val="普通(网站) Char Char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5">
    <w:name w:val="HTML 预设格式 Char"/>
    <w:basedOn w:val="1"/>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16">
    <w:name w:val="10"/>
    <w:basedOn w:val="12"/>
    <w:qFormat/>
    <w:uiPriority w:val="0"/>
    <w:rPr>
      <w:rFonts w:hint="default" w:ascii="Times New Roman" w:hAnsi="Times New Roman" w:cs="Times New Roman"/>
    </w:rPr>
  </w:style>
  <w:style w:type="paragraph" w:customStyle="1" w:styleId="17">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8">
    <w:name w:val="15"/>
    <w:basedOn w:val="12"/>
    <w:qFormat/>
    <w:uiPriority w:val="0"/>
    <w:rPr>
      <w:rFonts w:hint="default" w:ascii="Times New Roman" w:hAnsi="Times New Roman" w:cs="Times New Roman"/>
    </w:rPr>
  </w:style>
  <w:style w:type="character" w:customStyle="1" w:styleId="19">
    <w:name w:val="16"/>
    <w:basedOn w:val="12"/>
    <w:qFormat/>
    <w:uiPriority w:val="0"/>
    <w:rPr>
      <w:rFonts w:hint="default" w:ascii="Times New Roman" w:hAnsi="Times New Roman" w:cs="Times New Roman"/>
      <w:b/>
    </w:rPr>
  </w:style>
  <w:style w:type="character" w:customStyle="1" w:styleId="20">
    <w:name w:val="17"/>
    <w:basedOn w:val="12"/>
    <w:qFormat/>
    <w:uiPriority w:val="0"/>
    <w:rPr>
      <w:rFonts w:hint="default" w:ascii="Times New Roman" w:hAnsi="Times New Roman" w:cs="Times New Roman"/>
    </w:rPr>
  </w:style>
  <w:style w:type="character" w:customStyle="1" w:styleId="21">
    <w:name w:val="18"/>
    <w:basedOn w:val="12"/>
    <w:qFormat/>
    <w:uiPriority w:val="0"/>
    <w:rPr>
      <w:rFonts w:hint="default" w:ascii="Times New Roman" w:hAnsi="Times New Roman" w:cs="Times New Roman"/>
    </w:rPr>
  </w:style>
  <w:style w:type="paragraph" w:customStyle="1" w:styleId="22">
    <w:name w:val="普通(网站) Char Char Char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23">
    <w:name w:val="HTML 预设格式 Char Char"/>
    <w:basedOn w:val="1"/>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23</Pages>
  <Words>7974</Words>
  <Characters>9483</Characters>
  <Lines>1</Lines>
  <Paragraphs>1</Paragraphs>
  <TotalTime>16</TotalTime>
  <ScaleCrop>false</ScaleCrop>
  <LinksUpToDate>false</LinksUpToDate>
  <CharactersWithSpaces>9483</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2023-10-18T05:52:00Z</dcterms:created>
  <dc:creator>Administrator</dc:creator>
  <cp:lastModifiedBy>彭鹏</cp:lastModifiedBy>
  <dcterms:modified xsi:type="dcterms:W3CDTF">2023-10-31T01:37:22Z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3A99A51F3C29413D948D489C1C561B7E_13</vt:lpwstr>
  </property>
</Properties>
</file>