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i w:val="0"/>
          <w:iCs w:val="0"/>
          <w:caps w:val="0"/>
          <w:spacing w:val="0"/>
          <w:kern w:val="0"/>
          <w:sz w:val="44"/>
          <w:szCs w:val="44"/>
          <w:shd w:val="clear" w:fill="FFFFFF"/>
        </w:rPr>
      </w:pPr>
      <w:r>
        <w:rPr>
          <w:rFonts w:hint="eastAsia" w:ascii="方正小标宋_GBK" w:hAnsi="方正小标宋_GBK" w:eastAsia="方正小标宋_GBK" w:cs="方正小标宋_GBK"/>
          <w:i w:val="0"/>
          <w:iCs w:val="0"/>
          <w:caps w:val="0"/>
          <w:spacing w:val="0"/>
          <w:kern w:val="0"/>
          <w:sz w:val="44"/>
          <w:szCs w:val="44"/>
          <w:shd w:val="clear" w:fill="FFFFFF"/>
          <w:lang w:eastAsia="zh-CN"/>
        </w:rPr>
        <w:t>重庆市万盛经济技术开发区农业综合行政执法支队</w:t>
      </w:r>
      <w:r>
        <w:rPr>
          <w:rFonts w:hint="eastAsia" w:ascii="方正小标宋_GBK" w:hAnsi="方正小标宋_GBK" w:eastAsia="方正小标宋_GBK" w:cs="方正小标宋_GBK"/>
          <w:i w:val="0"/>
          <w:iCs w:val="0"/>
          <w:caps w:val="0"/>
          <w:spacing w:val="0"/>
          <w:kern w:val="0"/>
          <w:sz w:val="44"/>
          <w:szCs w:val="44"/>
          <w:shd w:val="clear" w:fill="FFFFFF"/>
        </w:rPr>
        <w:t>2022年度</w:t>
      </w:r>
      <w:r>
        <w:rPr>
          <w:rFonts w:hint="eastAsia" w:ascii="方正小标宋_GBK" w:hAnsi="方正小标宋_GBK" w:eastAsia="方正小标宋_GBK" w:cs="方正小标宋_GBK"/>
          <w:i w:val="0"/>
          <w:iCs w:val="0"/>
          <w:caps w:val="0"/>
          <w:spacing w:val="0"/>
          <w:kern w:val="0"/>
          <w:sz w:val="44"/>
          <w:szCs w:val="44"/>
          <w:shd w:val="clear" w:fill="FFFFFF"/>
          <w:lang w:eastAsia="zh-CN"/>
        </w:rPr>
        <w:t>部门</w:t>
      </w:r>
      <w:r>
        <w:rPr>
          <w:rFonts w:hint="eastAsia" w:ascii="方正小标宋_GBK" w:hAnsi="方正小标宋_GBK" w:eastAsia="方正小标宋_GBK" w:cs="方正小标宋_GBK"/>
          <w:i w:val="0"/>
          <w:iCs w:val="0"/>
          <w:caps w:val="0"/>
          <w:spacing w:val="0"/>
          <w:kern w:val="0"/>
          <w:sz w:val="44"/>
          <w:szCs w:val="44"/>
          <w:shd w:val="clear" w:fill="FFFFFF"/>
        </w:rPr>
        <w:t>决算情况说明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一、</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基本情况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（一）职能职责</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重庆市万盛经济技术开发区农业综合行政执法支队以区农林局名义执法，统一行使经开区农业系统内兽医兽药、生猪屠宰、种子、化肥、农药、农机、农产品质量、渔业、农村宅基地等行政处罚权及与之相关的行政检查、行政强制权等执法职能。</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承担农作物种子、农药、肥料、农业植物检疫等方面的执法职能。</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2、</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具体负责畜牧业产业监督管理，承担畜牧、饲料和饲料添加剂、动物及动物产品检疫、动物防疫、畜禽屠宰、兽药等方面的执法职能。</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3、</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具体负责渔业产业监督管理，承担渔业、渔船、渔港等方面的执法职能。</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4、</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承担农业机械使用操作、维修经营等方面的执法职能。</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5、</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承担农产品质量安全方面的有关执法职能。</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6、</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依法开展农村宅基地违法用地案件查处。</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7、</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指导各镇农业综合行政执法工作。</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8、</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承担农业综合行政执法有关信访、投诉举报受理、纠纷调解工作。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9、</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承担与农业综合行政执法有关的应急工作。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10、</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统筹协调农业行业安全生产及应急管理工作。</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11、负责农业动物疫病防治工作。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12、</w:t>
      </w: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完成上级交办的其他工作。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（二）机构设置</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t>重庆市万盛经济技术开发区农业综合行政执法支队</w:t>
      </w:r>
      <w:r>
        <w:rPr>
          <w:rFonts w:hint="eastAsia" w:eastAsia="方正仿宋_GBK" w:cs="Times New Roman"/>
          <w:i w:val="0"/>
          <w:iCs w:val="0"/>
          <w:caps w:val="0"/>
          <w:color w:val="333333"/>
          <w:spacing w:val="0"/>
          <w:kern w:val="2"/>
          <w:sz w:val="32"/>
          <w:szCs w:val="32"/>
          <w:shd w:val="clear" w:color="auto" w:fill="auto"/>
          <w:lang w:val="en-US" w:eastAsia="zh-CN" w:bidi="ar-SA"/>
        </w:rPr>
        <w:t>内设综合科、法制室、举报受理室、执法一队、执法二队、执法三队、执法四队。</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（三）单位构成</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二、</w:t>
      </w:r>
      <w:r>
        <w:rPr>
          <w:rFonts w:hint="eastAsia" w:ascii="方正黑体_GBK" w:hAnsi="方正黑体_GBK" w:eastAsia="方正黑体_GBK" w:cs="方正黑体_GBK"/>
          <w:i w:val="0"/>
          <w:iCs w:val="0"/>
          <w:caps w:val="0"/>
          <w:spacing w:val="0"/>
          <w:kern w:val="2"/>
          <w:sz w:val="32"/>
          <w:szCs w:val="32"/>
          <w:lang w:eastAsia="zh-CN"/>
        </w:rPr>
        <w:t>部门</w:t>
      </w:r>
      <w:bookmarkStart w:id="0" w:name="_GoBack"/>
      <w:bookmarkEnd w:id="0"/>
      <w:r>
        <w:rPr>
          <w:rFonts w:hint="eastAsia" w:ascii="方正黑体_GBK" w:hAnsi="方正黑体_GBK" w:eastAsia="方正黑体_GBK" w:cs="方正黑体_GBK"/>
          <w:i w:val="0"/>
          <w:iCs w:val="0"/>
          <w:caps w:val="0"/>
          <w:spacing w:val="0"/>
          <w:kern w:val="2"/>
          <w:sz w:val="32"/>
          <w:szCs w:val="32"/>
        </w:rPr>
        <w:t>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5"/>
          <w:rFonts w:hint="default" w:ascii="Calibri" w:hAnsi="Calibri" w:eastAsia="方正仿宋_GBK" w:cs="方正仿宋_GBK"/>
          <w:b/>
          <w:bCs w:val="0"/>
          <w:sz w:val="32"/>
          <w:szCs w:val="32"/>
          <w:shd w:val="clear" w:fill="FFFFFF"/>
        </w:rPr>
        <w:t>1.总体情况。</w:t>
      </w:r>
      <w:r>
        <w:rPr>
          <w:rFonts w:hint="eastAsia" w:ascii="方正仿宋_GBK" w:hAnsi="方正仿宋_GBK" w:eastAsia="方正仿宋_GBK" w:cs="方正仿宋_GBK"/>
          <w:i w:val="0"/>
          <w:iCs w:val="0"/>
          <w:caps w:val="0"/>
          <w:color w:val="333333"/>
          <w:spacing w:val="0"/>
          <w:kern w:val="2"/>
          <w:sz w:val="32"/>
          <w:szCs w:val="32"/>
          <w:lang w:eastAsia="zh-CN"/>
        </w:rPr>
        <w:t>2022年度收入总计660.58万元，支出总计660.58万元。收支较上年决算数增加660.58万元</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Style w:val="15"/>
          <w:rFonts w:hint="default" w:ascii="Calibri" w:hAnsi="Calibri" w:eastAsia="方正仿宋_GBK" w:cs="方正仿宋_GBK"/>
          <w:b/>
          <w:bCs w:val="0"/>
          <w:sz w:val="32"/>
          <w:szCs w:val="32"/>
          <w:shd w:val="clear" w:fill="FFFFFF"/>
        </w:rPr>
        <w:t>2.收入情况。</w:t>
      </w:r>
      <w:r>
        <w:rPr>
          <w:rFonts w:hint="eastAsia" w:ascii="方正仿宋_GBK" w:hAnsi="方正仿宋_GBK" w:eastAsia="方正仿宋_GBK" w:cs="方正仿宋_GBK"/>
          <w:i w:val="0"/>
          <w:iCs w:val="0"/>
          <w:caps w:val="0"/>
          <w:color w:val="333333"/>
          <w:spacing w:val="0"/>
          <w:kern w:val="2"/>
          <w:sz w:val="32"/>
          <w:szCs w:val="32"/>
        </w:rPr>
        <w:t>2022年度收入合计</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年开始独立填报决算，无上年决算数据。其中：财政拨款收入</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eastAsia="zh-CN"/>
        </w:rPr>
        <w:t>100.0%。</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rPr>
      </w:pPr>
      <w:r>
        <w:rPr>
          <w:rStyle w:val="15"/>
          <w:rFonts w:hint="default" w:ascii="Calibri" w:hAnsi="Calibri" w:eastAsia="方正仿宋_GBK" w:cs="方正仿宋_GBK"/>
          <w:b/>
          <w:bCs w:val="0"/>
          <w:sz w:val="32"/>
          <w:szCs w:val="32"/>
          <w:shd w:val="clear" w:fill="FFFFFF"/>
        </w:rPr>
        <w:t>3.支出情况。</w:t>
      </w:r>
      <w:r>
        <w:rPr>
          <w:rFonts w:hint="eastAsia" w:ascii="方正仿宋_GBK" w:hAnsi="方正仿宋_GBK" w:eastAsia="方正仿宋_GBK" w:cs="方正仿宋_GBK"/>
          <w:i w:val="0"/>
          <w:iCs w:val="0"/>
          <w:caps w:val="0"/>
          <w:color w:val="333333"/>
          <w:spacing w:val="0"/>
          <w:kern w:val="2"/>
          <w:sz w:val="32"/>
          <w:szCs w:val="32"/>
        </w:rPr>
        <w:t>2022年度支出合计</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rPr>
        <w:t>万元，较上年决算增加</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w:t>
      </w:r>
      <w:r>
        <w:rPr>
          <w:rFonts w:hint="eastAsia" w:ascii="方正仿宋_GBK" w:hAnsi="方正仿宋_GBK" w:eastAsia="方正仿宋_GBK" w:cs="方正仿宋_GBK"/>
          <w:i w:val="0"/>
          <w:iCs w:val="0"/>
          <w:caps w:val="0"/>
          <w:color w:val="333333"/>
          <w:spacing w:val="0"/>
          <w:kern w:val="2"/>
          <w:sz w:val="32"/>
          <w:szCs w:val="32"/>
          <w:lang w:val="en-US" w:eastAsia="zh-CN"/>
        </w:rPr>
        <w:t>:</w:t>
      </w:r>
      <w:r>
        <w:rPr>
          <w:rFonts w:hint="eastAsia" w:ascii="方正仿宋_GBK" w:hAnsi="方正仿宋_GBK" w:eastAsia="方正仿宋_GBK" w:cs="方正仿宋_GBK"/>
          <w:i w:val="0"/>
          <w:iCs w:val="0"/>
          <w:caps w:val="0"/>
          <w:color w:val="333333"/>
          <w:spacing w:val="0"/>
          <w:kern w:val="2"/>
          <w:sz w:val="32"/>
          <w:szCs w:val="32"/>
        </w:rPr>
        <w:t>基本支出627.08万元，占94.9%；项目支出33.5万元，占5.1%</w:t>
      </w:r>
      <w:r>
        <w:rPr>
          <w:rFonts w:hint="eastAsia" w:ascii="方正仿宋_GBK" w:hAnsi="方正仿宋_GBK" w:eastAsia="方正仿宋_GBK" w:cs="方正仿宋_GBK"/>
          <w:i w:val="0"/>
          <w:iCs w:val="0"/>
          <w:caps w:val="0"/>
          <w:color w:val="333333"/>
          <w:spacing w:val="0"/>
          <w:kern w:val="2"/>
          <w:sz w:val="32"/>
          <w:szCs w:val="32"/>
          <w:lang w:eastAsia="zh-CN"/>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default" w:ascii="Calibri" w:hAnsi="Calibri" w:eastAsia="方正仿宋_GBK" w:cs="方正仿宋_GBK"/>
          <w:b/>
          <w:bCs w:val="0"/>
          <w:sz w:val="32"/>
          <w:szCs w:val="32"/>
          <w:shd w:val="clear" w:fill="FFFFFF"/>
        </w:rPr>
        <w:t>4.结转结余情况。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（二）财政拨款收入支出决算总体情况说明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2022年度财政拨款收、支总计</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lang w:val="en-US" w:eastAsia="zh-CN" w:bidi="ar"/>
        </w:rPr>
        <w:t>万元。与2021年相比，财政拨款收、支总计各增加</w:t>
      </w:r>
      <w:r>
        <w:rPr>
          <w:rFonts w:hint="eastAsia" w:ascii="方正仿宋_GBK" w:hAnsi="方正仿宋_GBK" w:eastAsia="方正仿宋_GBK" w:cs="方正仿宋_GBK"/>
          <w:i w:val="0"/>
          <w:iCs w:val="0"/>
          <w:caps w:val="0"/>
          <w:color w:val="333333"/>
          <w:spacing w:val="0"/>
          <w:kern w:val="2"/>
          <w:sz w:val="32"/>
          <w:szCs w:val="32"/>
          <w:lang w:eastAsia="zh-CN"/>
        </w:rPr>
        <w:t>660.58</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（三）一般公共预算财政拨款收入支出决算情况说明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Style w:val="15"/>
          <w:rFonts w:ascii="Calibri" w:hAnsi="Calibri" w:eastAsia="方正仿宋_GBK" w:cs="方正仿宋_GBK"/>
          <w:bCs w:val="0"/>
          <w:kern w:val="0"/>
          <w:sz w:val="32"/>
          <w:szCs w:val="32"/>
          <w:shd w:val="clear" w:fill="FFFFFF"/>
          <w:lang w:val="en-US" w:eastAsia="zh-CN" w:bidi="ar"/>
        </w:rPr>
        <w:t>1.收入情况。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2022年度一般公共预算财政拨款收入657.04万元，较上年决算数增加657.04万元，增长100.0%。主要原因是本单位在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年开始独立填报决算，无上年决算数据。较年初预算数增加104.24万元，增长18.9%。主要原因是新招录人员及社保、公积金基数调整以及项目支出增加。</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2.支出情况。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2022年度一般公共预算财政拨款支出657.04万元，较上年决算数增加657.04万元，增长100.0%。主要原因是本单位在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年开始独立填报决算，无上年决算数据。较年初预算数增加104.24万元，增长18.9%。主要原因是新招录人员及社保、公积金基数调整以及项目支出增加。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Style w:val="15"/>
          <w:rFonts w:hint="default" w:ascii="Calibri" w:hAnsi="Calibri" w:eastAsia="方正仿宋_GBK" w:cs="方正仿宋_GBK"/>
          <w:b/>
          <w:bCs w:val="0"/>
          <w:sz w:val="32"/>
          <w:szCs w:val="32"/>
          <w:shd w:val="clear" w:fill="FFFFFF"/>
        </w:rPr>
        <w:t>3.</w:t>
      </w:r>
      <w:r>
        <w:rPr>
          <w:rStyle w:val="15"/>
          <w:rFonts w:hint="eastAsia" w:ascii="Calibri" w:hAnsi="Calibri" w:eastAsia="方正仿宋_GBK" w:cs="方正仿宋_GBK"/>
          <w:b/>
          <w:bCs w:val="0"/>
          <w:sz w:val="32"/>
          <w:szCs w:val="32"/>
          <w:shd w:val="clear" w:fill="FFFFFF"/>
        </w:rPr>
        <w:t>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年度年末一般公共预算财政拨款结转和结余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万元，与上年决算数一致。</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hint="eastAsia" w:ascii="Calibri" w:hAnsi="Calibri" w:eastAsia="方正仿宋_GBK" w:cs="方正仿宋_GBK"/>
          <w:bCs w:val="0"/>
          <w:kern w:val="0"/>
          <w:sz w:val="32"/>
          <w:szCs w:val="32"/>
          <w:shd w:val="clear" w:fill="FFFFFF"/>
          <w:lang w:val="en-US" w:eastAsia="zh-CN" w:bidi="ar"/>
        </w:rPr>
        <w:t>4.比较情况。</w:t>
      </w:r>
      <w:r>
        <w:rPr>
          <w:rFonts w:hint="eastAsia" w:ascii="方正仿宋_GBK" w:hAnsi="方正仿宋_GBK" w:eastAsia="方正仿宋_GBK" w:cs="方正仿宋_GBK"/>
          <w:i w:val="0"/>
          <w:iCs w:val="0"/>
          <w:caps w:val="0"/>
          <w:color w:val="333333"/>
          <w:spacing w:val="0"/>
          <w:kern w:val="2"/>
          <w:sz w:val="32"/>
          <w:szCs w:val="32"/>
          <w:lang w:val="en-US" w:eastAsia="zh-CN" w:bidi="ar"/>
        </w:rPr>
        <w:t>本单位2022年度一般公共预算财政拨款支出主要用于以下几个方面：</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lang w:val="en-US" w:eastAsia="zh-CN" w:bidi="ar"/>
        </w:rPr>
        <w:t>（1）社会保障与就业支出57.46万元，占8.7%，较年初预算数增加6.20万元，增长12.1%，主要原因是新招录人员及社保、公积金基数调整。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（2）卫生健康支出24.77万元，占3.8%，与年初预算数一致。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3</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bidi="ar"/>
        </w:rPr>
        <w:t>农林水支出549.18万元，占83.6%，较年初预算数增加98.04万元，增长21.7%，主要原因是基本支出增加</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住房保障支出25.63万元，占3.9%，与年初预算数一致</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2022年度一般公共预算财政拨款基本支出627.08万元。其中：人员经费517.96万元，较上年决算数增加517.96万元，增长100.0%，主要原因是本单位在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年开始独立填报决算，无上年决算数据。人员经费用途主要包括人员工资、社保、公积金等。公用经费109.12万元，较上年决算数增加109.12万元，增长100.0%，主要原因是本单位在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年开始独立填报决算，无上年决算数据。公用经费用途主要包括机关水、电、气、日常办公费、印刷费、办公费、等日常公用开支。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（五）政府性基金预算收支决算情况说明。</w:t>
      </w:r>
    </w:p>
    <w:p>
      <w:pPr>
        <w:pStyle w:val="10"/>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2022年度政府性基金预算财政拨款年初结转结余0万元，年末结转结余0万元。本年收入3.55万元，较上年决算数增加3.55万元，增长100.0%，主要原因是本单位在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年开始独立填报决算，无上年决算数据。本年支出3.55万元，较上年决算数增加3.55万元，增长100.0%，主要原因是本单位在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三、“三公”经费情况说明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（一）“三公”经费支出总体情况说明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2022年度“三公”经费支出共计2.9万元，较年初预算数减少0.1万元，下降3.3%，主要原因是严格执行预算，压减支出。较上年支出数增加2.9万元，增长100.0%，主要原因是本单位在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（二）“三公”经费分项支出情况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年度本单位无因公出国（境）费用，公务车购置费，公务车运行维护费支出。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公务接待费2.9万元，主要用于接待上级部门检查用餐。费用支出较年初预算数减少0.1万元，下降3.3%，主要原因是严格执行预算，控制接待标准。较上年支出数增加2.9万元，增长100.0%，主要原因是本单位在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（三）“三公”经费实物量情况</w:t>
      </w:r>
    </w:p>
    <w:p>
      <w:pPr>
        <w:pStyle w:val="10"/>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本部门因公出国（境）共计0个团组，0人；公务用车购置0辆，公务车保有量为0辆；国内公务接待35批次300人，其中：国内外事接待0批次，0人；国（境）外公务接待0批次，0人。2022年本部门人均接待费96.67元，车均购置费0万元，车均维护费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四、其他需要说明的事项</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本年度会议费支出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.5</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.5</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val="en-US" w:eastAsia="zh-CN"/>
        </w:rPr>
        <w:t>100.</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年开始独立填报决算，无上年决算数据。本年度培训费支出</w:t>
      </w:r>
      <w:r>
        <w:rPr>
          <w:rFonts w:hint="eastAsia" w:ascii="方正仿宋_GBK" w:hAnsi="方正仿宋_GBK" w:eastAsia="方正仿宋_GBK" w:cs="方正仿宋_GBK"/>
          <w:i w:val="0"/>
          <w:iCs w:val="0"/>
          <w:caps w:val="0"/>
          <w:color w:val="333333"/>
          <w:spacing w:val="0"/>
          <w:kern w:val="2"/>
          <w:sz w:val="32"/>
          <w:szCs w:val="32"/>
          <w:lang w:val="en-US" w:eastAsia="zh-CN"/>
        </w:rPr>
        <w:t>1.62</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eastAsia" w:ascii="方正仿宋_GBK" w:hAnsi="方正仿宋_GBK" w:eastAsia="方正仿宋_GBK" w:cs="方正仿宋_GBK"/>
          <w:i w:val="0"/>
          <w:iCs w:val="0"/>
          <w:caps w:val="0"/>
          <w:color w:val="333333"/>
          <w:spacing w:val="0"/>
          <w:kern w:val="2"/>
          <w:sz w:val="32"/>
          <w:szCs w:val="32"/>
          <w:lang w:val="en-US" w:eastAsia="zh-CN"/>
        </w:rPr>
        <w:t>1.62</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default" w:ascii="方正仿宋_GBK" w:hAnsi="方正仿宋_GBK" w:eastAsia="方正仿宋_GBK" w:cs="方正仿宋_GBK"/>
          <w:i w:val="0"/>
          <w:iCs w:val="0"/>
          <w:caps w:val="0"/>
          <w:color w:val="333333"/>
          <w:spacing w:val="0"/>
          <w:kern w:val="2"/>
          <w:sz w:val="32"/>
          <w:szCs w:val="32"/>
        </w:rPr>
        <w:t>2022年度本</w:t>
      </w:r>
      <w:r>
        <w:rPr>
          <w:rFonts w:hint="eastAsia" w:ascii="方正仿宋_GBK" w:hAnsi="方正仿宋_GBK" w:eastAsia="方正仿宋_GBK" w:cs="方正仿宋_GBK"/>
          <w:i w:val="0"/>
          <w:iCs w:val="0"/>
          <w:caps w:val="0"/>
          <w:color w:val="333333"/>
          <w:spacing w:val="0"/>
          <w:kern w:val="2"/>
          <w:sz w:val="32"/>
          <w:szCs w:val="32"/>
          <w:lang w:eastAsia="zh-CN"/>
        </w:rPr>
        <w:t>单位</w:t>
      </w:r>
      <w:r>
        <w:rPr>
          <w:rFonts w:hint="default" w:ascii="方正仿宋_GBK" w:hAnsi="方正仿宋_GBK" w:eastAsia="方正仿宋_GBK" w:cs="方正仿宋_GBK"/>
          <w:i w:val="0"/>
          <w:iCs w:val="0"/>
          <w:caps w:val="0"/>
          <w:color w:val="333333"/>
          <w:spacing w:val="0"/>
          <w:kern w:val="2"/>
          <w:sz w:val="32"/>
          <w:szCs w:val="32"/>
        </w:rPr>
        <w:t>机关运行经费支出</w:t>
      </w:r>
      <w:r>
        <w:rPr>
          <w:rFonts w:hint="eastAsia" w:ascii="方正仿宋_GBK" w:hAnsi="方正仿宋_GBK" w:eastAsia="方正仿宋_GBK" w:cs="方正仿宋_GBK"/>
          <w:i w:val="0"/>
          <w:iCs w:val="0"/>
          <w:caps w:val="0"/>
          <w:color w:val="333333"/>
          <w:spacing w:val="0"/>
          <w:kern w:val="2"/>
          <w:sz w:val="32"/>
          <w:szCs w:val="32"/>
          <w:lang w:val="en-US" w:eastAsia="zh-CN"/>
        </w:rPr>
        <w:t>109.12</w:t>
      </w:r>
      <w:r>
        <w:rPr>
          <w:rFonts w:hint="default" w:ascii="方正仿宋_GBK" w:hAnsi="方正仿宋_GBK" w:eastAsia="方正仿宋_GBK" w:cs="方正仿宋_GBK"/>
          <w:i w:val="0"/>
          <w:iCs w:val="0"/>
          <w:caps w:val="0"/>
          <w:color w:val="333333"/>
          <w:spacing w:val="0"/>
          <w:kern w:val="2"/>
          <w:sz w:val="32"/>
          <w:szCs w:val="32"/>
        </w:rPr>
        <w:t>万元，主要用于开支</w:t>
      </w:r>
      <w:r>
        <w:rPr>
          <w:rFonts w:hint="eastAsia" w:ascii="方正仿宋_GBK" w:hAnsi="方正仿宋_GBK" w:eastAsia="方正仿宋_GBK" w:cs="方正仿宋_GBK"/>
          <w:i w:val="0"/>
          <w:iCs w:val="0"/>
          <w:caps w:val="0"/>
          <w:color w:val="333333"/>
          <w:spacing w:val="0"/>
          <w:kern w:val="2"/>
          <w:sz w:val="32"/>
          <w:szCs w:val="32"/>
          <w:lang w:eastAsia="zh-CN"/>
        </w:rPr>
        <w:t>水、电、气、办公费、培训费、差旅费等</w:t>
      </w:r>
      <w:r>
        <w:rPr>
          <w:rFonts w:hint="default"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rPr>
        <w:t>机关运行经费较上年决算数增加</w:t>
      </w:r>
      <w:r>
        <w:rPr>
          <w:rFonts w:hint="eastAsia" w:ascii="方正仿宋_GBK" w:hAnsi="方正仿宋_GBK" w:eastAsia="方正仿宋_GBK" w:cs="方正仿宋_GBK"/>
          <w:i w:val="0"/>
          <w:iCs w:val="0"/>
          <w:caps w:val="0"/>
          <w:color w:val="333333"/>
          <w:spacing w:val="0"/>
          <w:kern w:val="2"/>
          <w:sz w:val="32"/>
          <w:szCs w:val="32"/>
          <w:lang w:val="en-US" w:eastAsia="zh-CN"/>
        </w:rPr>
        <w:t>109.12</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val="en-US" w:eastAsia="zh-CN"/>
        </w:rPr>
        <w:t>100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方正仿宋_GBK" w:hAnsi="方正仿宋_GBK" w:eastAsia="方正仿宋_GBK" w:cs="方正仿宋_GBK"/>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方正仿宋_GBK" w:hAnsi="方正仿宋_GBK" w:eastAsia="方正仿宋_GBK" w:cs="方正仿宋_GBK"/>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方正仿宋_GBK" w:hAnsi="方正仿宋_GBK" w:eastAsia="方正仿宋_GBK" w:cs="方正仿宋_GBK"/>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2022年度我单位未发生政府采购事项，无相关经费支出。</w:t>
      </w:r>
    </w:p>
    <w:p>
      <w:pPr>
        <w:pStyle w:val="1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黑体_GBK" w:hAnsi="方正黑体_GBK" w:eastAsia="方正黑体_GBK" w:cs="方正黑体_GBK"/>
          <w:b/>
          <w:bCs w:val="0"/>
          <w:sz w:val="32"/>
          <w:szCs w:val="32"/>
          <w:shd w:val="clear" w:fill="FFFFFF"/>
        </w:rPr>
      </w:pPr>
      <w:r>
        <w:rPr>
          <w:rStyle w:val="15"/>
          <w:rFonts w:hint="eastAsia" w:ascii="方正黑体_GBK" w:hAnsi="方正黑体_GBK" w:eastAsia="方正黑体_GBK" w:cs="方正黑体_GBK"/>
          <w:b/>
          <w:bCs w:val="0"/>
          <w:sz w:val="32"/>
          <w:szCs w:val="32"/>
          <w:shd w:val="clear" w:fill="FFFFFF"/>
        </w:rPr>
        <w:t>预算绩效管理情况说明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（一）预算绩效管理工作开展情况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根据预算绩效管理要求，我单位对</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个项目开展了绩效自评，其中，以填报自评表形式开展自评</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项，涉及资金</w:t>
      </w:r>
      <w:r>
        <w:rPr>
          <w:rFonts w:hint="eastAsia" w:ascii="方正仿宋_GBK" w:hAnsi="方正仿宋_GBK" w:eastAsia="方正仿宋_GBK" w:cs="方正仿宋_GBK"/>
          <w:i w:val="0"/>
          <w:iCs w:val="0"/>
          <w:caps w:val="0"/>
          <w:color w:val="333333"/>
          <w:spacing w:val="0"/>
          <w:kern w:val="2"/>
          <w:sz w:val="32"/>
          <w:szCs w:val="32"/>
          <w:lang w:val="en-US" w:eastAsia="zh-CN"/>
        </w:rPr>
        <w:t>33.5</w:t>
      </w:r>
      <w:r>
        <w:rPr>
          <w:rFonts w:hint="eastAsia" w:ascii="方正仿宋_GBK" w:hAnsi="方正仿宋_GBK" w:eastAsia="方正仿宋_GBK" w:cs="方正仿宋_GBK"/>
          <w:i w:val="0"/>
          <w:iCs w:val="0"/>
          <w:caps w:val="0"/>
          <w:color w:val="333333"/>
          <w:spacing w:val="0"/>
          <w:kern w:val="2"/>
          <w:sz w:val="32"/>
          <w:szCs w:val="32"/>
        </w:rPr>
        <w:t>万元；以委托第三方出具报告的方式开展绩效评价</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项，涉及资金</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（二）绩效自评结果。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Calibri" w:hAnsi="Calibri" w:eastAsia="方正仿宋_GBK" w:cs="Calibri"/>
          <w:b/>
          <w:bCs w:val="0"/>
          <w:kern w:val="0"/>
          <w:sz w:val="32"/>
          <w:szCs w:val="32"/>
          <w:shd w:val="clear" w:fill="FFFFFF"/>
        </w:rPr>
      </w:pPr>
      <w:r>
        <w:rPr>
          <w:rStyle w:val="15"/>
          <w:rFonts w:hint="default" w:ascii="Calibri" w:hAnsi="Calibri" w:eastAsia="方正仿宋_GBK" w:cs="Calibri"/>
          <w:b/>
          <w:bCs w:val="0"/>
          <w:kern w:val="0"/>
          <w:sz w:val="32"/>
          <w:szCs w:val="32"/>
          <w:shd w:val="clear" w:fill="FFFFFF"/>
        </w:rPr>
        <w:t>1.绩效目标自评表。</w:t>
      </w:r>
    </w:p>
    <w:p>
      <w:pPr>
        <w:pStyle w:val="17"/>
        <w:keepNext w:val="0"/>
        <w:keepLines w:val="0"/>
        <w:pageBreakBefore w:val="0"/>
        <w:widowControl/>
        <w:suppressLineNumbers w:val="0"/>
        <w:kinsoku/>
        <w:wordWrap/>
        <w:overflowPunct/>
        <w:topLinePunct w:val="0"/>
        <w:autoSpaceDN/>
        <w:bidi w:val="0"/>
        <w:adjustRightInd/>
        <w:snapToGrid/>
        <w:spacing w:afterAutospacing="0" w:line="600" w:lineRule="atLeast"/>
        <w:ind w:left="0" w:firstLine="0" w:firstLineChars="0"/>
        <w:jc w:val="center"/>
        <w:textAlignment w:val="auto"/>
        <w:rPr>
          <w:rStyle w:val="13"/>
          <w:rFonts w:hint="eastAsia"/>
          <w:shd w:val="clear" w:fill="FFFFFF"/>
          <w:lang w:val="en-US" w:eastAsia="zh-CN"/>
        </w:rPr>
      </w:pPr>
      <w:r>
        <w:rPr>
          <w:rFonts w:hint="eastAsia" w:ascii="方正小标宋_GBK" w:hAnsi="方正小标宋_GBK" w:eastAsia="方正小标宋_GBK" w:cs="方正小标宋_GBK"/>
          <w:color w:val="000000"/>
          <w:kern w:val="0"/>
          <w:sz w:val="30"/>
          <w:szCs w:val="30"/>
        </w:rPr>
        <w:t>二级项目绩效自评表</w:t>
      </w:r>
    </w:p>
    <w:tbl>
      <w:tblPr>
        <w:tblStyle w:val="11"/>
        <w:tblW w:w="89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7"/>
        <w:gridCol w:w="400"/>
        <w:gridCol w:w="824"/>
        <w:gridCol w:w="1538"/>
        <w:gridCol w:w="413"/>
        <w:gridCol w:w="152"/>
        <w:gridCol w:w="1443"/>
        <w:gridCol w:w="1240"/>
        <w:gridCol w:w="152"/>
        <w:gridCol w:w="571"/>
        <w:gridCol w:w="152"/>
        <w:gridCol w:w="668"/>
        <w:gridCol w:w="15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项目名称</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8"/>
                <w:kern w:val="0"/>
                <w:sz w:val="24"/>
                <w:szCs w:val="24"/>
              </w:rPr>
            </w:pPr>
            <w:r>
              <w:rPr>
                <w:rFonts w:hint="eastAsia" w:ascii="方正仿宋_GBK" w:hAnsi="方正仿宋_GBK" w:eastAsia="方正仿宋_GBK" w:cs="方正仿宋_GBK"/>
                <w:i w:val="0"/>
                <w:color w:val="000008"/>
                <w:kern w:val="0"/>
                <w:sz w:val="24"/>
                <w:szCs w:val="24"/>
              </w:rPr>
              <w:t>执法信息化建设</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实施单位</w:t>
            </w:r>
          </w:p>
        </w:tc>
        <w:tc>
          <w:tcPr>
            <w:tcW w:w="35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rPr>
              <w:t>万盛经开区农业</w:t>
            </w:r>
            <w:r>
              <w:rPr>
                <w:rFonts w:hint="eastAsia" w:ascii="方正仿宋_GBK" w:hAnsi="方正仿宋_GBK" w:eastAsia="方正仿宋_GBK" w:cs="方正仿宋_GBK"/>
                <w:i w:val="0"/>
                <w:color w:val="000000"/>
                <w:kern w:val="0"/>
                <w:sz w:val="24"/>
                <w:szCs w:val="24"/>
                <w:lang w:eastAsia="zh-CN"/>
              </w:rPr>
              <w:t>综合行政执法支队</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自评总分</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黑体_GBK" w:hAnsi="方正黑体_GBK" w:eastAsia="方正黑体_GBK" w:cs="方正黑体_GBK"/>
                <w:i w:val="0"/>
                <w:color w:val="000000"/>
                <w:kern w:val="0"/>
                <w:sz w:val="24"/>
                <w:szCs w:val="24"/>
                <w:lang w:val="en-US" w:eastAsia="zh-CN"/>
              </w:rPr>
            </w:pPr>
            <w:r>
              <w:rPr>
                <w:rFonts w:hint="eastAsia" w:ascii="方正黑体_GBK" w:hAnsi="方正黑体_GBK" w:eastAsia="方正黑体_GBK" w:cs="方正黑体_GBK"/>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主管部门</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万盛经开区农林局</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联系人</w:t>
            </w:r>
          </w:p>
        </w:tc>
        <w:tc>
          <w:tcPr>
            <w:tcW w:w="2835"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lang w:eastAsia="zh-CN"/>
              </w:rPr>
              <w:t>周再英</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电话</w:t>
            </w:r>
          </w:p>
        </w:tc>
        <w:tc>
          <w:tcPr>
            <w:tcW w:w="157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48288361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7"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资金情况(万元)</w:t>
            </w: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年初预算数</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预算数</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全年执行数</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250000</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60462.6</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60462.6</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100</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10</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当年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绩效</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目标</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年初绩效目标</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全年（调整）绩效目标</w:t>
            </w: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1"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加强“万盛经开区渔政视频AI预警处置系统”建设</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加强“万盛经开区渔政视频AI预警处置系统”建设、禁捕巡护队伍建设、生态补偿修复、长江流域重点水域渔政执法能力建设、禁捕宣传、实施举报奖励等</w:t>
            </w: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完成</w:t>
            </w:r>
            <w:r>
              <w:rPr>
                <w:rFonts w:hint="eastAsia" w:ascii="方正仿宋_GBK" w:hAnsi="方正仿宋_GBK" w:eastAsia="方正仿宋_GBK" w:cs="方正仿宋_GBK"/>
                <w:i w:val="0"/>
                <w:color w:val="000000"/>
                <w:kern w:val="0"/>
                <w:sz w:val="24"/>
                <w:szCs w:val="24"/>
                <w:lang w:eastAsia="zh-CN"/>
              </w:rPr>
              <w:t>绩效</w:t>
            </w:r>
            <w:r>
              <w:rPr>
                <w:rFonts w:hint="eastAsia" w:ascii="方正仿宋_GBK" w:hAnsi="方正仿宋_GBK" w:eastAsia="方正仿宋_GBK" w:cs="方正仿宋_GBK"/>
                <w:i w:val="0"/>
                <w:color w:val="000000"/>
                <w:kern w:val="0"/>
                <w:sz w:val="24"/>
                <w:szCs w:val="24"/>
              </w:rPr>
              <w:t>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绩效</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类别</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指标名称</w:t>
            </w:r>
          </w:p>
        </w:tc>
        <w:tc>
          <w:tcPr>
            <w:tcW w:w="15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指标值</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计量</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单位</w:t>
            </w:r>
          </w:p>
        </w:tc>
        <w:tc>
          <w:tcPr>
            <w:tcW w:w="144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性质</w:t>
            </w:r>
          </w:p>
        </w:tc>
        <w:tc>
          <w:tcPr>
            <w:tcW w:w="1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是否</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调整</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完成值</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1</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禁捕队伍建设（街道）</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支</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30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lang w:eastAsia="zh-CN"/>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2</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禁捕队伍建设（乡镇）</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8</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支</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30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8</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3</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宣传牌制作个数</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块</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4</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效益指标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渔政执法能力</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定性</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5</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满意度指标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实施举报奖励</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元/人·次</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方正楷体_GBK" w:hAnsi="方正楷体_GBK" w:eastAsia="方正楷体_GBK" w:cs="方正楷体_GBK"/>
          <w:b/>
          <w:bCs w:val="0"/>
          <w:sz w:val="32"/>
          <w:szCs w:val="32"/>
          <w:shd w:val="clear" w:fill="FFFFFF"/>
        </w:rPr>
      </w:pPr>
      <w:r>
        <w:rPr>
          <w:rStyle w:val="15"/>
          <w:rFonts w:hint="default" w:ascii="Calibri" w:hAnsi="Calibri" w:eastAsia="方正仿宋_GBK" w:cs="Calibri"/>
          <w:b/>
          <w:bCs w:val="0"/>
          <w:kern w:val="0"/>
          <w:sz w:val="32"/>
          <w:szCs w:val="32"/>
          <w:shd w:val="clear" w:fill="FFFFFF"/>
        </w:rPr>
        <w:t>2.</w:t>
      </w:r>
      <w:r>
        <w:rPr>
          <w:rStyle w:val="15"/>
          <w:rFonts w:hint="eastAsia" w:ascii="方正仿宋_GBK" w:hAnsi="方正仿宋_GBK" w:eastAsia="方正仿宋_GBK" w:cs="方正仿宋_GBK"/>
          <w:b/>
          <w:bCs w:val="0"/>
          <w:kern w:val="0"/>
          <w:sz w:val="32"/>
          <w:szCs w:val="32"/>
          <w:shd w:val="clear" w:fill="FFFFFF"/>
        </w:rPr>
        <w:t>绩效自评报告或案例。</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本单位未委托第三方开展绩效自评。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default" w:ascii="Calibri" w:hAnsi="Calibri" w:eastAsia="方正仿宋_GBK" w:cs="方正仿宋_GBK"/>
          <w:b/>
          <w:bCs w:val="0"/>
          <w:kern w:val="0"/>
          <w:sz w:val="32"/>
          <w:szCs w:val="32"/>
          <w:shd w:val="clear" w:fill="FFFFFF"/>
        </w:rPr>
      </w:pPr>
      <w:r>
        <w:rPr>
          <w:rStyle w:val="15"/>
          <w:rFonts w:hint="default" w:ascii="Calibri" w:hAnsi="Calibri" w:eastAsia="方正仿宋_GBK" w:cs="方正仿宋_GBK"/>
          <w:b/>
          <w:bCs w:val="0"/>
          <w:kern w:val="0"/>
          <w:sz w:val="32"/>
          <w:szCs w:val="32"/>
          <w:shd w:val="clear" w:fill="FFFFFF"/>
        </w:rPr>
        <w:t>3.</w:t>
      </w:r>
      <w:r>
        <w:rPr>
          <w:rStyle w:val="15"/>
          <w:rFonts w:hint="eastAsia" w:ascii="方正仿宋_GBK" w:hAnsi="方正仿宋_GBK" w:eastAsia="方正仿宋_GBK" w:cs="方正仿宋_GBK"/>
          <w:b/>
          <w:bCs w:val="0"/>
          <w:kern w:val="0"/>
          <w:sz w:val="32"/>
          <w:szCs w:val="32"/>
          <w:shd w:val="clear" w:fill="FFFFFF"/>
        </w:rPr>
        <w:t>关于绩效自评结果的说明。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本单位绩效自评均已完成相关绩效目标。</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lang w:eastAsia="zh-CN"/>
        </w:rPr>
        <w:t>（三）</w:t>
      </w:r>
      <w:r>
        <w:rPr>
          <w:rStyle w:val="15"/>
          <w:rFonts w:hint="eastAsia" w:ascii="方正楷体_GBK" w:hAnsi="方正楷体_GBK" w:eastAsia="方正楷体_GBK" w:cs="方正楷体_GBK"/>
          <w:b/>
          <w:bCs w:val="0"/>
          <w:sz w:val="32"/>
          <w:szCs w:val="32"/>
          <w:shd w:val="clear" w:fill="FFFFFF"/>
        </w:rPr>
        <w:t>重点绩效评价结果。</w:t>
      </w:r>
    </w:p>
    <w:p>
      <w:pPr>
        <w:pStyle w:val="10"/>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区财政局未委托第三方对我单位项目开展重点绩效评价。</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5"/>
          <w:rFonts w:hint="eastAsia" w:ascii="方正黑体_GBK" w:hAnsi="方正黑体_GBK" w:eastAsia="方正黑体_GBK" w:cs="方正黑体_GBK"/>
          <w:b/>
          <w:bCs w:val="0"/>
          <w:sz w:val="32"/>
          <w:szCs w:val="32"/>
          <w:shd w:val="clear" w:fill="FFFFFF"/>
        </w:rPr>
        <w:t>六、专业名词解释</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8"/>
          <w:rFonts w:hint="eastAsia" w:ascii="方正黑体_GBK" w:hAnsi="方正黑体_GBK" w:eastAsia="方正黑体_GBK" w:cs="方正黑体_GBK"/>
          <w:b/>
          <w:bCs w:val="0"/>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44"/>
        <w:gridCol w:w="787"/>
        <w:gridCol w:w="3055"/>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0" w:type="auto"/>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657.04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1"/>
        <w:gridCol w:w="3175"/>
        <w:gridCol w:w="1442"/>
        <w:gridCol w:w="694"/>
        <w:gridCol w:w="375"/>
        <w:gridCol w:w="375"/>
        <w:gridCol w:w="534"/>
        <w:gridCol w:w="375"/>
        <w:gridCol w:w="375"/>
        <w:gridCol w:w="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6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3237"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46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926" w:type="pct"/>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46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46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46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04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6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41"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41"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城乡社区支出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21208</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2120899</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其他国有土地使用权出让收入安排的支出</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2130101</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519.22</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519.22</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2130109</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农产品质量安全</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2130112</w:t>
            </w:r>
          </w:p>
        </w:tc>
        <w:tc>
          <w:tcPr>
            <w:tcW w:w="1041"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行业业务管理</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46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0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5"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6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5" w:type="pct"/>
            <w:tcBorders>
              <w:top w:val="nil"/>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041" w:type="pct"/>
            <w:tcBorders>
              <w:top w:val="nil"/>
              <w:left w:val="nil"/>
              <w:bottom w:val="nil"/>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65"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465" w:type="pct"/>
            <w:tcBorders>
              <w:top w:val="nil"/>
              <w:left w:val="nil"/>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460" w:type="pct"/>
            <w:tcBorders>
              <w:top w:val="nil"/>
              <w:left w:val="nil"/>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5" w:type="pct"/>
            <w:tcBorders>
              <w:top w:val="nil"/>
              <w:left w:val="nil"/>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3" w:type="pct"/>
            <w:tcBorders>
              <w:top w:val="nil"/>
              <w:left w:val="nil"/>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8"/>
        <w:gridCol w:w="3496"/>
        <w:gridCol w:w="1577"/>
        <w:gridCol w:w="746"/>
        <w:gridCol w:w="658"/>
        <w:gridCol w:w="392"/>
        <w:gridCol w:w="392"/>
        <w:gridCol w:w="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6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2833"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4"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80" w:type="pct"/>
            <w:vMerge w:val="restar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80"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80"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4"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627.08</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33.50</w:t>
            </w: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城乡社区支出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21208</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2120899</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其他国有土地使用权出让收入安排的支出</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519.22</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29.95</w:t>
            </w: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519.22</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29.95</w:t>
            </w: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2130101</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519.22</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519.22</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2130109</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农产品质量安全</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2130112</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行业业务管理</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8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57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80"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5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备注：本表反映单位本年度各项支出情况。</w:t>
            </w:r>
          </w:p>
        </w:tc>
      </w:tr>
    </w:tbl>
    <w:p>
      <w:pPr>
        <w:pStyle w:val="10"/>
        <w:keepNext w:val="0"/>
        <w:keepLines w:val="0"/>
        <w:widowControl/>
        <w:suppressLineNumbers w:val="0"/>
        <w:spacing w:before="0" w:beforeAutospacing="0"/>
        <w:ind w:left="0"/>
        <w:jc w:val="both"/>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8"/>
        <w:gridCol w:w="647"/>
        <w:gridCol w:w="2361"/>
        <w:gridCol w:w="645"/>
        <w:gridCol w:w="998"/>
        <w:gridCol w:w="855"/>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657.04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95"/>
        <w:gridCol w:w="4061"/>
        <w:gridCol w:w="976"/>
        <w:gridCol w:w="893"/>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57.46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519.22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549.17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519.22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2130101</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2130109</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2130112</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6"/>
        <w:gridCol w:w="2057"/>
        <w:gridCol w:w="513"/>
        <w:gridCol w:w="464"/>
        <w:gridCol w:w="1108"/>
        <w:gridCol w:w="513"/>
        <w:gridCol w:w="464"/>
        <w:gridCol w:w="2000"/>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公开单位：重庆市万盛经济技术开发区农业综合行政执法支队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517.95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188.98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517.96</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2"/>
        <w:gridCol w:w="3299"/>
        <w:gridCol w:w="936"/>
        <w:gridCol w:w="598"/>
        <w:gridCol w:w="562"/>
        <w:gridCol w:w="420"/>
        <w:gridCol w:w="598"/>
        <w:gridCol w:w="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21208</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2120899</w:t>
            </w: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备注：本表反映单位本年度政府性基金预算财政拨款收入支出及结转和结余情况。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49"/>
        <w:gridCol w:w="1450"/>
        <w:gridCol w:w="1050"/>
        <w:gridCol w:w="1451"/>
        <w:gridCol w:w="2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公开单位：重庆市万盛经济技术开发区农业综合行政执法支队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09"/>
        <w:gridCol w:w="894"/>
        <w:gridCol w:w="894"/>
        <w:gridCol w:w="623"/>
        <w:gridCol w:w="3187"/>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82"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公开单位：重庆市万盛经济技术开发区农业综合行政执法支队</w:t>
            </w:r>
          </w:p>
        </w:tc>
        <w:tc>
          <w:tcPr>
            <w:tcW w:w="22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32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2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0"/>
        <w:keepNext w:val="0"/>
        <w:keepLines w:val="0"/>
        <w:widowControl/>
        <w:suppressLineNumbers w:val="0"/>
        <w:spacing w:before="0" w:beforeAutospacing="0"/>
        <w:ind w:left="0"/>
        <w:jc w:val="both"/>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E84F9"/>
    <w:multiLevelType w:val="singleLevel"/>
    <w:tmpl w:val="35AE84F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44B6F1C"/>
    <w:rsid w:val="07913DCC"/>
    <w:rsid w:val="095215E7"/>
    <w:rsid w:val="0CB87790"/>
    <w:rsid w:val="0DAC1168"/>
    <w:rsid w:val="0FD51400"/>
    <w:rsid w:val="13B82700"/>
    <w:rsid w:val="13E8366A"/>
    <w:rsid w:val="22275DA6"/>
    <w:rsid w:val="23460DA5"/>
    <w:rsid w:val="2B033C30"/>
    <w:rsid w:val="2E121DA4"/>
    <w:rsid w:val="301B5B8C"/>
    <w:rsid w:val="37543D54"/>
    <w:rsid w:val="3C736035"/>
    <w:rsid w:val="419B7C30"/>
    <w:rsid w:val="42C43C0D"/>
    <w:rsid w:val="4A625033"/>
    <w:rsid w:val="4C27712E"/>
    <w:rsid w:val="4E6335F3"/>
    <w:rsid w:val="50032894"/>
    <w:rsid w:val="52190688"/>
    <w:rsid w:val="59C6295F"/>
    <w:rsid w:val="5DB96CBC"/>
    <w:rsid w:val="5F9342BA"/>
    <w:rsid w:val="62A570F7"/>
    <w:rsid w:val="649235D8"/>
    <w:rsid w:val="65841B51"/>
    <w:rsid w:val="66653D03"/>
    <w:rsid w:val="67B40A7D"/>
    <w:rsid w:val="68EF6598"/>
    <w:rsid w:val="6B582AC6"/>
    <w:rsid w:val="6C4C0755"/>
    <w:rsid w:val="73C879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12"/>
    <w:qFormat/>
    <w:uiPriority w:val="0"/>
    <w:rPr>
      <w:rFonts w:hint="default" w:ascii="Times New Roman" w:hAnsi="Times New Roman" w:cs="Times New Roman"/>
      <w:b/>
    </w:rPr>
  </w:style>
  <w:style w:type="paragraph" w:customStyle="1" w:styleId="16">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List Paragraph"/>
    <w:basedOn w:val="1"/>
    <w:qFormat/>
    <w:uiPriority w:val="34"/>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8">
    <w:name w:val="16"/>
    <w:basedOn w:val="12"/>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26</Pages>
  <Words>9173</Words>
  <Characters>11168</Characters>
  <TotalTime>3</TotalTime>
  <ScaleCrop>false</ScaleCrop>
  <LinksUpToDate>false</LinksUpToDate>
  <CharactersWithSpaces>11168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2023-10-18T08:24:00Z</dcterms:created>
  <dc:creator>Administrator</dc:creator>
  <cp:lastModifiedBy>彭鹏</cp:lastModifiedBy>
  <dcterms:modified xsi:type="dcterms:W3CDTF">2023-10-31T01:37:03Z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9AB845D19F514C59A2E14EF668F96F0E_13</vt:lpwstr>
  </property>
</Properties>
</file>