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i w:val="0"/>
          <w:iCs w:val="0"/>
          <w:caps w:val="0"/>
          <w:spacing w:val="0"/>
          <w:kern w:val="0"/>
          <w:sz w:val="44"/>
          <w:szCs w:val="44"/>
          <w:shd w:val="clear" w:fill="FFFFFF"/>
        </w:rPr>
      </w:pPr>
      <w:r>
        <w:rPr>
          <w:rFonts w:hint="eastAsia" w:ascii="方正小标宋_GBK" w:hAnsi="方正小标宋_GBK" w:eastAsia="方正小标宋_GBK" w:cs="方正小标宋_GBK"/>
          <w:i w:val="0"/>
          <w:iCs w:val="0"/>
          <w:caps w:val="0"/>
          <w:spacing w:val="0"/>
          <w:kern w:val="0"/>
          <w:sz w:val="44"/>
          <w:szCs w:val="44"/>
          <w:shd w:val="clear" w:fill="FFFFFF"/>
        </w:rPr>
        <w:t>重庆市万盛经济技术开发区</w:t>
      </w:r>
      <w:r>
        <w:rPr>
          <w:rFonts w:hint="eastAsia" w:ascii="方正小标宋_GBK" w:hAnsi="方正小标宋_GBK" w:eastAsia="方正小标宋_GBK" w:cs="方正小标宋_GBK"/>
          <w:i w:val="0"/>
          <w:iCs w:val="0"/>
          <w:caps w:val="0"/>
          <w:spacing w:val="0"/>
          <w:kern w:val="0"/>
          <w:sz w:val="44"/>
          <w:szCs w:val="44"/>
          <w:shd w:val="clear" w:fill="FFFFFF"/>
          <w:lang w:eastAsia="zh-CN"/>
        </w:rPr>
        <w:t>农田建设与农业机械化管理中心</w:t>
      </w:r>
      <w:r>
        <w:rPr>
          <w:rFonts w:hint="eastAsia" w:ascii="方正小标宋_GBK" w:hAnsi="方正小标宋_GBK" w:eastAsia="方正小标宋_GBK" w:cs="方正小标宋_GBK"/>
          <w:i w:val="0"/>
          <w:iCs w:val="0"/>
          <w:caps w:val="0"/>
          <w:spacing w:val="0"/>
          <w:kern w:val="0"/>
          <w:sz w:val="44"/>
          <w:szCs w:val="44"/>
          <w:shd w:val="clear" w:fill="FFFFFF"/>
        </w:rPr>
        <w:t>2022年度</w:t>
      </w:r>
      <w:r>
        <w:rPr>
          <w:rFonts w:hint="eastAsia" w:ascii="方正小标宋_GBK" w:hAnsi="方正小标宋_GBK" w:eastAsia="方正小标宋_GBK" w:cs="方正小标宋_GBK"/>
          <w:i w:val="0"/>
          <w:iCs w:val="0"/>
          <w:caps w:val="0"/>
          <w:spacing w:val="0"/>
          <w:kern w:val="0"/>
          <w:sz w:val="44"/>
          <w:szCs w:val="44"/>
          <w:shd w:val="clear" w:fill="FFFFFF"/>
          <w:lang w:eastAsia="zh-CN"/>
        </w:rPr>
        <w:t>部门</w:t>
      </w:r>
      <w:r>
        <w:rPr>
          <w:rFonts w:hint="eastAsia" w:ascii="方正小标宋_GBK" w:hAnsi="方正小标宋_GBK" w:eastAsia="方正小标宋_GBK" w:cs="方正小标宋_GBK"/>
          <w:i w:val="0"/>
          <w:iCs w:val="0"/>
          <w:caps w:val="0"/>
          <w:spacing w:val="0"/>
          <w:kern w:val="0"/>
          <w:sz w:val="44"/>
          <w:szCs w:val="44"/>
          <w:shd w:val="clear" w:fill="FFFFFF"/>
        </w:rPr>
        <w:t>决算情况说明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一、</w:t>
      </w:r>
      <w:r>
        <w:rPr>
          <w:rFonts w:hint="eastAsia" w:ascii="方正黑体_GBK" w:hAnsi="方正黑体_GBK" w:eastAsia="方正黑体_GBK" w:cs="方正黑体_GBK"/>
          <w:i w:val="0"/>
          <w:iCs w:val="0"/>
          <w:caps w:val="0"/>
          <w:spacing w:val="0"/>
          <w:kern w:val="2"/>
          <w:sz w:val="32"/>
          <w:szCs w:val="32"/>
          <w:lang w:eastAsia="zh-CN"/>
        </w:rPr>
        <w:t>部门</w:t>
      </w:r>
      <w:r>
        <w:rPr>
          <w:rFonts w:hint="eastAsia" w:ascii="方正黑体_GBK" w:hAnsi="方正黑体_GBK" w:eastAsia="方正黑体_GBK" w:cs="方正黑体_GBK"/>
          <w:i w:val="0"/>
          <w:iCs w:val="0"/>
          <w:caps w:val="0"/>
          <w:spacing w:val="0"/>
          <w:kern w:val="2"/>
          <w:sz w:val="32"/>
          <w:szCs w:val="32"/>
        </w:rPr>
        <w:t>基本情况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（一）职能职责</w:t>
      </w:r>
    </w:p>
    <w:p>
      <w:pPr>
        <w:spacing w:line="600"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1、承担农田建设项目库的日常管理工作，编制全区农田建设中长期规划、项目建设相关规划。承担农田建设项目、农田整治项目、农田水利建设项目年度计划编制、组织实施等管理工作。开展有关农田建设项目的咨询、评审工作，开展相关农田建设项目的检查、验收、绩效评价、上图入库等工作。指导农田建设项目的监督检查和建后管护。承担全区农田建设相关标准体系建设工作和负责相关技术的集成研发、应用、推广等工作，承担农业综合开发项目管理工作。参与地方高标准农田建设标准和投资标准制定。组织编制全区耕地及永久基本农田质量建设与保护发展规划、年度计划。组织开展耕地与永久基本农田质量调查、监测、评价、建设、保护等技术工作。评定耕地质量等级。参与开展永久基本农田保护相关工作。</w:t>
      </w:r>
    </w:p>
    <w:p>
      <w:pPr>
        <w:spacing w:line="600"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2、负责起草全区农业综合开发项目评审办法，组织专家开展评估工作，并对评估结论的真实性、准确性负责；对全区上报市级、国家立项的农业综合开发项目的项目建议书、可行性研究报告等进行区级评审及论证；按《国家农业综合开发项目评估暂行办法》的规定，负责组织对全区有关部门和龙头企业上报的农业综合开发项目进行评审；负责全区农业综合开发信息管理、业务技术培训和技术交流等工作。</w:t>
      </w:r>
    </w:p>
    <w:p>
      <w:pPr>
        <w:spacing w:line="600"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3、承担耕地质量监测工作，通过定点调查、田间实验、样品采集、分析化验、数据分析等，对耕地土壤理化性状、养分状况等质量变化开展动态监测，对发生可能污染或破坏耕地质量的情况实施调查。在高标准农田建设的项目区布局耕地质量监测点，对土壤墒情、肥料效应、产地环境实施监测。</w:t>
      </w:r>
    </w:p>
    <w:p>
      <w:pPr>
        <w:spacing w:line="600"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4、提供农业机械化技术推广与技术服务，主要包括农业机械技术成果开发、引进、试验、示范和推广；承担农业机械化信息服务，主要包括开展农业机械化信息宣传、技术咨询和技术培训；指导农业机械化技术推广服务体系建设。</w:t>
      </w:r>
    </w:p>
    <w:p>
      <w:pPr>
        <w:spacing w:line="600"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5、协助市级部门开展农机产品的试验鉴定、质量鉴定、质量监督抽查检验工作。承担农机产品质量投诉咨询和农机质量调查工作。</w:t>
      </w:r>
    </w:p>
    <w:p>
      <w:pPr>
        <w:spacing w:line="600"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6、指导设施农用地管理工作。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7、完成上级交办的其他工作。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（二）机构设置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本单位无内设机构。</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（三）单位构成</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宋体" w:hAnsi="宋体" w:eastAsia="宋体" w:cs="宋体"/>
          <w:kern w:val="0"/>
          <w:sz w:val="24"/>
          <w:szCs w:val="24"/>
        </w:rPr>
      </w:pPr>
      <w:r>
        <w:rPr>
          <w:rFonts w:hint="eastAsia" w:ascii="方正仿宋_GBK" w:hAnsi="方正仿宋_GBK" w:eastAsia="方正仿宋_GBK" w:cs="方正仿宋_GBK"/>
          <w:i w:val="0"/>
          <w:iCs w:val="0"/>
          <w:caps w:val="0"/>
          <w:color w:val="333333"/>
          <w:spacing w:val="0"/>
          <w:kern w:val="2"/>
          <w:sz w:val="32"/>
          <w:szCs w:val="32"/>
        </w:rPr>
        <w:t>本单位无下级预算单位。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二、</w:t>
      </w:r>
      <w:r>
        <w:rPr>
          <w:rFonts w:hint="eastAsia" w:ascii="方正黑体_GBK" w:hAnsi="方正黑体_GBK" w:eastAsia="方正黑体_GBK" w:cs="方正黑体_GBK"/>
          <w:i w:val="0"/>
          <w:iCs w:val="0"/>
          <w:caps w:val="0"/>
          <w:spacing w:val="0"/>
          <w:kern w:val="2"/>
          <w:sz w:val="32"/>
          <w:szCs w:val="32"/>
          <w:lang w:eastAsia="zh-CN"/>
        </w:rPr>
        <w:t>部门</w:t>
      </w:r>
      <w:bookmarkStart w:id="0" w:name="_GoBack"/>
      <w:bookmarkEnd w:id="0"/>
      <w:r>
        <w:rPr>
          <w:rFonts w:hint="eastAsia" w:ascii="方正黑体_GBK" w:hAnsi="方正黑体_GBK" w:eastAsia="方正黑体_GBK" w:cs="方正黑体_GBK"/>
          <w:i w:val="0"/>
          <w:iCs w:val="0"/>
          <w:caps w:val="0"/>
          <w:spacing w:val="0"/>
          <w:kern w:val="2"/>
          <w:sz w:val="32"/>
          <w:szCs w:val="32"/>
        </w:rPr>
        <w:t>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（一）收入支出决算总体情况说明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5"/>
          <w:rFonts w:hint="default" w:ascii="Calibri" w:hAnsi="Calibri" w:eastAsia="方正仿宋_GBK" w:cs="方正仿宋_GBK"/>
          <w:b/>
          <w:bCs w:val="0"/>
          <w:sz w:val="32"/>
          <w:szCs w:val="32"/>
          <w:shd w:val="clear" w:fill="FFFFFF"/>
        </w:rPr>
        <w:t>1.总体情况。</w:t>
      </w:r>
      <w:r>
        <w:rPr>
          <w:rFonts w:hint="eastAsia" w:ascii="方正仿宋_GBK" w:hAnsi="方正仿宋_GBK" w:eastAsia="方正仿宋_GBK" w:cs="方正仿宋_GBK"/>
          <w:i w:val="0"/>
          <w:iCs w:val="0"/>
          <w:caps w:val="0"/>
          <w:color w:val="333333"/>
          <w:spacing w:val="0"/>
          <w:kern w:val="2"/>
          <w:sz w:val="32"/>
          <w:szCs w:val="32"/>
          <w:lang w:eastAsia="zh-CN"/>
        </w:rPr>
        <w:t>2022年度收入总计115.37万元，支出总计115.37万元。收支较上年决算数增加115.37万元</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eastAsia="zh-CN"/>
        </w:rPr>
      </w:pPr>
      <w:r>
        <w:rPr>
          <w:rStyle w:val="15"/>
          <w:rFonts w:hint="default" w:ascii="Calibri" w:hAnsi="Calibri" w:eastAsia="方正仿宋_GBK" w:cs="方正仿宋_GBK"/>
          <w:b/>
          <w:bCs w:val="0"/>
          <w:sz w:val="32"/>
          <w:szCs w:val="32"/>
          <w:shd w:val="clear" w:fill="FFFFFF"/>
        </w:rPr>
        <w:t>2.收入情况。</w:t>
      </w:r>
      <w:r>
        <w:rPr>
          <w:rFonts w:hint="eastAsia" w:ascii="方正仿宋_GBK" w:hAnsi="方正仿宋_GBK" w:eastAsia="方正仿宋_GBK" w:cs="方正仿宋_GBK"/>
          <w:i w:val="0"/>
          <w:iCs w:val="0"/>
          <w:caps w:val="0"/>
          <w:color w:val="333333"/>
          <w:spacing w:val="0"/>
          <w:kern w:val="2"/>
          <w:sz w:val="32"/>
          <w:szCs w:val="32"/>
        </w:rPr>
        <w:t>2022年度收入合计</w:t>
      </w:r>
      <w:r>
        <w:rPr>
          <w:rFonts w:hint="eastAsia" w:ascii="方正仿宋_GBK" w:hAnsi="方正仿宋_GBK" w:eastAsia="方正仿宋_GBK" w:cs="方正仿宋_GBK"/>
          <w:i w:val="0"/>
          <w:iCs w:val="0"/>
          <w:caps w:val="0"/>
          <w:color w:val="333333"/>
          <w:spacing w:val="0"/>
          <w:kern w:val="2"/>
          <w:sz w:val="32"/>
          <w:szCs w:val="32"/>
          <w:lang w:eastAsia="zh-CN"/>
        </w:rPr>
        <w:t>115.37</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eastAsia" w:ascii="方正仿宋_GBK" w:hAnsi="方正仿宋_GBK" w:eastAsia="方正仿宋_GBK" w:cs="方正仿宋_GBK"/>
          <w:i w:val="0"/>
          <w:iCs w:val="0"/>
          <w:caps w:val="0"/>
          <w:color w:val="333333"/>
          <w:spacing w:val="0"/>
          <w:kern w:val="2"/>
          <w:sz w:val="32"/>
          <w:szCs w:val="32"/>
          <w:lang w:eastAsia="zh-CN"/>
        </w:rPr>
        <w:t>115.37</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年开始独立填报决算，无上年决算数据。其中：财政拨款收入</w:t>
      </w:r>
      <w:r>
        <w:rPr>
          <w:rFonts w:hint="eastAsia" w:ascii="方正仿宋_GBK" w:hAnsi="方正仿宋_GBK" w:eastAsia="方正仿宋_GBK" w:cs="方正仿宋_GBK"/>
          <w:i w:val="0"/>
          <w:iCs w:val="0"/>
          <w:caps w:val="0"/>
          <w:color w:val="333333"/>
          <w:spacing w:val="0"/>
          <w:kern w:val="2"/>
          <w:sz w:val="32"/>
          <w:szCs w:val="32"/>
          <w:lang w:eastAsia="zh-CN"/>
        </w:rPr>
        <w:t>115.37</w:t>
      </w:r>
      <w:r>
        <w:rPr>
          <w:rFonts w:hint="eastAsia" w:ascii="方正仿宋_GBK" w:hAnsi="方正仿宋_GBK" w:eastAsia="方正仿宋_GBK" w:cs="方正仿宋_GBK"/>
          <w:i w:val="0"/>
          <w:iCs w:val="0"/>
          <w:caps w:val="0"/>
          <w:color w:val="333333"/>
          <w:spacing w:val="0"/>
          <w:kern w:val="2"/>
          <w:sz w:val="32"/>
          <w:szCs w:val="32"/>
        </w:rPr>
        <w:t>万元，占</w:t>
      </w:r>
      <w:r>
        <w:rPr>
          <w:rFonts w:hint="eastAsia" w:ascii="方正仿宋_GBK" w:hAnsi="方正仿宋_GBK" w:eastAsia="方正仿宋_GBK" w:cs="方正仿宋_GBK"/>
          <w:i w:val="0"/>
          <w:iCs w:val="0"/>
          <w:caps w:val="0"/>
          <w:color w:val="333333"/>
          <w:spacing w:val="0"/>
          <w:kern w:val="2"/>
          <w:sz w:val="32"/>
          <w:szCs w:val="32"/>
          <w:lang w:eastAsia="zh-CN"/>
        </w:rPr>
        <w:t>100.0%。</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rPr>
      </w:pPr>
      <w:r>
        <w:rPr>
          <w:rStyle w:val="15"/>
          <w:rFonts w:hint="default" w:ascii="Calibri" w:hAnsi="Calibri" w:eastAsia="方正仿宋_GBK" w:cs="方正仿宋_GBK"/>
          <w:b/>
          <w:bCs w:val="0"/>
          <w:sz w:val="32"/>
          <w:szCs w:val="32"/>
          <w:shd w:val="clear" w:fill="FFFFFF"/>
        </w:rPr>
        <w:t>3.支出情况。</w:t>
      </w:r>
      <w:r>
        <w:rPr>
          <w:rFonts w:hint="eastAsia" w:ascii="方正仿宋_GBK" w:hAnsi="方正仿宋_GBK" w:eastAsia="方正仿宋_GBK" w:cs="方正仿宋_GBK"/>
          <w:i w:val="0"/>
          <w:iCs w:val="0"/>
          <w:caps w:val="0"/>
          <w:color w:val="333333"/>
          <w:spacing w:val="0"/>
          <w:kern w:val="2"/>
          <w:sz w:val="32"/>
          <w:szCs w:val="32"/>
        </w:rPr>
        <w:t>2022年度支出合计</w:t>
      </w:r>
      <w:r>
        <w:rPr>
          <w:rFonts w:hint="eastAsia" w:ascii="方正仿宋_GBK" w:hAnsi="方正仿宋_GBK" w:eastAsia="方正仿宋_GBK" w:cs="方正仿宋_GBK"/>
          <w:i w:val="0"/>
          <w:iCs w:val="0"/>
          <w:caps w:val="0"/>
          <w:color w:val="333333"/>
          <w:spacing w:val="0"/>
          <w:kern w:val="2"/>
          <w:sz w:val="32"/>
          <w:szCs w:val="32"/>
          <w:lang w:eastAsia="zh-CN"/>
        </w:rPr>
        <w:t>115.37</w:t>
      </w:r>
      <w:r>
        <w:rPr>
          <w:rFonts w:hint="eastAsia" w:ascii="方正仿宋_GBK" w:hAnsi="方正仿宋_GBK" w:eastAsia="方正仿宋_GBK" w:cs="方正仿宋_GBK"/>
          <w:i w:val="0"/>
          <w:iCs w:val="0"/>
          <w:caps w:val="0"/>
          <w:color w:val="333333"/>
          <w:spacing w:val="0"/>
          <w:kern w:val="2"/>
          <w:sz w:val="32"/>
          <w:szCs w:val="32"/>
        </w:rPr>
        <w:t>万元，较上年决算增加</w:t>
      </w:r>
      <w:r>
        <w:rPr>
          <w:rFonts w:hint="eastAsia" w:ascii="方正仿宋_GBK" w:hAnsi="方正仿宋_GBK" w:eastAsia="方正仿宋_GBK" w:cs="方正仿宋_GBK"/>
          <w:i w:val="0"/>
          <w:iCs w:val="0"/>
          <w:caps w:val="0"/>
          <w:color w:val="333333"/>
          <w:spacing w:val="0"/>
          <w:kern w:val="2"/>
          <w:sz w:val="32"/>
          <w:szCs w:val="32"/>
          <w:lang w:eastAsia="zh-CN"/>
        </w:rPr>
        <w:t>115.37</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年开始独立填报决算，无上年决算数据。其中：基本支出</w:t>
      </w:r>
      <w:r>
        <w:rPr>
          <w:rFonts w:hint="eastAsia" w:ascii="方正仿宋_GBK" w:hAnsi="方正仿宋_GBK" w:eastAsia="方正仿宋_GBK" w:cs="方正仿宋_GBK"/>
          <w:i w:val="0"/>
          <w:iCs w:val="0"/>
          <w:caps w:val="0"/>
          <w:color w:val="333333"/>
          <w:spacing w:val="0"/>
          <w:kern w:val="2"/>
          <w:sz w:val="32"/>
          <w:szCs w:val="32"/>
          <w:lang w:val="en-US" w:eastAsia="zh-CN"/>
        </w:rPr>
        <w:t>115.37</w:t>
      </w:r>
      <w:r>
        <w:rPr>
          <w:rFonts w:hint="eastAsia" w:ascii="方正仿宋_GBK" w:hAnsi="方正仿宋_GBK" w:eastAsia="方正仿宋_GBK" w:cs="方正仿宋_GBK"/>
          <w:i w:val="0"/>
          <w:iCs w:val="0"/>
          <w:caps w:val="0"/>
          <w:color w:val="333333"/>
          <w:spacing w:val="0"/>
          <w:kern w:val="2"/>
          <w:sz w:val="32"/>
          <w:szCs w:val="32"/>
        </w:rPr>
        <w:t>万元，占</w:t>
      </w:r>
      <w:r>
        <w:rPr>
          <w:rFonts w:hint="eastAsia" w:ascii="方正仿宋_GBK" w:hAnsi="方正仿宋_GBK" w:eastAsia="方正仿宋_GBK" w:cs="方正仿宋_GBK"/>
          <w:i w:val="0"/>
          <w:iCs w:val="0"/>
          <w:caps w:val="0"/>
          <w:color w:val="333333"/>
          <w:spacing w:val="0"/>
          <w:kern w:val="2"/>
          <w:sz w:val="32"/>
          <w:szCs w:val="32"/>
          <w:lang w:val="en-US" w:eastAsia="zh-CN"/>
        </w:rPr>
        <w:t>100.0</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default" w:ascii="Calibri" w:hAnsi="Calibri" w:eastAsia="方正仿宋_GBK" w:cs="方正仿宋_GBK"/>
          <w:b/>
          <w:bCs w:val="0"/>
          <w:sz w:val="32"/>
          <w:szCs w:val="32"/>
          <w:shd w:val="clear" w:fill="FFFFFF"/>
        </w:rPr>
        <w:t>4.结转结余情况。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万元，与上年一致。</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（二）财政拨款收入支出决算总体情况说明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2022年度财政拨款收、支总计</w:t>
      </w:r>
      <w:r>
        <w:rPr>
          <w:rFonts w:hint="eastAsia" w:ascii="方正仿宋_GBK" w:hAnsi="方正仿宋_GBK" w:eastAsia="方正仿宋_GBK" w:cs="方正仿宋_GBK"/>
          <w:i w:val="0"/>
          <w:iCs w:val="0"/>
          <w:caps w:val="0"/>
          <w:color w:val="333333"/>
          <w:spacing w:val="0"/>
          <w:kern w:val="2"/>
          <w:sz w:val="32"/>
          <w:szCs w:val="32"/>
          <w:lang w:eastAsia="zh-CN"/>
        </w:rPr>
        <w:t>115.37</w:t>
      </w:r>
      <w:r>
        <w:rPr>
          <w:rFonts w:hint="eastAsia" w:ascii="方正仿宋_GBK" w:hAnsi="方正仿宋_GBK" w:eastAsia="方正仿宋_GBK" w:cs="方正仿宋_GBK"/>
          <w:i w:val="0"/>
          <w:iCs w:val="0"/>
          <w:caps w:val="0"/>
          <w:color w:val="333333"/>
          <w:spacing w:val="0"/>
          <w:kern w:val="2"/>
          <w:sz w:val="32"/>
          <w:szCs w:val="32"/>
          <w:lang w:val="en-US" w:eastAsia="zh-CN" w:bidi="ar"/>
        </w:rPr>
        <w:t>万元。与2021年相比，财政拨款收、支总计各增加</w:t>
      </w:r>
      <w:r>
        <w:rPr>
          <w:rFonts w:hint="eastAsia" w:ascii="方正仿宋_GBK" w:hAnsi="方正仿宋_GBK" w:eastAsia="方正仿宋_GBK" w:cs="方正仿宋_GBK"/>
          <w:i w:val="0"/>
          <w:iCs w:val="0"/>
          <w:caps w:val="0"/>
          <w:color w:val="333333"/>
          <w:spacing w:val="0"/>
          <w:kern w:val="2"/>
          <w:sz w:val="32"/>
          <w:szCs w:val="32"/>
          <w:lang w:eastAsia="zh-CN"/>
        </w:rPr>
        <w:t>115.37</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（三）一般公共预算财政拨款收入支出决算情况说明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ascii="Calibri" w:hAnsi="Calibri" w:eastAsia="方正仿宋_GBK" w:cs="方正仿宋_GBK"/>
          <w:bCs w:val="0"/>
          <w:kern w:val="0"/>
          <w:sz w:val="32"/>
          <w:szCs w:val="32"/>
          <w:shd w:val="clear" w:fill="FFFFFF"/>
          <w:lang w:val="en-US" w:eastAsia="zh-CN" w:bidi="ar"/>
        </w:rPr>
        <w:t>1.收入情况。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2022年度一般公共预算财政拨款收入</w:t>
      </w:r>
      <w:r>
        <w:rPr>
          <w:rFonts w:hint="eastAsia" w:ascii="方正仿宋_GBK" w:hAnsi="方正仿宋_GBK" w:eastAsia="方正仿宋_GBK" w:cs="方正仿宋_GBK"/>
          <w:i w:val="0"/>
          <w:iCs w:val="0"/>
          <w:caps w:val="0"/>
          <w:color w:val="333333"/>
          <w:spacing w:val="0"/>
          <w:kern w:val="2"/>
          <w:sz w:val="32"/>
          <w:szCs w:val="32"/>
          <w:lang w:eastAsia="zh-CN"/>
        </w:rPr>
        <w:t>115.37</w:t>
      </w:r>
      <w:r>
        <w:rPr>
          <w:rFonts w:hint="eastAsia" w:ascii="方正仿宋_GBK" w:hAnsi="方正仿宋_GBK" w:eastAsia="方正仿宋_GBK" w:cs="方正仿宋_GBK"/>
          <w:i w:val="0"/>
          <w:iCs w:val="0"/>
          <w:caps w:val="0"/>
          <w:color w:val="333333"/>
          <w:spacing w:val="0"/>
          <w:kern w:val="2"/>
          <w:sz w:val="32"/>
          <w:szCs w:val="32"/>
          <w:lang w:val="en-US" w:eastAsia="zh-CN" w:bidi="ar"/>
        </w:rPr>
        <w:t>万元，较上年决算数增加</w:t>
      </w:r>
      <w:r>
        <w:rPr>
          <w:rFonts w:hint="eastAsia" w:ascii="方正仿宋_GBK" w:hAnsi="方正仿宋_GBK" w:eastAsia="方正仿宋_GBK" w:cs="方正仿宋_GBK"/>
          <w:i w:val="0"/>
          <w:iCs w:val="0"/>
          <w:caps w:val="0"/>
          <w:color w:val="333333"/>
          <w:spacing w:val="0"/>
          <w:kern w:val="2"/>
          <w:sz w:val="32"/>
          <w:szCs w:val="32"/>
          <w:lang w:eastAsia="zh-CN"/>
        </w:rPr>
        <w:t>115.37</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年开始独立填报决算，无上年决算数据。较年初预算数减少1,083.54万元，下降90.4%。主要原因是高标准农田项目调剂至农林局（本级）中支出，本单位项目支出减少。此外，年初财政拨款结转和结余0万元。</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ascii="Calibri" w:hAnsi="Calibri" w:eastAsia="方正仿宋_GBK" w:cs="方正仿宋_GBK"/>
          <w:bCs w:val="0"/>
          <w:kern w:val="0"/>
          <w:sz w:val="32"/>
          <w:szCs w:val="32"/>
          <w:shd w:val="clear" w:fill="FFFFFF"/>
          <w:lang w:val="en-US" w:eastAsia="zh-CN" w:bidi="ar"/>
        </w:rPr>
        <w:t>2.支出情况。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2022年度一般公共预算财政拨款支出115.37万元，较上年决算数增加115.37万元，增长100.0%。主要原因是本单位在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年开始独立填报决算，无上年决算数据。较年初预算数减少1,083.54万元，下降90.4%。主要原因高标准农田项目调剂至农林局（本级）中支出，本单位项目支出减少。</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Style w:val="15"/>
          <w:rFonts w:hint="default" w:ascii="Calibri" w:hAnsi="Calibri" w:eastAsia="方正仿宋_GBK" w:cs="方正仿宋_GBK"/>
          <w:b/>
          <w:bCs w:val="0"/>
          <w:sz w:val="32"/>
          <w:szCs w:val="32"/>
          <w:shd w:val="clear" w:fill="FFFFFF"/>
        </w:rPr>
        <w:t>3.</w:t>
      </w:r>
      <w:r>
        <w:rPr>
          <w:rStyle w:val="15"/>
          <w:rFonts w:hint="eastAsia" w:ascii="Calibri" w:hAnsi="Calibri" w:eastAsia="方正仿宋_GBK" w:cs="方正仿宋_GBK"/>
          <w:b/>
          <w:bCs w:val="0"/>
          <w:sz w:val="32"/>
          <w:szCs w:val="32"/>
          <w:shd w:val="clear" w:fill="FFFFFF"/>
        </w:rPr>
        <w:t>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年度年末一般公共预算财政拨款结转和结余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万元，与上年决算数一致。</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hint="eastAsia" w:ascii="Calibri" w:hAnsi="Calibri" w:eastAsia="方正仿宋_GBK" w:cs="方正仿宋_GBK"/>
          <w:bCs w:val="0"/>
          <w:kern w:val="0"/>
          <w:sz w:val="32"/>
          <w:szCs w:val="32"/>
          <w:shd w:val="clear" w:fill="FFFFFF"/>
          <w:lang w:val="en-US" w:eastAsia="zh-CN" w:bidi="ar"/>
        </w:rPr>
        <w:t>4.比较情况。</w:t>
      </w:r>
      <w:r>
        <w:rPr>
          <w:rFonts w:hint="eastAsia" w:ascii="方正仿宋_GBK" w:hAnsi="方正仿宋_GBK" w:eastAsia="方正仿宋_GBK" w:cs="方正仿宋_GBK"/>
          <w:i w:val="0"/>
          <w:iCs w:val="0"/>
          <w:caps w:val="0"/>
          <w:color w:val="333333"/>
          <w:spacing w:val="0"/>
          <w:kern w:val="2"/>
          <w:sz w:val="32"/>
          <w:szCs w:val="32"/>
          <w:lang w:val="en-US" w:eastAsia="zh-CN" w:bidi="ar"/>
        </w:rPr>
        <w:t>本单位2022年度一般公共预算财政拨款支出主要用于以下几个方面：</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1</w:t>
      </w:r>
      <w:r>
        <w:rPr>
          <w:rFonts w:hint="eastAsia" w:ascii="方正仿宋_GBK" w:hAnsi="方正仿宋_GBK" w:eastAsia="方正仿宋_GBK" w:cs="方正仿宋_GBK"/>
          <w:i w:val="0"/>
          <w:iCs w:val="0"/>
          <w:caps w:val="0"/>
          <w:color w:val="333333"/>
          <w:spacing w:val="0"/>
          <w:kern w:val="2"/>
          <w:sz w:val="32"/>
          <w:szCs w:val="32"/>
        </w:rPr>
        <w:t>）社会保障与就业支出18.22万元，占15.8%，较年初预算数增加8.17万元，增长81.3%，主要原因是主要原因是保险、公积金基数调整</w:t>
      </w:r>
      <w:r>
        <w:rPr>
          <w:rFonts w:hint="eastAsia" w:ascii="方正仿宋_GBK" w:hAnsi="方正仿宋_GBK" w:eastAsia="方正仿宋_GBK" w:cs="方正仿宋_GBK"/>
          <w:i w:val="0"/>
          <w:iCs w:val="0"/>
          <w:caps w:val="0"/>
          <w:color w:val="333333"/>
          <w:spacing w:val="0"/>
          <w:kern w:val="2"/>
          <w:sz w:val="32"/>
          <w:szCs w:val="32"/>
          <w:lang w:eastAsia="zh-CN"/>
        </w:rPr>
        <w:t>及人员变动</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（2）卫生健康支出4.98万元，占4.3%，与年初预算数一致。</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3</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bidi="ar"/>
        </w:rPr>
        <w:t>农林水支出87.14万元，占75.5%，较年初预算数减少1,091.72万元，下降92.6%，主要原因是高标准农田项目调剂至农林局（本级）中支出，本单位项目支出减少</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4</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住房保障支出5.02万元，占4.4%，与年初预算数一致</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（四）一般公共预算财政拨款基本支出决算情况说明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2022年度一般公共预算财政拨款基本支出115.37万元。其中：人员经费101.32万元，较上年决算数增加101.32万元，增长100.0%，主要原因是本单位在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年开始独立填报决算，无上年决算数据。人员经费用途主要包括人员工资、社保、公积金等。公用经费14.04万元，较上年决算数增加14.04万元，增长100.0%，主要原因是本单位在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年开始独立填报决算，无上年决算数据。公用经费用途主要包括机关水、电、气、日常办公费、印刷费、办公费、等日常公用开支。</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（五）政府性基金预算收支决算情况说明。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年度无政府性基金预算财政拨款收支。</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（六）国有资本经营预算财政拨款支出决算情况说明。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年度无国有资本经营预算财政拨款支出。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三、“三公”经费情况说明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（一）“三公”经费支出总体情况说明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2022年度“三公”经费支出共计0.05万元，与年初预算数一致，主要原因是严格执行预算。较上年支出数增加0.05万元，增长100.0%，主要原因是本单位在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（二）“三公”经费分项支出情况</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年度本单位无因公出国（境）费用，公务车购置费，公务车运行维护费支出。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公务接待费0.05万元，主要用于接待上级部门检查用餐。费用支出与年初预算一致，主要原因是严格执行预算，控制接待标准。较上年支出数增加</w:t>
      </w:r>
      <w:r>
        <w:rPr>
          <w:rFonts w:hint="default" w:ascii="方正仿宋_GBK" w:hAnsi="方正仿宋_GBK" w:eastAsia="方正仿宋_GBK" w:cs="方正仿宋_GBK"/>
          <w:i w:val="0"/>
          <w:iCs w:val="0"/>
          <w:caps w:val="0"/>
          <w:color w:val="333333"/>
          <w:spacing w:val="0"/>
          <w:kern w:val="2"/>
          <w:sz w:val="32"/>
          <w:szCs w:val="32"/>
          <w:lang w:val="en-US" w:eastAsia="zh-CN" w:bidi="ar"/>
        </w:rPr>
        <w:t>0.</w:t>
      </w:r>
      <w:r>
        <w:rPr>
          <w:rFonts w:hint="eastAsia" w:ascii="方正仿宋_GBK" w:hAnsi="方正仿宋_GBK" w:eastAsia="方正仿宋_GBK" w:cs="方正仿宋_GBK"/>
          <w:i w:val="0"/>
          <w:iCs w:val="0"/>
          <w:caps w:val="0"/>
          <w:color w:val="333333"/>
          <w:spacing w:val="0"/>
          <w:kern w:val="2"/>
          <w:sz w:val="32"/>
          <w:szCs w:val="32"/>
          <w:lang w:val="en-US" w:eastAsia="zh-CN" w:bidi="ar"/>
        </w:rPr>
        <w:t>0</w:t>
      </w:r>
      <w:r>
        <w:rPr>
          <w:rFonts w:hint="default" w:ascii="方正仿宋_GBK" w:hAnsi="方正仿宋_GBK" w:eastAsia="方正仿宋_GBK" w:cs="方正仿宋_GBK"/>
          <w:i w:val="0"/>
          <w:iCs w:val="0"/>
          <w:caps w:val="0"/>
          <w:color w:val="333333"/>
          <w:spacing w:val="0"/>
          <w:kern w:val="2"/>
          <w:sz w:val="32"/>
          <w:szCs w:val="32"/>
          <w:lang w:val="en-US" w:eastAsia="zh-CN" w:bidi="ar"/>
        </w:rPr>
        <w:t>5</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（三）“三公”经费实物量情况</w:t>
      </w:r>
    </w:p>
    <w:p>
      <w:pPr>
        <w:pStyle w:val="10"/>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本部门因公出国（境）共计0个团组，0人；公务用车购置0辆，公务车保有量为0辆；国内公务接待2批次10人，其中：国内外事接待0批次，0人；国（境）外公务接待0批次，0人。2022年本部门人均接待费50元，车均购置费0万元，车均维护费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四、其他需要说明的事项</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（一）财政拨款会议费和培训费情况说明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default"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本年度会议费支出</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万元，增长</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年开始独立填报决算，无上年决算数据。本年度培训费支出</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31</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31</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方正仿宋_GBK" w:hAnsi="方正仿宋_GBK" w:eastAsia="方正仿宋_GBK" w:cs="方正仿宋_GBK"/>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（二）机关运行经费支出情况说明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按照单位决算列报口径，我单位不在机关运行经费统计范围之内。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（三）国有资产占用情况说明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截至</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w:t>
      </w:r>
      <w:r>
        <w:rPr>
          <w:rFonts w:hint="default" w:ascii="方正仿宋_GBK" w:hAnsi="方正仿宋_GBK" w:eastAsia="方正仿宋_GBK" w:cs="方正仿宋_GBK"/>
          <w:i w:val="0"/>
          <w:iCs w:val="0"/>
          <w:caps w:val="0"/>
          <w:color w:val="333333"/>
          <w:spacing w:val="0"/>
          <w:kern w:val="2"/>
          <w:sz w:val="32"/>
          <w:szCs w:val="32"/>
        </w:rPr>
        <w:t>12</w:t>
      </w:r>
      <w:r>
        <w:rPr>
          <w:rFonts w:hint="eastAsia" w:ascii="方正仿宋_GBK" w:hAnsi="方正仿宋_GBK" w:eastAsia="方正仿宋_GBK" w:cs="方正仿宋_GBK"/>
          <w:i w:val="0"/>
          <w:iCs w:val="0"/>
          <w:caps w:val="0"/>
          <w:color w:val="333333"/>
          <w:spacing w:val="0"/>
          <w:kern w:val="2"/>
          <w:sz w:val="32"/>
          <w:szCs w:val="32"/>
        </w:rPr>
        <w:t>月</w:t>
      </w:r>
      <w:r>
        <w:rPr>
          <w:rFonts w:hint="default" w:ascii="方正仿宋_GBK" w:hAnsi="方正仿宋_GBK" w:eastAsia="方正仿宋_GBK" w:cs="方正仿宋_GBK"/>
          <w:i w:val="0"/>
          <w:iCs w:val="0"/>
          <w:caps w:val="0"/>
          <w:color w:val="333333"/>
          <w:spacing w:val="0"/>
          <w:kern w:val="2"/>
          <w:sz w:val="32"/>
          <w:szCs w:val="32"/>
        </w:rPr>
        <w:t>31</w:t>
      </w:r>
      <w:r>
        <w:rPr>
          <w:rFonts w:hint="eastAsia" w:ascii="方正仿宋_GBK" w:hAnsi="方正仿宋_GBK" w:eastAsia="方正仿宋_GBK" w:cs="方正仿宋_GBK"/>
          <w:i w:val="0"/>
          <w:iCs w:val="0"/>
          <w:caps w:val="0"/>
          <w:color w:val="333333"/>
          <w:spacing w:val="0"/>
          <w:kern w:val="2"/>
          <w:sz w:val="32"/>
          <w:szCs w:val="32"/>
        </w:rPr>
        <w:t>日，本单位共有车辆</w:t>
      </w:r>
      <w:r>
        <w:rPr>
          <w:rFonts w:hint="eastAsia" w:ascii="方正仿宋_GBK" w:hAnsi="方正仿宋_GBK" w:eastAsia="方正仿宋_GBK" w:cs="方正仿宋_GBK"/>
          <w:i w:val="0"/>
          <w:iCs w:val="0"/>
          <w:caps w:val="0"/>
          <w:color w:val="333333"/>
          <w:spacing w:val="0"/>
          <w:kern w:val="2"/>
          <w:sz w:val="32"/>
          <w:szCs w:val="32"/>
          <w:lang w:val="en-US" w:eastAsia="zh-CN"/>
        </w:rPr>
        <w:t>0</w:t>
      </w:r>
      <w:r>
        <w:rPr>
          <w:rFonts w:hint="eastAsia" w:ascii="方正仿宋_GBK" w:hAnsi="方正仿宋_GBK" w:eastAsia="方正仿宋_GBK" w:cs="方正仿宋_GBK"/>
          <w:i w:val="0"/>
          <w:iCs w:val="0"/>
          <w:caps w:val="0"/>
          <w:color w:val="333333"/>
          <w:spacing w:val="0"/>
          <w:kern w:val="2"/>
          <w:sz w:val="32"/>
          <w:szCs w:val="32"/>
        </w:rPr>
        <w:t>辆，其中，副部（省）级及以上领导用车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辆、主要领导干部用车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辆、机要通信用车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辆、应急保障用车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辆、执法执勤用车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辆，特种专业技术用车</w:t>
      </w:r>
      <w:r>
        <w:rPr>
          <w:rFonts w:hint="eastAsia" w:ascii="方正仿宋_GBK" w:hAnsi="方正仿宋_GBK" w:eastAsia="方正仿宋_GBK" w:cs="方正仿宋_GBK"/>
          <w:i w:val="0"/>
          <w:iCs w:val="0"/>
          <w:caps w:val="0"/>
          <w:color w:val="333333"/>
          <w:spacing w:val="0"/>
          <w:kern w:val="2"/>
          <w:sz w:val="32"/>
          <w:szCs w:val="32"/>
          <w:lang w:val="en-US" w:eastAsia="zh-CN"/>
        </w:rPr>
        <w:t>0</w:t>
      </w:r>
      <w:r>
        <w:rPr>
          <w:rFonts w:hint="eastAsia" w:ascii="方正仿宋_GBK" w:hAnsi="方正仿宋_GBK" w:eastAsia="方正仿宋_GBK" w:cs="方正仿宋_GBK"/>
          <w:i w:val="0"/>
          <w:iCs w:val="0"/>
          <w:caps w:val="0"/>
          <w:color w:val="333333"/>
          <w:spacing w:val="0"/>
          <w:kern w:val="2"/>
          <w:sz w:val="32"/>
          <w:szCs w:val="32"/>
        </w:rPr>
        <w:t>辆，离退休干部用车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辆，其他用车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辆。单价</w:t>
      </w:r>
      <w:r>
        <w:rPr>
          <w:rFonts w:hint="default" w:ascii="方正仿宋_GBK" w:hAnsi="方正仿宋_GBK" w:eastAsia="方正仿宋_GBK" w:cs="方正仿宋_GBK"/>
          <w:i w:val="0"/>
          <w:iCs w:val="0"/>
          <w:caps w:val="0"/>
          <w:color w:val="333333"/>
          <w:spacing w:val="0"/>
          <w:kern w:val="2"/>
          <w:sz w:val="32"/>
          <w:szCs w:val="32"/>
        </w:rPr>
        <w:t>100</w:t>
      </w:r>
      <w:r>
        <w:rPr>
          <w:rFonts w:hint="eastAsia" w:ascii="方正仿宋_GBK" w:hAnsi="方正仿宋_GBK" w:eastAsia="方正仿宋_GBK" w:cs="方正仿宋_GBK"/>
          <w:i w:val="0"/>
          <w:iCs w:val="0"/>
          <w:caps w:val="0"/>
          <w:color w:val="333333"/>
          <w:spacing w:val="0"/>
          <w:kern w:val="2"/>
          <w:sz w:val="32"/>
          <w:szCs w:val="32"/>
        </w:rPr>
        <w:t>万元（含）以上设备（不含车辆）</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台（套）。</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（四）政府采购支出说明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2022年度本</w:t>
      </w:r>
      <w:r>
        <w:rPr>
          <w:rFonts w:hint="eastAsia" w:ascii="方正仿宋_GBK" w:hAnsi="方正仿宋_GBK" w:eastAsia="方正仿宋_GBK" w:cs="方正仿宋_GBK"/>
          <w:i w:val="0"/>
          <w:iCs w:val="0"/>
          <w:caps w:val="0"/>
          <w:color w:val="333333"/>
          <w:spacing w:val="0"/>
          <w:kern w:val="2"/>
          <w:sz w:val="32"/>
          <w:szCs w:val="32"/>
          <w:lang w:eastAsia="zh-CN"/>
        </w:rPr>
        <w:t>单位</w:t>
      </w:r>
      <w:r>
        <w:rPr>
          <w:rFonts w:hint="eastAsia" w:ascii="方正仿宋_GBK" w:hAnsi="方正仿宋_GBK" w:eastAsia="方正仿宋_GBK" w:cs="方正仿宋_GBK"/>
          <w:i w:val="0"/>
          <w:iCs w:val="0"/>
          <w:caps w:val="0"/>
          <w:color w:val="333333"/>
          <w:spacing w:val="0"/>
          <w:kern w:val="2"/>
          <w:sz w:val="32"/>
          <w:szCs w:val="32"/>
        </w:rPr>
        <w:t>政府采购支出总额119.19万元，其中：政府采购货物支出0.00万元、政府采购工程支出119.19万元、政府采购服务支出0.00万元。授予中小企业合同金额119.19万元，占政府采购支出总额的100%，其中：授予小微企业合同金额119.19万元，占政府采购支出总额的100%。主要用于采购</w:t>
      </w:r>
      <w:r>
        <w:rPr>
          <w:rFonts w:hint="eastAsia" w:ascii="方正仿宋_GBK" w:hAnsi="方正仿宋_GBK" w:eastAsia="方正仿宋_GBK" w:cs="方正仿宋_GBK"/>
          <w:i w:val="0"/>
          <w:iCs w:val="0"/>
          <w:caps w:val="0"/>
          <w:color w:val="333333"/>
          <w:spacing w:val="0"/>
          <w:kern w:val="2"/>
          <w:sz w:val="32"/>
          <w:szCs w:val="32"/>
          <w:lang w:eastAsia="zh-CN"/>
        </w:rPr>
        <w:t>高标准农田项目监理等支出。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黑体_GBK" w:hAnsi="方正黑体_GBK" w:eastAsia="方正黑体_GBK" w:cs="方正黑体_GBK"/>
          <w:b/>
          <w:bCs w:val="0"/>
          <w:sz w:val="32"/>
          <w:szCs w:val="32"/>
          <w:shd w:val="clear" w:fill="FFFFFF"/>
        </w:rPr>
      </w:pPr>
      <w:r>
        <w:rPr>
          <w:rStyle w:val="15"/>
          <w:rFonts w:hint="eastAsia" w:ascii="方正黑体_GBK" w:hAnsi="方正黑体_GBK" w:eastAsia="方正黑体_GBK" w:cs="方正黑体_GBK"/>
          <w:b/>
          <w:bCs w:val="0"/>
          <w:sz w:val="32"/>
          <w:szCs w:val="32"/>
          <w:shd w:val="clear" w:fill="FFFFFF"/>
          <w:lang w:eastAsia="zh-CN"/>
        </w:rPr>
        <w:t>五、</w:t>
      </w:r>
      <w:r>
        <w:rPr>
          <w:rStyle w:val="15"/>
          <w:rFonts w:hint="eastAsia" w:ascii="方正黑体_GBK" w:hAnsi="方正黑体_GBK" w:eastAsia="方正黑体_GBK" w:cs="方正黑体_GBK"/>
          <w:b/>
          <w:bCs w:val="0"/>
          <w:sz w:val="32"/>
          <w:szCs w:val="32"/>
          <w:shd w:val="clear" w:fill="FFFFFF"/>
        </w:rPr>
        <w:t>预算绩效管理情况说明</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leftChars="200" w:right="0" w:rightChars="0"/>
        <w:jc w:val="both"/>
        <w:textAlignment w:val="auto"/>
        <w:rPr>
          <w:rFonts w:hint="eastAsia" w:ascii="方正黑体_GBK" w:hAnsi="方正黑体_GBK" w:eastAsia="方正黑体_GBK" w:cs="方正黑体_GBK"/>
          <w:i w:val="0"/>
          <w:iCs w:val="0"/>
          <w:caps w:val="0"/>
          <w:spacing w:val="0"/>
          <w:kern w:val="2"/>
          <w:sz w:val="32"/>
          <w:szCs w:val="32"/>
        </w:rPr>
      </w:pP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年度本单位无项目支出，因此未开展绩效管理。</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sz w:val="32"/>
          <w:szCs w:val="32"/>
          <w:shd w:val="clear" w:fill="FFFFFF"/>
        </w:rPr>
      </w:pPr>
      <w:r>
        <w:rPr>
          <w:rStyle w:val="15"/>
          <w:rFonts w:hint="eastAsia" w:ascii="方正黑体_GBK" w:hAnsi="方正黑体_GBK" w:eastAsia="方正黑体_GBK" w:cs="方正黑体_GBK"/>
          <w:b/>
          <w:bCs w:val="0"/>
          <w:sz w:val="32"/>
          <w:szCs w:val="32"/>
          <w:shd w:val="clear" w:fill="FFFFFF"/>
        </w:rPr>
        <w:t>六、专业名词解释</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kern w:val="2"/>
          <w:sz w:val="32"/>
          <w:szCs w:val="32"/>
        </w:rPr>
        <w:t>指本年度从本级财政</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取得的财政拨款，包括一般公共预算财政拨款和政府性基金预算财政拨款。</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（二）事业收入：</w:t>
      </w:r>
      <w:r>
        <w:rPr>
          <w:rFonts w:hint="eastAsia" w:ascii="方正仿宋_GBK" w:hAnsi="方正仿宋_GBK" w:eastAsia="方正仿宋_GBK" w:cs="方正仿宋_GBK"/>
          <w:i w:val="0"/>
          <w:iCs w:val="0"/>
          <w:caps w:val="0"/>
          <w:color w:val="333333"/>
          <w:spacing w:val="0"/>
          <w:kern w:val="2"/>
          <w:sz w:val="32"/>
          <w:szCs w:val="32"/>
        </w:rPr>
        <w:t>指事业单位开展专业业务活动及其辅助活动取得的现金流入；事业单位收到的财政专户实际核拨的教育收费等资金在此反映。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（三）经营收入：</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指事业单位在专业业务活动及其辅助活动之外开展非独立核算经营活动取得的现金流入。</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（四）其他收入：</w:t>
      </w:r>
      <w:r>
        <w:rPr>
          <w:rFonts w:hint="eastAsia" w:ascii="方正仿宋_GBK" w:hAnsi="方正仿宋_GBK" w:eastAsia="方正仿宋_GBK" w:cs="方正仿宋_GBK"/>
          <w:i w:val="0"/>
          <w:iCs w:val="0"/>
          <w:caps w:val="0"/>
          <w:color w:val="333333"/>
          <w:spacing w:val="0"/>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反映在本项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（五）使用非财政拨款结余：</w:t>
      </w:r>
      <w:r>
        <w:rPr>
          <w:rFonts w:hint="eastAsia" w:ascii="方正仿宋_GBK" w:hAnsi="方正仿宋_GBK" w:eastAsia="方正仿宋_GBK" w:cs="方正仿宋_GBK"/>
          <w:i w:val="0"/>
          <w:iCs w:val="0"/>
          <w:caps w:val="0"/>
          <w:color w:val="333333"/>
          <w:spacing w:val="0"/>
          <w:kern w:val="2"/>
          <w:sz w:val="32"/>
          <w:szCs w:val="32"/>
        </w:rPr>
        <w:t>指单位在当年的“财政拨款收入”、“事业收入”、“经营收入”、“其他收入”等不足以安排当年支出的情况下，使用以前年度积累的非财政拨款结余弥补本年度收支缺口的资金。</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（六）年初结转和结余：</w:t>
      </w:r>
      <w:r>
        <w:rPr>
          <w:rFonts w:hint="eastAsia" w:ascii="方正仿宋_GBK" w:hAnsi="方正仿宋_GBK" w:eastAsia="方正仿宋_GBK" w:cs="方正仿宋_GBK"/>
          <w:i w:val="0"/>
          <w:iCs w:val="0"/>
          <w:caps w:val="0"/>
          <w:color w:val="333333"/>
          <w:spacing w:val="0"/>
          <w:kern w:val="2"/>
          <w:sz w:val="32"/>
          <w:szCs w:val="32"/>
        </w:rPr>
        <w:t>指单位上年结转本年使用的基本支出结转、项目支出结转和结余、经营结余。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（七）结余分配：</w:t>
      </w:r>
      <w:r>
        <w:rPr>
          <w:rFonts w:hint="eastAsia" w:ascii="方正仿宋_GBK" w:hAnsi="方正仿宋_GBK" w:eastAsia="方正仿宋_GBK" w:cs="方正仿宋_GBK"/>
          <w:i w:val="0"/>
          <w:iCs w:val="0"/>
          <w:caps w:val="0"/>
          <w:color w:val="333333"/>
          <w:spacing w:val="0"/>
          <w:kern w:val="2"/>
          <w:sz w:val="32"/>
          <w:szCs w:val="32"/>
        </w:rPr>
        <w:t>指单位按照国家有关规定，缴纳所得税、提取专用基金、转入非财政拨款结余等当年结余的分配情况。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（八）年末结转和结余：</w:t>
      </w:r>
      <w:r>
        <w:rPr>
          <w:rFonts w:hint="eastAsia" w:ascii="方正仿宋_GBK" w:hAnsi="方正仿宋_GBK" w:eastAsia="方正仿宋_GBK" w:cs="方正仿宋_GBK"/>
          <w:i w:val="0"/>
          <w:iCs w:val="0"/>
          <w:caps w:val="0"/>
          <w:color w:val="333333"/>
          <w:spacing w:val="0"/>
          <w:kern w:val="2"/>
          <w:sz w:val="32"/>
          <w:szCs w:val="32"/>
        </w:rPr>
        <w:t>指单位结转下年的基本支出结转、项目支出结转和结余、经营结余。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（九）基本支出：</w:t>
      </w:r>
      <w:r>
        <w:rPr>
          <w:rFonts w:hint="eastAsia" w:ascii="方正仿宋_GBK" w:hAnsi="方正仿宋_GBK" w:eastAsia="方正仿宋_GBK" w:cs="方正仿宋_GBK"/>
          <w:i w:val="0"/>
          <w:iCs w:val="0"/>
          <w:caps w:val="0"/>
          <w:color w:val="333333"/>
          <w:spacing w:val="0"/>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（十）项目支出：</w:t>
      </w:r>
      <w:r>
        <w:rPr>
          <w:rFonts w:hint="eastAsia" w:ascii="方正仿宋_GBK" w:hAnsi="方正仿宋_GBK" w:eastAsia="方正仿宋_GBK" w:cs="方正仿宋_GBK"/>
          <w:i w:val="0"/>
          <w:iCs w:val="0"/>
          <w:caps w:val="0"/>
          <w:color w:val="333333"/>
          <w:spacing w:val="0"/>
          <w:kern w:val="2"/>
          <w:sz w:val="32"/>
          <w:szCs w:val="32"/>
        </w:rPr>
        <w:t>指在基本支出之外为完成特定行政任务和事业发展目标所发生的支出。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（十一）经营支出：</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（十二）“三公”经费：</w:t>
      </w:r>
      <w:r>
        <w:rPr>
          <w:rFonts w:hint="eastAsia" w:ascii="方正仿宋_GBK" w:hAnsi="方正仿宋_GBK" w:eastAsia="方正仿宋_GBK" w:cs="方正仿宋_GBK"/>
          <w:i w:val="0"/>
          <w:iCs w:val="0"/>
          <w:caps w:val="0"/>
          <w:color w:val="333333"/>
          <w:spacing w:val="0"/>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（十三）机关运行经费：</w:t>
      </w:r>
      <w:r>
        <w:rPr>
          <w:rFonts w:hint="eastAsia" w:ascii="方正仿宋_GBK" w:hAnsi="方正仿宋_GBK" w:eastAsia="方正仿宋_GBK" w:cs="方正仿宋_GBK"/>
          <w:i w:val="0"/>
          <w:iCs w:val="0"/>
          <w:caps w:val="0"/>
          <w:color w:val="333333"/>
          <w:spacing w:val="0"/>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（十四）工资福利支出（支出经济分类科目类级）：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反映单位开支的在职职工和编制外长期聘用人员的各类劳动报酬，以及为上述人员缴纳的各项社会保险费等。</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（十五）商品和服务支出（支出经济分类科目类级）：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反映单位购买商品和服务的支出（不包括用于购置固定资产的支出、战略性和应急储备支出）。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（十六）对个人和家庭的补助（支出经济分类科目类级）：</w:t>
      </w:r>
      <w:r>
        <w:rPr>
          <w:rFonts w:hint="eastAsia" w:ascii="方正仿宋_GBK" w:hAnsi="方正仿宋_GBK" w:eastAsia="方正仿宋_GBK" w:cs="方正仿宋_GBK"/>
          <w:i w:val="0"/>
          <w:iCs w:val="0"/>
          <w:caps w:val="0"/>
          <w:color w:val="333333"/>
          <w:spacing w:val="0"/>
          <w:kern w:val="2"/>
          <w:sz w:val="32"/>
          <w:szCs w:val="32"/>
        </w:rPr>
        <w:t>反映用于对个人和家庭的补助支出。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（十七）其他资本性支出（支出经济分类科目类级）：</w:t>
      </w:r>
      <w:r>
        <w:rPr>
          <w:rFonts w:hint="eastAsia" w:ascii="方正仿宋_GBK" w:hAnsi="方正仿宋_GBK" w:eastAsia="方正仿宋_GBK" w:cs="方正仿宋_GBK"/>
          <w:i w:val="0"/>
          <w:iCs w:val="0"/>
          <w:caps w:val="0"/>
          <w:color w:val="333333"/>
          <w:spacing w:val="0"/>
          <w:kern w:val="2"/>
          <w:sz w:val="32"/>
          <w:szCs w:val="32"/>
        </w:rPr>
        <w:t>反映非各级发展与改革</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集中安排的用于购置固定资产、战略性和应急性储备、土地和无形资产，以及构建基础设施、大型修缮和财政支持企业更新改造所发生的支出。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8"/>
          <w:rFonts w:hint="eastAsia" w:ascii="方正黑体_GBK" w:hAnsi="方正黑体_GBK" w:eastAsia="方正黑体_GBK" w:cs="方正黑体_GBK"/>
          <w:b/>
          <w:bCs w:val="0"/>
          <w:sz w:val="32"/>
          <w:szCs w:val="32"/>
          <w:shd w:val="clear" w:fill="FFFFFF"/>
        </w:rPr>
        <w:t>七、决算公开联系方式及信息反馈渠道</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本单位决算公开信息反馈和联系方式：</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彭鹏</w:t>
      </w:r>
      <w:r>
        <w:rPr>
          <w:rFonts w:hint="default" w:ascii="Times New Roman" w:hAnsi="Times New Roman" w:eastAsia="方正仿宋_GBK" w:cs="Times New Roman"/>
          <w:i w:val="0"/>
          <w:iCs w:val="0"/>
          <w:caps w:val="0"/>
          <w:color w:val="333333"/>
          <w:spacing w:val="0"/>
          <w:kern w:val="2"/>
          <w:sz w:val="32"/>
          <w:szCs w:val="32"/>
        </w:rPr>
        <w:t>023-48288361</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1"/>
        <w:gridCol w:w="801"/>
        <w:gridCol w:w="3102"/>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1"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公开单位：重庆市万盛经济技术开发区农田建设与农业机械化管理中心</w:t>
            </w:r>
          </w:p>
        </w:tc>
        <w:tc>
          <w:tcPr>
            <w:tcW w:w="7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7"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2612" w:type="pct"/>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7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8"/>
        <w:gridCol w:w="3396"/>
        <w:gridCol w:w="1266"/>
        <w:gridCol w:w="640"/>
        <w:gridCol w:w="358"/>
        <w:gridCol w:w="358"/>
        <w:gridCol w:w="500"/>
        <w:gridCol w:w="358"/>
        <w:gridCol w:w="358"/>
        <w:gridCol w:w="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0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公开单位：重庆市万盛经济技术开发区农田建设与农业机械化管理中心</w:t>
            </w:r>
          </w:p>
        </w:tc>
        <w:tc>
          <w:tcPr>
            <w:tcW w:w="289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财政拨款收入</w:t>
            </w: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上级补助收入</w:t>
            </w:r>
          </w:p>
        </w:tc>
        <w:tc>
          <w:tcPr>
            <w:tcW w:w="830" w:type="pct"/>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事业收入</w:t>
            </w: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经营收入</w:t>
            </w: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附属单位上缴收入</w:t>
            </w:r>
          </w:p>
        </w:tc>
        <w:tc>
          <w:tcPr>
            <w:tcW w:w="39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29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43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其中：教育收费</w:t>
            </w: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98"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3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98"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3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2"/>
        <w:gridCol w:w="3852"/>
        <w:gridCol w:w="1420"/>
        <w:gridCol w:w="701"/>
        <w:gridCol w:w="379"/>
        <w:gridCol w:w="379"/>
        <w:gridCol w:w="379"/>
        <w:gridCol w:w="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2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公开单位：重庆市万盛经济技术开发区农田建设与农业机械化管理中心</w:t>
            </w:r>
          </w:p>
        </w:tc>
        <w:tc>
          <w:tcPr>
            <w:tcW w:w="247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66"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47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47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上缴上级支出</w:t>
            </w:r>
          </w:p>
        </w:tc>
        <w:tc>
          <w:tcPr>
            <w:tcW w:w="47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经营支出</w:t>
            </w:r>
          </w:p>
        </w:tc>
        <w:tc>
          <w:tcPr>
            <w:tcW w:w="47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5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6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57"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57"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66"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w:t>
            </w: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55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9"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55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56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85"/>
        <w:gridCol w:w="974"/>
        <w:gridCol w:w="2256"/>
        <w:gridCol w:w="624"/>
        <w:gridCol w:w="909"/>
        <w:gridCol w:w="788"/>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75"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公开单位：重庆市万盛经济技术开发区农田建设与农业机械化管理中心</w:t>
            </w:r>
          </w:p>
        </w:tc>
        <w:tc>
          <w:tcPr>
            <w:tcW w:w="1824"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3"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3156"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9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5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33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1824" w:type="pct"/>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9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33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55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一般公共预算财政拨款</w:t>
            </w:r>
          </w:p>
        </w:tc>
        <w:tc>
          <w:tcPr>
            <w:tcW w:w="47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政府性基金预算财政拨款</w:t>
            </w:r>
          </w:p>
        </w:tc>
        <w:tc>
          <w:tcPr>
            <w:tcW w:w="47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18.22</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18.22</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备注：本表反映单位本年度一般公共预算财政拨款、政府性基金预算财政拨款及国有资本经营预算财政拨款的总收支和年末结转结余情况。</w:t>
            </w:r>
          </w:p>
        </w:tc>
      </w:tr>
    </w:tbl>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default" w:ascii="Times New Roman" w:hAnsi="Times New Roman" w:eastAsia="方正仿宋_GBK" w:cs="Times New Roman"/>
          <w:i w:val="0"/>
          <w:iCs w:val="0"/>
          <w:caps w:val="0"/>
          <w:color w:val="333333"/>
          <w:spacing w:val="0"/>
          <w:kern w:val="2"/>
          <w:sz w:val="32"/>
          <w:szCs w:val="32"/>
        </w:rPr>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8"/>
        <w:gridCol w:w="3235"/>
        <w:gridCol w:w="2353"/>
        <w:gridCol w:w="1128"/>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75"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公开单位：重庆市万盛经济技术开发区农田建设与农业机械化管理中心</w:t>
            </w:r>
          </w:p>
        </w:tc>
        <w:tc>
          <w:tcPr>
            <w:tcW w:w="172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87"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12" w:type="pct"/>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63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18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6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76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47"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63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18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76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47"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63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18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76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87"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18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9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115.37</w:t>
            </w:r>
          </w:p>
        </w:tc>
        <w:tc>
          <w:tcPr>
            <w:tcW w:w="76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6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11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9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76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6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11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9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18.22</w:t>
            </w:r>
          </w:p>
        </w:tc>
        <w:tc>
          <w:tcPr>
            <w:tcW w:w="76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639"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118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9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76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639"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18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9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76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639"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18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9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76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6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1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9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76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6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1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9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76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639"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118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9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76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639"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118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6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1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9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76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6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11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9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87.14</w:t>
            </w:r>
          </w:p>
        </w:tc>
        <w:tc>
          <w:tcPr>
            <w:tcW w:w="76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639"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118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w:t>
            </w:r>
          </w:p>
        </w:tc>
        <w:tc>
          <w:tcPr>
            <w:tcW w:w="9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w:t>
            </w:r>
          </w:p>
        </w:tc>
        <w:tc>
          <w:tcPr>
            <w:tcW w:w="76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6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1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9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76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6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1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9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5.02</w:t>
            </w:r>
          </w:p>
        </w:tc>
        <w:tc>
          <w:tcPr>
            <w:tcW w:w="76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639"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18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9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76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备注：本表反映单位本年度一般公共预算财政拨款支出情况。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7"/>
        <w:gridCol w:w="2254"/>
        <w:gridCol w:w="968"/>
        <w:gridCol w:w="455"/>
        <w:gridCol w:w="1076"/>
        <w:gridCol w:w="455"/>
        <w:gridCol w:w="455"/>
        <w:gridCol w:w="1936"/>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公开单位：重庆市万盛经济技术开发区农田建设与农业机械化管理中心</w:t>
            </w:r>
          </w:p>
        </w:tc>
        <w:tc>
          <w:tcPr>
            <w:tcW w:w="3333"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w:t>
            </w:r>
          </w:p>
        </w:tc>
        <w:tc>
          <w:tcPr>
            <w:tcW w:w="3333" w:type="pct"/>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42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99.06</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23.93</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44.33</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0.63</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经常性赠与</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资本性赠与</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2"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101.32</w:t>
            </w:r>
          </w:p>
        </w:tc>
        <w:tc>
          <w:tcPr>
            <w:tcW w:w="2908"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注：本表反映单位本年度一般公共预算财政拨款基本支出明细情况。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6"/>
        <w:gridCol w:w="2910"/>
        <w:gridCol w:w="1493"/>
        <w:gridCol w:w="668"/>
        <w:gridCol w:w="668"/>
        <w:gridCol w:w="668"/>
        <w:gridCol w:w="668"/>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92"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公开单位：重庆市万盛经济技术开发区农田建设与农业机械化管理中心</w:t>
            </w:r>
          </w:p>
        </w:tc>
        <w:tc>
          <w:tcPr>
            <w:tcW w:w="2807"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66"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年初结转和结余</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w:t>
            </w:r>
          </w:p>
        </w:tc>
        <w:tc>
          <w:tcPr>
            <w:tcW w:w="1684"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66"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6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2、本单位无政府性基金收入，也没有使用政府性基金安排的支出，故本表无数据。</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8"/>
        <w:gridCol w:w="2776"/>
        <w:gridCol w:w="1737"/>
        <w:gridCol w:w="174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18"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公开单位：重庆市万盛经济技术开发区农田建设与农业机械化管理中心</w:t>
            </w: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57"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42"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7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98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98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7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7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57"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2、本单位无国有资本经营预算财政拨款支出，故本表无数据。</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5"/>
        <w:gridCol w:w="1033"/>
        <w:gridCol w:w="766"/>
        <w:gridCol w:w="546"/>
        <w:gridCol w:w="2625"/>
        <w:gridCol w:w="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公开单位：重庆市万盛经济技术开发区农田建设与农业机械化管理中心</w:t>
            </w:r>
          </w:p>
        </w:tc>
        <w:tc>
          <w:tcPr>
            <w:tcW w:w="3018"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8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年初预算数</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全年预算数</w:t>
            </w:r>
          </w:p>
        </w:tc>
        <w:tc>
          <w:tcPr>
            <w:tcW w:w="3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3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一、“三公”经费支出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四、机关运行经费</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（一）支出合计</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（一）行政单位</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1．因公出国（境）费</w:t>
            </w:r>
          </w:p>
        </w:tc>
        <w:tc>
          <w:tcPr>
            <w:tcW w:w="48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（二）参照公务员法管理事业单位</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2．公务用车购置及运行维护费</w:t>
            </w:r>
          </w:p>
        </w:tc>
        <w:tc>
          <w:tcPr>
            <w:tcW w:w="48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五、资产信息</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（1）公务用车购置费</w:t>
            </w:r>
          </w:p>
        </w:tc>
        <w:tc>
          <w:tcPr>
            <w:tcW w:w="48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（一）车辆数合计（辆）</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（2）公务用车运行维护费</w:t>
            </w:r>
          </w:p>
        </w:tc>
        <w:tc>
          <w:tcPr>
            <w:tcW w:w="48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1．副部（省）级及以上领导用车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2．主要领导干部用车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（1）国内接待费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3．机要通信用车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4．应急保障用车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（2）国（境）外接待费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5．执法执勤用车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（二）相关统计数</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6．特种专业技术用车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1．因公出国（境）团组数（个）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7．离退休干部用车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2．因公出国（境）人次数（人）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8．其他用车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3．公务用车购置数（辆）</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（二）单价100万元（含）以上设备（不含车辆）</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4．公务用车保有量（辆）</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六、政府采购支出信息</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5．国内公务接待批次（个）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（一）政府采购支出合计</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其中：外事接待批次（个）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1．政府采购货物支出</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6．国内公务接待人次（人）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2．政府采购工程支出</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其中：外事接待人次（人）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3．政府采购服务支出</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7．国（境）外公务接待批次（个）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（二）政府采购授予中小企业合同金额</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8．国（境）外公务接待人次（人）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其中：授予小微企业合同金额</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二、会议费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三、培训费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w:t>
            </w: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应单位本年度“三公”经费支出预决算情况。其中：年初预算数为“三公”经费年初单位预算批复数，全年预算数为“三公”经费全年预算数，反应按照规定程序调整后的预算数；决算数是包括当年一般公共预算财政拨款、政府性基金预算财政拨款和以前年度结转资金安排的实际支出。</w:t>
            </w:r>
          </w:p>
        </w:tc>
      </w:tr>
    </w:tbl>
    <w:p>
      <w:pPr>
        <w:pStyle w:val="10"/>
        <w:keepNext w:val="0"/>
        <w:keepLines w:val="0"/>
        <w:widowControl/>
        <w:suppressLineNumbers w:val="0"/>
        <w:spacing w:before="0" w:beforeAutospacing="0"/>
        <w:ind w:left="0"/>
        <w:jc w:val="both"/>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TZkNDZkZDYwMDUzZTQyN2E1YTZmMWVjMjMxMDkifQ=="/>
  </w:docVars>
  <w:rsids>
    <w:rsidRoot w:val="00000000"/>
    <w:rsid w:val="07913DCC"/>
    <w:rsid w:val="095215E7"/>
    <w:rsid w:val="0E464CE5"/>
    <w:rsid w:val="0FD51400"/>
    <w:rsid w:val="13E8366A"/>
    <w:rsid w:val="15BA2B78"/>
    <w:rsid w:val="2C1D1D4D"/>
    <w:rsid w:val="30BF083E"/>
    <w:rsid w:val="322F41CB"/>
    <w:rsid w:val="3C736035"/>
    <w:rsid w:val="42C43C0D"/>
    <w:rsid w:val="4366115B"/>
    <w:rsid w:val="43D93EC3"/>
    <w:rsid w:val="44861167"/>
    <w:rsid w:val="49E536F9"/>
    <w:rsid w:val="52190688"/>
    <w:rsid w:val="5A8A2637"/>
    <w:rsid w:val="5DB96CBC"/>
    <w:rsid w:val="649235D8"/>
    <w:rsid w:val="65841B51"/>
    <w:rsid w:val="66653D03"/>
    <w:rsid w:val="67B40A7D"/>
    <w:rsid w:val="68EF6598"/>
    <w:rsid w:val="6B582AC6"/>
    <w:rsid w:val="6C4C07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EastAsia" w:hAnsiTheme="minorEastAsia" w:eastAsiaTheme="minorEastAsia" w:cstheme="minorEastAsia"/>
      <w:kern w:val="0"/>
      <w:sz w:val="24"/>
      <w:szCs w:val="24"/>
      <w:lang w:val="en-US" w:eastAsia="zh-CN" w:bidi="ar"/>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firstLine="648" w:firstLineChars="200"/>
      <w:jc w:val="left"/>
    </w:pPr>
    <w:rPr>
      <w:rFonts w:hint="eastAsia" w:ascii="方正黑体_GBK" w:hAnsi="Courier New" w:eastAsia="方正仿宋_GBK" w:cs="Times New Roman"/>
      <w:kern w:val="0"/>
      <w:sz w:val="32"/>
      <w:szCs w:val="32"/>
      <w:lang w:val="en-US" w:eastAsia="zh-CN" w:bidi="ar"/>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paragraph" w:customStyle="1" w:styleId="1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15"/>
    <w:basedOn w:val="12"/>
    <w:qFormat/>
    <w:uiPriority w:val="0"/>
    <w:rPr>
      <w:rFonts w:hint="default" w:ascii="Times New Roman" w:hAnsi="Times New Roman" w:cs="Times New Roman"/>
      <w:b/>
    </w:rPr>
  </w:style>
  <w:style w:type="paragraph" w:customStyle="1" w:styleId="16">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List Paragraph"/>
    <w:basedOn w:val="1"/>
    <w:qFormat/>
    <w:uiPriority w:val="34"/>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character" w:customStyle="1" w:styleId="18">
    <w:name w:val="16"/>
    <w:basedOn w:val="12"/>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23</Pages>
  <Words>8658</Words>
  <Characters>10232</Characters>
  <TotalTime>3</TotalTime>
  <ScaleCrop>false</ScaleCrop>
  <LinksUpToDate>false</LinksUpToDate>
  <CharactersWithSpaces>10232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2023-10-18T08:24:00Z</dcterms:created>
  <dc:creator>Administrator</dc:creator>
  <cp:lastModifiedBy>彭鹏</cp:lastModifiedBy>
  <dcterms:modified xsi:type="dcterms:W3CDTF">2023-10-31T01:35:53Z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9AB845D19F514C59A2E14EF668F96F0E_13</vt:lpwstr>
  </property>
</Properties>
</file>