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left="0" w:right="0"/>
        <w:jc w:val="center"/>
        <w:textAlignment w:val="auto"/>
        <w:rPr>
          <w:rFonts w:hint="eastAsia" w:ascii="方正小标宋_GBK" w:hAnsi="方正小标宋_GBK" w:eastAsia="方正小标宋_GBK" w:cs="方正小标宋_GBK"/>
          <w:i w:val="0"/>
          <w:iCs w:val="0"/>
          <w:caps w:val="0"/>
          <w:spacing w:val="0"/>
          <w:kern w:val="0"/>
          <w:sz w:val="44"/>
          <w:szCs w:val="44"/>
          <w:shd w:val="clear" w:fill="FFFFFF"/>
        </w:rPr>
      </w:pPr>
      <w:r>
        <w:rPr>
          <w:rFonts w:hint="eastAsia" w:ascii="方正小标宋_GBK" w:hAnsi="方正小标宋_GBK" w:eastAsia="方正小标宋_GBK" w:cs="方正小标宋_GBK"/>
          <w:i w:val="0"/>
          <w:iCs w:val="0"/>
          <w:caps w:val="0"/>
          <w:spacing w:val="0"/>
          <w:kern w:val="0"/>
          <w:sz w:val="44"/>
          <w:szCs w:val="44"/>
          <w:shd w:val="clear" w:fill="FFFFFF"/>
        </w:rPr>
        <w:t>重庆市万盛经济技术开发区</w:t>
      </w:r>
      <w:r>
        <w:rPr>
          <w:rFonts w:hint="eastAsia" w:ascii="方正小标宋_GBK" w:hAnsi="方正小标宋_GBK" w:eastAsia="方正小标宋_GBK" w:cs="方正小标宋_GBK"/>
          <w:i w:val="0"/>
          <w:iCs w:val="0"/>
          <w:caps w:val="0"/>
          <w:spacing w:val="0"/>
          <w:kern w:val="0"/>
          <w:sz w:val="44"/>
          <w:szCs w:val="44"/>
          <w:shd w:val="clear" w:fill="FFFFFF"/>
          <w:lang w:eastAsia="zh-CN"/>
        </w:rPr>
        <w:t>畜牧水产站</w:t>
      </w:r>
      <w:r>
        <w:rPr>
          <w:rFonts w:hint="eastAsia" w:ascii="方正小标宋_GBK" w:hAnsi="方正小标宋_GBK" w:eastAsia="方正小标宋_GBK" w:cs="方正小标宋_GBK"/>
          <w:i w:val="0"/>
          <w:iCs w:val="0"/>
          <w:caps w:val="0"/>
          <w:spacing w:val="0"/>
          <w:kern w:val="0"/>
          <w:sz w:val="44"/>
          <w:szCs w:val="44"/>
          <w:shd w:val="clear" w:fill="FFFFFF"/>
        </w:rPr>
        <w:t>2022年度</w:t>
      </w:r>
      <w:r>
        <w:rPr>
          <w:rFonts w:hint="eastAsia" w:ascii="方正小标宋_GBK" w:hAnsi="方正小标宋_GBK" w:eastAsia="方正小标宋_GBK" w:cs="方正小标宋_GBK"/>
          <w:i w:val="0"/>
          <w:iCs w:val="0"/>
          <w:caps w:val="0"/>
          <w:spacing w:val="0"/>
          <w:kern w:val="0"/>
          <w:sz w:val="44"/>
          <w:szCs w:val="44"/>
          <w:shd w:val="clear" w:fill="FFFFFF"/>
          <w:lang w:eastAsia="zh-CN"/>
        </w:rPr>
        <w:t>部门</w:t>
      </w:r>
      <w:r>
        <w:rPr>
          <w:rFonts w:hint="eastAsia" w:ascii="方正小标宋_GBK" w:hAnsi="方正小标宋_GBK" w:eastAsia="方正小标宋_GBK" w:cs="方正小标宋_GBK"/>
          <w:i w:val="0"/>
          <w:iCs w:val="0"/>
          <w:caps w:val="0"/>
          <w:spacing w:val="0"/>
          <w:kern w:val="0"/>
          <w:sz w:val="44"/>
          <w:szCs w:val="44"/>
          <w:shd w:val="clear" w:fill="FFFFFF"/>
        </w:rPr>
        <w:t>决算情况说明</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一、</w:t>
      </w:r>
      <w:r>
        <w:rPr>
          <w:rFonts w:hint="eastAsia" w:ascii="方正黑体_GBK" w:hAnsi="方正黑体_GBK" w:eastAsia="方正黑体_GBK" w:cs="方正黑体_GBK"/>
          <w:i w:val="0"/>
          <w:iCs w:val="0"/>
          <w:caps w:val="0"/>
          <w:spacing w:val="0"/>
          <w:kern w:val="2"/>
          <w:sz w:val="32"/>
          <w:szCs w:val="32"/>
          <w:lang w:eastAsia="zh-CN"/>
        </w:rPr>
        <w:t>部门</w:t>
      </w:r>
      <w:r>
        <w:rPr>
          <w:rFonts w:hint="eastAsia" w:ascii="方正黑体_GBK" w:hAnsi="方正黑体_GBK" w:eastAsia="方正黑体_GBK" w:cs="方正黑体_GBK"/>
          <w:i w:val="0"/>
          <w:iCs w:val="0"/>
          <w:caps w:val="0"/>
          <w:spacing w:val="0"/>
          <w:kern w:val="2"/>
          <w:sz w:val="32"/>
          <w:szCs w:val="32"/>
        </w:rPr>
        <w:t>基本情况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（一）职能职责</w:t>
      </w:r>
    </w:p>
    <w:p>
      <w:pPr>
        <w:spacing w:line="594"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1、起草全区畜牧业、饲料饲草业等草畜禽种业发展政策、规划并组织实施和调度分析。承担饲料及其添加剂、兽药的日常管理，承担生鲜乳生产收购环节质量安全监督日常工作。指导畜牧业结构调整、畜禽良种推广应用、标准化生产、规模饲养、畜禽粪污资源化利用，提供畜牧业技术推广与服务。组织实施畜禽遗传资源保护和管理。参与畜禽品种及配套管理，协助开展承担审定、登记、鉴定工作。</w:t>
      </w:r>
    </w:p>
    <w:p>
      <w:pPr>
        <w:spacing w:line="594"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2、具体负责家畜家禽和人工饲养的其他陆生动物疫病的监测、预警、预报、实验室诊断、流行病学调查、疫情报告，兽医、兽药相关工作。</w:t>
      </w:r>
    </w:p>
    <w:p>
      <w:pPr>
        <w:spacing w:line="594"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3、负责拟定重大动物疫病防控技术方案并指导实施。开展动物疫病预防的技术指导、技术培训、科普宣传。</w:t>
      </w:r>
    </w:p>
    <w:p>
      <w:pPr>
        <w:spacing w:line="594"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4、起草全区渔业发展政策、规划。指导渔业产业结构、布局调整和标准化生产，拟订渔业地方有关标准和技术规范，提供渔业技术推广和技术服务、渔业统计和信息服务。保护和合理开发利用渔业资源，组织水生动植物病害防控。组织渔业水域生态环境及水生野生动植物保护。承担开展渔政监督管理和水产品、渔用饲料、渔用药物质量监督检验测试工作。指导渔业安全生产。在资质范围内参与渔业资源养护和渔业水质监测。</w:t>
      </w:r>
    </w:p>
    <w:p>
      <w:pPr>
        <w:spacing w:line="594" w:lineRule="exact"/>
        <w:ind w:firstLine="640" w:firstLineChars="200"/>
        <w:rPr>
          <w:rFonts w:hint="eastAsia"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5、具体承办畜牧、渔业行业有关许可事务性工作。</w:t>
      </w:r>
    </w:p>
    <w:p>
      <w:pPr>
        <w:spacing w:line="594" w:lineRule="exact"/>
        <w:ind w:firstLine="640" w:firstLineChars="200"/>
        <w:rPr>
          <w:rFonts w:hint="eastAsia" w:ascii="Times New Roman" w:hAnsi="Times New Roman" w:eastAsia="方正仿宋_GBK" w:cs="Times New Roman"/>
          <w:i w:val="0"/>
          <w:iCs w:val="0"/>
          <w:caps w:val="0"/>
          <w:color w:val="333333"/>
          <w:spacing w:val="0"/>
          <w:kern w:val="2"/>
          <w:sz w:val="32"/>
          <w:szCs w:val="32"/>
          <w:shd w:val="clear" w:color="auto" w:fill="auto"/>
          <w:lang w:val="en-US" w:eastAsia="zh-CN" w:bidi="ar-SA"/>
        </w:rPr>
      </w:pPr>
      <w:r>
        <w:rPr>
          <w:rFonts w:hint="eastAsia" w:eastAsia="方正仿宋_GBK" w:cs="Times New Roman"/>
          <w:i w:val="0"/>
          <w:iCs w:val="0"/>
          <w:caps w:val="0"/>
          <w:color w:val="333333"/>
          <w:spacing w:val="0"/>
          <w:kern w:val="2"/>
          <w:sz w:val="32"/>
          <w:szCs w:val="32"/>
          <w:shd w:val="clear" w:color="auto" w:fill="auto"/>
          <w:lang w:val="en-US" w:eastAsia="zh-CN" w:bidi="ar-SA"/>
        </w:rPr>
        <w:t>6、完成上级交办的其他工作。</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（二）机构设置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本单位无内设机构。</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（三）单位构成</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宋体" w:hAnsi="宋体" w:eastAsia="宋体" w:cs="宋体"/>
          <w:kern w:val="0"/>
          <w:sz w:val="24"/>
          <w:szCs w:val="24"/>
        </w:rPr>
      </w:pPr>
      <w:r>
        <w:rPr>
          <w:rFonts w:hint="eastAsia" w:ascii="方正仿宋_GBK" w:hAnsi="方正仿宋_GBK" w:eastAsia="方正仿宋_GBK" w:cs="方正仿宋_GBK"/>
          <w:i w:val="0"/>
          <w:iCs w:val="0"/>
          <w:caps w:val="0"/>
          <w:color w:val="333333"/>
          <w:spacing w:val="0"/>
          <w:kern w:val="2"/>
          <w:sz w:val="32"/>
          <w:szCs w:val="32"/>
        </w:rPr>
        <w:t>本单位无下级预算单位。</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二、</w:t>
      </w:r>
      <w:r>
        <w:rPr>
          <w:rFonts w:hint="eastAsia" w:ascii="方正黑体_GBK" w:hAnsi="方正黑体_GBK" w:eastAsia="方正黑体_GBK" w:cs="方正黑体_GBK"/>
          <w:i w:val="0"/>
          <w:iCs w:val="0"/>
          <w:caps w:val="0"/>
          <w:spacing w:val="0"/>
          <w:kern w:val="2"/>
          <w:sz w:val="32"/>
          <w:szCs w:val="32"/>
          <w:lang w:eastAsia="zh-CN"/>
        </w:rPr>
        <w:t>部门</w:t>
      </w:r>
      <w:bookmarkStart w:id="0" w:name="_GoBack"/>
      <w:bookmarkEnd w:id="0"/>
      <w:r>
        <w:rPr>
          <w:rFonts w:hint="eastAsia" w:ascii="方正黑体_GBK" w:hAnsi="方正黑体_GBK" w:eastAsia="方正黑体_GBK" w:cs="方正黑体_GBK"/>
          <w:i w:val="0"/>
          <w:iCs w:val="0"/>
          <w:caps w:val="0"/>
          <w:spacing w:val="0"/>
          <w:kern w:val="2"/>
          <w:sz w:val="32"/>
          <w:szCs w:val="32"/>
        </w:rPr>
        <w:t>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（一）收入支出决算总体情况说明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spacing w:val="0"/>
          <w:kern w:val="2"/>
          <w:sz w:val="32"/>
          <w:szCs w:val="32"/>
        </w:rPr>
      </w:pPr>
      <w:r>
        <w:rPr>
          <w:rStyle w:val="15"/>
          <w:rFonts w:hint="default" w:ascii="Calibri" w:hAnsi="Calibri" w:eastAsia="方正仿宋_GBK" w:cs="方正仿宋_GBK"/>
          <w:b/>
          <w:bCs w:val="0"/>
          <w:sz w:val="32"/>
          <w:szCs w:val="32"/>
          <w:shd w:val="clear" w:fill="FFFFFF"/>
        </w:rPr>
        <w:t>1.总体情况。</w:t>
      </w:r>
      <w:r>
        <w:rPr>
          <w:rFonts w:hint="eastAsia" w:ascii="方正仿宋_GBK" w:hAnsi="方正仿宋_GBK" w:eastAsia="方正仿宋_GBK" w:cs="方正仿宋_GBK"/>
          <w:i w:val="0"/>
          <w:iCs w:val="0"/>
          <w:caps w:val="0"/>
          <w:color w:val="333333"/>
          <w:spacing w:val="0"/>
          <w:kern w:val="2"/>
          <w:sz w:val="32"/>
          <w:szCs w:val="32"/>
          <w:lang w:eastAsia="zh-CN"/>
        </w:rPr>
        <w:t>2022年度收入总计152.1万元，支出总计152.1万元。收支较上年决算数增加152.1万元</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eastAsia="zh-CN"/>
        </w:rPr>
      </w:pPr>
      <w:r>
        <w:rPr>
          <w:rStyle w:val="15"/>
          <w:rFonts w:hint="default" w:ascii="Calibri" w:hAnsi="Calibri" w:eastAsia="方正仿宋_GBK" w:cs="方正仿宋_GBK"/>
          <w:b/>
          <w:bCs w:val="0"/>
          <w:sz w:val="32"/>
          <w:szCs w:val="32"/>
          <w:shd w:val="clear" w:fill="FFFFFF"/>
        </w:rPr>
        <w:t>2.收入情况。</w:t>
      </w:r>
      <w:r>
        <w:rPr>
          <w:rFonts w:hint="eastAsia" w:ascii="方正仿宋_GBK" w:hAnsi="方正仿宋_GBK" w:eastAsia="方正仿宋_GBK" w:cs="方正仿宋_GBK"/>
          <w:i w:val="0"/>
          <w:iCs w:val="0"/>
          <w:caps w:val="0"/>
          <w:color w:val="333333"/>
          <w:spacing w:val="0"/>
          <w:kern w:val="2"/>
          <w:sz w:val="32"/>
          <w:szCs w:val="32"/>
        </w:rPr>
        <w:t>2022年度收入合计</w:t>
      </w:r>
      <w:r>
        <w:rPr>
          <w:rFonts w:hint="eastAsia" w:ascii="方正仿宋_GBK" w:hAnsi="方正仿宋_GBK" w:eastAsia="方正仿宋_GBK" w:cs="方正仿宋_GBK"/>
          <w:i w:val="0"/>
          <w:iCs w:val="0"/>
          <w:caps w:val="0"/>
          <w:color w:val="333333"/>
          <w:spacing w:val="0"/>
          <w:kern w:val="2"/>
          <w:sz w:val="32"/>
          <w:szCs w:val="32"/>
          <w:lang w:eastAsia="zh-CN"/>
        </w:rPr>
        <w:t>152.1</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eastAsia" w:ascii="方正仿宋_GBK" w:hAnsi="方正仿宋_GBK" w:eastAsia="方正仿宋_GBK" w:cs="方正仿宋_GBK"/>
          <w:i w:val="0"/>
          <w:iCs w:val="0"/>
          <w:caps w:val="0"/>
          <w:color w:val="333333"/>
          <w:spacing w:val="0"/>
          <w:kern w:val="2"/>
          <w:sz w:val="32"/>
          <w:szCs w:val="32"/>
          <w:lang w:eastAsia="zh-CN"/>
        </w:rPr>
        <w:t>152.1</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年开始独立填报决算，无上年决算数据。其中：财政拨款收入</w:t>
      </w:r>
      <w:r>
        <w:rPr>
          <w:rFonts w:hint="eastAsia" w:ascii="方正仿宋_GBK" w:hAnsi="方正仿宋_GBK" w:eastAsia="方正仿宋_GBK" w:cs="方正仿宋_GBK"/>
          <w:i w:val="0"/>
          <w:iCs w:val="0"/>
          <w:caps w:val="0"/>
          <w:color w:val="333333"/>
          <w:spacing w:val="0"/>
          <w:kern w:val="2"/>
          <w:sz w:val="32"/>
          <w:szCs w:val="32"/>
          <w:lang w:eastAsia="zh-CN"/>
        </w:rPr>
        <w:t>152.1</w:t>
      </w:r>
      <w:r>
        <w:rPr>
          <w:rFonts w:hint="eastAsia" w:ascii="方正仿宋_GBK" w:hAnsi="方正仿宋_GBK" w:eastAsia="方正仿宋_GBK" w:cs="方正仿宋_GBK"/>
          <w:i w:val="0"/>
          <w:iCs w:val="0"/>
          <w:caps w:val="0"/>
          <w:color w:val="333333"/>
          <w:spacing w:val="0"/>
          <w:kern w:val="2"/>
          <w:sz w:val="32"/>
          <w:szCs w:val="32"/>
        </w:rPr>
        <w:t>万元，占</w:t>
      </w:r>
      <w:r>
        <w:rPr>
          <w:rFonts w:hint="eastAsia" w:ascii="方正仿宋_GBK" w:hAnsi="方正仿宋_GBK" w:eastAsia="方正仿宋_GBK" w:cs="方正仿宋_GBK"/>
          <w:i w:val="0"/>
          <w:iCs w:val="0"/>
          <w:caps w:val="0"/>
          <w:color w:val="333333"/>
          <w:spacing w:val="0"/>
          <w:kern w:val="2"/>
          <w:sz w:val="32"/>
          <w:szCs w:val="32"/>
          <w:lang w:eastAsia="zh-CN"/>
        </w:rPr>
        <w:t>100.0%。</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rPr>
      </w:pPr>
      <w:r>
        <w:rPr>
          <w:rStyle w:val="15"/>
          <w:rFonts w:hint="default" w:ascii="Calibri" w:hAnsi="Calibri" w:eastAsia="方正仿宋_GBK" w:cs="方正仿宋_GBK"/>
          <w:b/>
          <w:bCs w:val="0"/>
          <w:sz w:val="32"/>
          <w:szCs w:val="32"/>
          <w:shd w:val="clear" w:fill="FFFFFF"/>
        </w:rPr>
        <w:t>3.支出情况。</w:t>
      </w:r>
      <w:r>
        <w:rPr>
          <w:rFonts w:hint="eastAsia" w:ascii="方正仿宋_GBK" w:hAnsi="方正仿宋_GBK" w:eastAsia="方正仿宋_GBK" w:cs="方正仿宋_GBK"/>
          <w:i w:val="0"/>
          <w:iCs w:val="0"/>
          <w:caps w:val="0"/>
          <w:color w:val="333333"/>
          <w:spacing w:val="0"/>
          <w:kern w:val="2"/>
          <w:sz w:val="32"/>
          <w:szCs w:val="32"/>
        </w:rPr>
        <w:t>2022年度支出合计</w:t>
      </w:r>
      <w:r>
        <w:rPr>
          <w:rFonts w:hint="eastAsia" w:ascii="方正仿宋_GBK" w:hAnsi="方正仿宋_GBK" w:eastAsia="方正仿宋_GBK" w:cs="方正仿宋_GBK"/>
          <w:i w:val="0"/>
          <w:iCs w:val="0"/>
          <w:caps w:val="0"/>
          <w:color w:val="333333"/>
          <w:spacing w:val="0"/>
          <w:kern w:val="2"/>
          <w:sz w:val="32"/>
          <w:szCs w:val="32"/>
          <w:lang w:eastAsia="zh-CN"/>
        </w:rPr>
        <w:t>152.1</w:t>
      </w:r>
      <w:r>
        <w:rPr>
          <w:rFonts w:hint="eastAsia" w:ascii="方正仿宋_GBK" w:hAnsi="方正仿宋_GBK" w:eastAsia="方正仿宋_GBK" w:cs="方正仿宋_GBK"/>
          <w:i w:val="0"/>
          <w:iCs w:val="0"/>
          <w:caps w:val="0"/>
          <w:color w:val="333333"/>
          <w:spacing w:val="0"/>
          <w:kern w:val="2"/>
          <w:sz w:val="32"/>
          <w:szCs w:val="32"/>
        </w:rPr>
        <w:t>万元，较上年决算增加</w:t>
      </w:r>
      <w:r>
        <w:rPr>
          <w:rFonts w:hint="eastAsia" w:ascii="方正仿宋_GBK" w:hAnsi="方正仿宋_GBK" w:eastAsia="方正仿宋_GBK" w:cs="方正仿宋_GBK"/>
          <w:i w:val="0"/>
          <w:iCs w:val="0"/>
          <w:caps w:val="0"/>
          <w:color w:val="333333"/>
          <w:spacing w:val="0"/>
          <w:kern w:val="2"/>
          <w:sz w:val="32"/>
          <w:szCs w:val="32"/>
          <w:lang w:eastAsia="zh-CN"/>
        </w:rPr>
        <w:t>152.1</w:t>
      </w:r>
      <w:r>
        <w:rPr>
          <w:rFonts w:hint="eastAsia" w:ascii="方正仿宋_GBK" w:hAnsi="方正仿宋_GBK" w:eastAsia="方正仿宋_GBK" w:cs="方正仿宋_GBK"/>
          <w:i w:val="0"/>
          <w:iCs w:val="0"/>
          <w:caps w:val="0"/>
          <w:color w:val="333333"/>
          <w:spacing w:val="0"/>
          <w:kern w:val="2"/>
          <w:sz w:val="32"/>
          <w:szCs w:val="32"/>
        </w:rPr>
        <w:t>万元，</w:t>
      </w:r>
      <w:r>
        <w:rPr>
          <w:rFonts w:hint="eastAsia" w:ascii="方正仿宋_GBK" w:hAnsi="方正仿宋_GBK" w:eastAsia="方正仿宋_GBK" w:cs="方正仿宋_GBK"/>
          <w:i w:val="0"/>
          <w:iCs w:val="0"/>
          <w:caps w:val="0"/>
          <w:color w:val="333333"/>
          <w:spacing w:val="0"/>
          <w:kern w:val="2"/>
          <w:sz w:val="32"/>
          <w:szCs w:val="32"/>
          <w:lang w:eastAsia="zh-CN"/>
        </w:rPr>
        <w:t>增长100.0%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年开始独立填报决算，无上年决算数据。其中：基本支出137.68万元，占90.5%；项目支出14.42万元，占9.5%</w:t>
      </w:r>
      <w:r>
        <w:rPr>
          <w:rFonts w:hint="eastAsia" w:ascii="方正仿宋_GBK" w:hAnsi="方正仿宋_GBK" w:eastAsia="方正仿宋_GBK" w:cs="方正仿宋_GBK"/>
          <w:i w:val="0"/>
          <w:iCs w:val="0"/>
          <w:caps w:val="0"/>
          <w:color w:val="333333"/>
          <w:spacing w:val="0"/>
          <w:kern w:val="2"/>
          <w:sz w:val="32"/>
          <w:szCs w:val="32"/>
          <w:lang w:eastAsia="zh-CN"/>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default" w:ascii="Calibri" w:hAnsi="Calibri" w:eastAsia="方正仿宋_GBK" w:cs="方正仿宋_GBK"/>
          <w:b/>
          <w:bCs w:val="0"/>
          <w:sz w:val="32"/>
          <w:szCs w:val="32"/>
          <w:shd w:val="clear" w:fill="FFFFFF"/>
        </w:rPr>
        <w:t>4.结转结余情况。</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年度年末结转和结余</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万元，与上年一致。</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（二）财政拨款收入支出决算总体情况说明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2022年度财政拨款收、支总计</w:t>
      </w:r>
      <w:r>
        <w:rPr>
          <w:rFonts w:hint="eastAsia" w:ascii="方正仿宋_GBK" w:hAnsi="方正仿宋_GBK" w:eastAsia="方正仿宋_GBK" w:cs="方正仿宋_GBK"/>
          <w:i w:val="0"/>
          <w:iCs w:val="0"/>
          <w:caps w:val="0"/>
          <w:color w:val="333333"/>
          <w:spacing w:val="0"/>
          <w:kern w:val="2"/>
          <w:sz w:val="32"/>
          <w:szCs w:val="32"/>
          <w:lang w:eastAsia="zh-CN"/>
        </w:rPr>
        <w:t>152.1</w:t>
      </w:r>
      <w:r>
        <w:rPr>
          <w:rFonts w:hint="eastAsia" w:ascii="方正仿宋_GBK" w:hAnsi="方正仿宋_GBK" w:eastAsia="方正仿宋_GBK" w:cs="方正仿宋_GBK"/>
          <w:i w:val="0"/>
          <w:iCs w:val="0"/>
          <w:caps w:val="0"/>
          <w:color w:val="333333"/>
          <w:spacing w:val="0"/>
          <w:kern w:val="2"/>
          <w:sz w:val="32"/>
          <w:szCs w:val="32"/>
          <w:lang w:val="en-US" w:eastAsia="zh-CN" w:bidi="ar"/>
        </w:rPr>
        <w:t>万元。与2021年相比，财政拨款收、支总计各增加</w:t>
      </w:r>
      <w:r>
        <w:rPr>
          <w:rFonts w:hint="eastAsia" w:ascii="方正仿宋_GBK" w:hAnsi="方正仿宋_GBK" w:eastAsia="方正仿宋_GBK" w:cs="方正仿宋_GBK"/>
          <w:i w:val="0"/>
          <w:iCs w:val="0"/>
          <w:caps w:val="0"/>
          <w:color w:val="333333"/>
          <w:spacing w:val="0"/>
          <w:kern w:val="2"/>
          <w:sz w:val="32"/>
          <w:szCs w:val="32"/>
          <w:lang w:eastAsia="zh-CN"/>
        </w:rPr>
        <w:t>152.1</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（三）一般公共预算财政拨款收入支出决算情况说明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ascii="Calibri" w:hAnsi="Calibri" w:eastAsia="方正仿宋_GBK" w:cs="方正仿宋_GBK"/>
          <w:bCs w:val="0"/>
          <w:kern w:val="0"/>
          <w:sz w:val="32"/>
          <w:szCs w:val="32"/>
          <w:shd w:val="clear" w:fill="FFFFFF"/>
          <w:lang w:val="en-US" w:eastAsia="zh-CN" w:bidi="ar"/>
        </w:rPr>
        <w:t>1.收入情况。</w:t>
      </w: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2022年度一般公共预算财政拨款收入</w:t>
      </w:r>
      <w:r>
        <w:rPr>
          <w:rFonts w:hint="eastAsia" w:ascii="方正仿宋_GBK" w:hAnsi="方正仿宋_GBK" w:eastAsia="方正仿宋_GBK" w:cs="方正仿宋_GBK"/>
          <w:i w:val="0"/>
          <w:iCs w:val="0"/>
          <w:caps w:val="0"/>
          <w:color w:val="333333"/>
          <w:spacing w:val="0"/>
          <w:kern w:val="2"/>
          <w:sz w:val="32"/>
          <w:szCs w:val="32"/>
          <w:lang w:eastAsia="zh-CN"/>
        </w:rPr>
        <w:t>152.1</w:t>
      </w:r>
      <w:r>
        <w:rPr>
          <w:rFonts w:hint="eastAsia" w:ascii="方正仿宋_GBK" w:hAnsi="方正仿宋_GBK" w:eastAsia="方正仿宋_GBK" w:cs="方正仿宋_GBK"/>
          <w:i w:val="0"/>
          <w:iCs w:val="0"/>
          <w:caps w:val="0"/>
          <w:color w:val="333333"/>
          <w:spacing w:val="0"/>
          <w:kern w:val="2"/>
          <w:sz w:val="32"/>
          <w:szCs w:val="32"/>
          <w:lang w:val="en-US" w:eastAsia="zh-CN" w:bidi="ar"/>
        </w:rPr>
        <w:t>万元，较上年决算数增加</w:t>
      </w:r>
      <w:r>
        <w:rPr>
          <w:rFonts w:hint="eastAsia" w:ascii="方正仿宋_GBK" w:hAnsi="方正仿宋_GBK" w:eastAsia="方正仿宋_GBK" w:cs="方正仿宋_GBK"/>
          <w:i w:val="0"/>
          <w:iCs w:val="0"/>
          <w:caps w:val="0"/>
          <w:color w:val="333333"/>
          <w:spacing w:val="0"/>
          <w:kern w:val="2"/>
          <w:sz w:val="32"/>
          <w:szCs w:val="32"/>
          <w:lang w:eastAsia="zh-CN"/>
        </w:rPr>
        <w:t>152.1</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年开始独立填报决算，无上年决算数据。较年初预算数增加3.78万元，增长2.5%。主要原因是项目支出增加。此外，年初财政拨款结转和结余0万元。</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ascii="Calibri" w:hAnsi="Calibri" w:eastAsia="方正仿宋_GBK" w:cs="方正仿宋_GBK"/>
          <w:bCs w:val="0"/>
          <w:kern w:val="0"/>
          <w:sz w:val="32"/>
          <w:szCs w:val="32"/>
          <w:shd w:val="clear" w:fill="FFFFFF"/>
          <w:lang w:val="en-US" w:eastAsia="zh-CN" w:bidi="ar"/>
        </w:rPr>
        <w:t>2.支出情况。</w:t>
      </w: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2022年度一般公共预算财政拨款支出152.1万元，较上年决算数增加152.1万元，增长100.0%。主要原因是本单位在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年开始独立填报决算，无上年决算数据。较年初预算数增加3.78万元，增长2.5%。主要原因是项目支出增加。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Style w:val="15"/>
          <w:rFonts w:hint="default" w:ascii="Calibri" w:hAnsi="Calibri" w:eastAsia="方正仿宋_GBK" w:cs="方正仿宋_GBK"/>
          <w:b/>
          <w:bCs w:val="0"/>
          <w:sz w:val="32"/>
          <w:szCs w:val="32"/>
          <w:shd w:val="clear" w:fill="FFFFFF"/>
        </w:rPr>
        <w:t>3.</w:t>
      </w:r>
      <w:r>
        <w:rPr>
          <w:rStyle w:val="15"/>
          <w:rFonts w:hint="eastAsia" w:ascii="Calibri" w:hAnsi="Calibri" w:eastAsia="方正仿宋_GBK" w:cs="方正仿宋_GBK"/>
          <w:b/>
          <w:bCs w:val="0"/>
          <w:sz w:val="32"/>
          <w:szCs w:val="32"/>
          <w:shd w:val="clear" w:fill="FFFFFF"/>
        </w:rPr>
        <w:t>结转结余情况。</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年度年末一般公共预算财政拨款结转和结余</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万元，与上年决算数一致。</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3" w:firstLineChars="200"/>
        <w:jc w:val="both"/>
        <w:textAlignment w:val="auto"/>
      </w:pPr>
      <w:r>
        <w:rPr>
          <w:rStyle w:val="15"/>
          <w:rFonts w:hint="eastAsia" w:ascii="Calibri" w:hAnsi="Calibri" w:eastAsia="方正仿宋_GBK" w:cs="方正仿宋_GBK"/>
          <w:bCs w:val="0"/>
          <w:kern w:val="0"/>
          <w:sz w:val="32"/>
          <w:szCs w:val="32"/>
          <w:shd w:val="clear" w:fill="FFFFFF"/>
          <w:lang w:val="en-US" w:eastAsia="zh-CN" w:bidi="ar"/>
        </w:rPr>
        <w:t>4.比较情况。</w:t>
      </w:r>
      <w:r>
        <w:rPr>
          <w:rFonts w:hint="eastAsia" w:ascii="方正仿宋_GBK" w:hAnsi="方正仿宋_GBK" w:eastAsia="方正仿宋_GBK" w:cs="方正仿宋_GBK"/>
          <w:i w:val="0"/>
          <w:iCs w:val="0"/>
          <w:caps w:val="0"/>
          <w:color w:val="333333"/>
          <w:spacing w:val="0"/>
          <w:kern w:val="2"/>
          <w:sz w:val="32"/>
          <w:szCs w:val="32"/>
          <w:lang w:val="en-US" w:eastAsia="zh-CN" w:bidi="ar"/>
        </w:rPr>
        <w:t>本单位2022年度一般公共预算财政拨款支出主要用于以下几个方面：</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1</w:t>
      </w:r>
      <w:r>
        <w:rPr>
          <w:rFonts w:hint="eastAsia" w:ascii="方正仿宋_GBK" w:hAnsi="方正仿宋_GBK" w:eastAsia="方正仿宋_GBK" w:cs="方正仿宋_GBK"/>
          <w:i w:val="0"/>
          <w:iCs w:val="0"/>
          <w:caps w:val="0"/>
          <w:color w:val="333333"/>
          <w:spacing w:val="0"/>
          <w:kern w:val="2"/>
          <w:sz w:val="32"/>
          <w:szCs w:val="32"/>
        </w:rPr>
        <w:t>）社会保障与就业支出31.51万元，占20.7%，较年初预算数增加21.76万元，增长223.2%，主要原因是主要原因是保险、公积金基数调整</w:t>
      </w:r>
      <w:r>
        <w:rPr>
          <w:rFonts w:hint="eastAsia" w:ascii="方正仿宋_GBK" w:hAnsi="方正仿宋_GBK" w:eastAsia="方正仿宋_GBK" w:cs="方正仿宋_GBK"/>
          <w:i w:val="0"/>
          <w:iCs w:val="0"/>
          <w:caps w:val="0"/>
          <w:color w:val="333333"/>
          <w:spacing w:val="0"/>
          <w:kern w:val="2"/>
          <w:sz w:val="32"/>
          <w:szCs w:val="32"/>
          <w:lang w:eastAsia="zh-CN"/>
        </w:rPr>
        <w:t>及人员变动</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2</w:t>
      </w:r>
      <w:r>
        <w:rPr>
          <w:rFonts w:hint="eastAsia" w:ascii="方正仿宋_GBK" w:hAnsi="方正仿宋_GBK" w:eastAsia="方正仿宋_GBK" w:cs="方正仿宋_GBK"/>
          <w:i w:val="0"/>
          <w:iCs w:val="0"/>
          <w:caps w:val="0"/>
          <w:color w:val="333333"/>
          <w:spacing w:val="0"/>
          <w:kern w:val="2"/>
          <w:sz w:val="32"/>
          <w:szCs w:val="32"/>
        </w:rPr>
        <w:t>）卫生健康支出6.</w:t>
      </w:r>
      <w:r>
        <w:rPr>
          <w:rFonts w:hint="eastAsia" w:ascii="方正仿宋_GBK" w:hAnsi="方正仿宋_GBK" w:eastAsia="方正仿宋_GBK" w:cs="方正仿宋_GBK"/>
          <w:i w:val="0"/>
          <w:iCs w:val="0"/>
          <w:caps w:val="0"/>
          <w:color w:val="333333"/>
          <w:spacing w:val="0"/>
          <w:kern w:val="2"/>
          <w:sz w:val="32"/>
          <w:szCs w:val="32"/>
          <w:lang w:val="en-US" w:eastAsia="zh-CN"/>
        </w:rPr>
        <w:t>06</w:t>
      </w:r>
      <w:r>
        <w:rPr>
          <w:rFonts w:hint="eastAsia" w:ascii="方正仿宋_GBK" w:hAnsi="方正仿宋_GBK" w:eastAsia="方正仿宋_GBK" w:cs="方正仿宋_GBK"/>
          <w:i w:val="0"/>
          <w:iCs w:val="0"/>
          <w:caps w:val="0"/>
          <w:color w:val="333333"/>
          <w:spacing w:val="0"/>
          <w:kern w:val="2"/>
          <w:sz w:val="32"/>
          <w:szCs w:val="32"/>
        </w:rPr>
        <w:t>万元，占4</w:t>
      </w:r>
      <w:r>
        <w:rPr>
          <w:rFonts w:hint="eastAsia" w:ascii="方正仿宋_GBK" w:hAnsi="方正仿宋_GBK" w:eastAsia="方正仿宋_GBK" w:cs="方正仿宋_GBK"/>
          <w:i w:val="0"/>
          <w:iCs w:val="0"/>
          <w:caps w:val="0"/>
          <w:color w:val="333333"/>
          <w:spacing w:val="0"/>
          <w:kern w:val="2"/>
          <w:sz w:val="32"/>
          <w:szCs w:val="32"/>
          <w:lang w:val="en-US" w:eastAsia="zh-CN"/>
        </w:rPr>
        <w:t>.0</w:t>
      </w:r>
      <w:r>
        <w:rPr>
          <w:rFonts w:hint="eastAsia" w:ascii="方正仿宋_GBK" w:hAnsi="方正仿宋_GBK" w:eastAsia="方正仿宋_GBK" w:cs="方正仿宋_GBK"/>
          <w:i w:val="0"/>
          <w:iCs w:val="0"/>
          <w:caps w:val="0"/>
          <w:color w:val="333333"/>
          <w:spacing w:val="0"/>
          <w:kern w:val="2"/>
          <w:sz w:val="32"/>
          <w:szCs w:val="32"/>
        </w:rPr>
        <w:t>%，较年初预算数减少0.</w:t>
      </w:r>
      <w:r>
        <w:rPr>
          <w:rFonts w:hint="eastAsia" w:ascii="方正仿宋_GBK" w:hAnsi="方正仿宋_GBK" w:eastAsia="方正仿宋_GBK" w:cs="方正仿宋_GBK"/>
          <w:i w:val="0"/>
          <w:iCs w:val="0"/>
          <w:caps w:val="0"/>
          <w:color w:val="333333"/>
          <w:spacing w:val="0"/>
          <w:kern w:val="2"/>
          <w:sz w:val="32"/>
          <w:szCs w:val="32"/>
          <w:lang w:val="en-US" w:eastAsia="zh-CN"/>
        </w:rPr>
        <w:t>2</w:t>
      </w:r>
      <w:r>
        <w:rPr>
          <w:rFonts w:hint="eastAsia" w:ascii="方正仿宋_GBK" w:hAnsi="方正仿宋_GBK" w:eastAsia="方正仿宋_GBK" w:cs="方正仿宋_GBK"/>
          <w:i w:val="0"/>
          <w:iCs w:val="0"/>
          <w:caps w:val="0"/>
          <w:color w:val="333333"/>
          <w:spacing w:val="0"/>
          <w:kern w:val="2"/>
          <w:sz w:val="32"/>
          <w:szCs w:val="32"/>
        </w:rPr>
        <w:t>万元，下降</w:t>
      </w:r>
      <w:r>
        <w:rPr>
          <w:rFonts w:hint="eastAsia" w:ascii="方正仿宋_GBK" w:hAnsi="方正仿宋_GBK" w:eastAsia="方正仿宋_GBK" w:cs="方正仿宋_GBK"/>
          <w:i w:val="0"/>
          <w:iCs w:val="0"/>
          <w:caps w:val="0"/>
          <w:color w:val="333333"/>
          <w:spacing w:val="0"/>
          <w:kern w:val="2"/>
          <w:sz w:val="32"/>
          <w:szCs w:val="32"/>
          <w:lang w:val="en-US" w:eastAsia="zh-CN"/>
        </w:rPr>
        <w:t>3.2</w:t>
      </w:r>
      <w:r>
        <w:rPr>
          <w:rFonts w:hint="eastAsia" w:ascii="方正仿宋_GBK" w:hAnsi="方正仿宋_GBK" w:eastAsia="方正仿宋_GBK" w:cs="方正仿宋_GBK"/>
          <w:i w:val="0"/>
          <w:iCs w:val="0"/>
          <w:caps w:val="0"/>
          <w:color w:val="333333"/>
          <w:spacing w:val="0"/>
          <w:kern w:val="2"/>
          <w:sz w:val="32"/>
          <w:szCs w:val="32"/>
        </w:rPr>
        <w:t>%，主要原因是</w:t>
      </w:r>
      <w:r>
        <w:rPr>
          <w:rFonts w:hint="eastAsia" w:ascii="方正仿宋_GBK" w:hAnsi="方正仿宋_GBK" w:eastAsia="方正仿宋_GBK" w:cs="方正仿宋_GBK"/>
          <w:i w:val="0"/>
          <w:iCs w:val="0"/>
          <w:caps w:val="0"/>
          <w:color w:val="333333"/>
          <w:spacing w:val="0"/>
          <w:kern w:val="2"/>
          <w:sz w:val="32"/>
          <w:szCs w:val="32"/>
          <w:lang w:eastAsia="zh-CN"/>
        </w:rPr>
        <w:t>人员变动</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3</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bidi="ar"/>
        </w:rPr>
        <w:t>农林水支出109.67万元，占72.1%，较年初预算数减少17.77万元，下降13.9%，主要原因是项目支出减少</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val="en-US" w:eastAsia="zh-CN"/>
        </w:rPr>
        <w:t>4</w:t>
      </w:r>
      <w:r>
        <w:rPr>
          <w:rFonts w:hint="eastAsia" w:ascii="方正仿宋_GBK" w:hAnsi="方正仿宋_GBK" w:eastAsia="方正仿宋_GBK" w:cs="方正仿宋_GBK"/>
          <w:i w:val="0"/>
          <w:iCs w:val="0"/>
          <w:caps w:val="0"/>
          <w:color w:val="333333"/>
          <w:spacing w:val="0"/>
          <w:kern w:val="2"/>
          <w:sz w:val="32"/>
          <w:szCs w:val="32"/>
        </w:rPr>
        <w:t>）</w:t>
      </w:r>
      <w:r>
        <w:rPr>
          <w:rFonts w:hint="eastAsia" w:ascii="方正仿宋_GBK" w:hAnsi="方正仿宋_GBK" w:eastAsia="方正仿宋_GBK" w:cs="方正仿宋_GBK"/>
          <w:i w:val="0"/>
          <w:iCs w:val="0"/>
          <w:caps w:val="0"/>
          <w:color w:val="333333"/>
          <w:spacing w:val="0"/>
          <w:kern w:val="2"/>
          <w:sz w:val="32"/>
          <w:szCs w:val="32"/>
          <w:lang w:eastAsia="zh-CN"/>
        </w:rPr>
        <w:t>住房保障支出</w:t>
      </w:r>
      <w:r>
        <w:rPr>
          <w:rFonts w:hint="eastAsia" w:ascii="方正仿宋_GBK" w:hAnsi="方正仿宋_GBK" w:eastAsia="方正仿宋_GBK" w:cs="方正仿宋_GBK"/>
          <w:i w:val="0"/>
          <w:iCs w:val="0"/>
          <w:caps w:val="0"/>
          <w:color w:val="333333"/>
          <w:spacing w:val="0"/>
          <w:kern w:val="2"/>
          <w:sz w:val="32"/>
          <w:szCs w:val="32"/>
          <w:lang w:val="en-US" w:eastAsia="zh-CN"/>
        </w:rPr>
        <w:t>4.87</w:t>
      </w:r>
      <w:r>
        <w:rPr>
          <w:rFonts w:hint="eastAsia" w:ascii="方正仿宋_GBK" w:hAnsi="方正仿宋_GBK" w:eastAsia="方正仿宋_GBK" w:cs="方正仿宋_GBK"/>
          <w:i w:val="0"/>
          <w:iCs w:val="0"/>
          <w:caps w:val="0"/>
          <w:color w:val="333333"/>
          <w:spacing w:val="0"/>
          <w:kern w:val="2"/>
          <w:sz w:val="32"/>
          <w:szCs w:val="32"/>
          <w:lang w:eastAsia="zh-CN"/>
        </w:rPr>
        <w:t>万元，占</w:t>
      </w:r>
      <w:r>
        <w:rPr>
          <w:rFonts w:hint="eastAsia" w:ascii="方正仿宋_GBK" w:hAnsi="方正仿宋_GBK" w:eastAsia="方正仿宋_GBK" w:cs="方正仿宋_GBK"/>
          <w:i w:val="0"/>
          <w:iCs w:val="0"/>
          <w:caps w:val="0"/>
          <w:color w:val="333333"/>
          <w:spacing w:val="0"/>
          <w:kern w:val="2"/>
          <w:sz w:val="32"/>
          <w:szCs w:val="32"/>
          <w:lang w:val="en-US" w:eastAsia="zh-CN"/>
        </w:rPr>
        <w:t>3.2</w:t>
      </w:r>
      <w:r>
        <w:rPr>
          <w:rFonts w:hint="eastAsia" w:ascii="方正仿宋_GBK" w:hAnsi="方正仿宋_GBK" w:eastAsia="方正仿宋_GBK" w:cs="方正仿宋_GBK"/>
          <w:i w:val="0"/>
          <w:iCs w:val="0"/>
          <w:caps w:val="0"/>
          <w:color w:val="333333"/>
          <w:spacing w:val="0"/>
          <w:kern w:val="2"/>
          <w:sz w:val="32"/>
          <w:szCs w:val="32"/>
          <w:lang w:eastAsia="zh-CN"/>
        </w:rPr>
        <w:t>%，与年初预算数一致</w:t>
      </w:r>
      <w:r>
        <w:rPr>
          <w:rFonts w:hint="eastAsia" w:ascii="方正仿宋_GBK" w:hAnsi="方正仿宋_GBK" w:eastAsia="方正仿宋_GBK" w:cs="方正仿宋_GBK"/>
          <w:i w:val="0"/>
          <w:iCs w:val="0"/>
          <w:caps w:val="0"/>
          <w:color w:val="333333"/>
          <w:spacing w:val="0"/>
          <w:kern w:val="2"/>
          <w:sz w:val="32"/>
          <w:szCs w:val="32"/>
        </w:rPr>
        <w:t>。</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（四）一般公共预算财政拨款基本支出决算情况说明</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atLeast"/>
        <w:ind w:left="0" w:leftChars="0" w:right="0" w:rightChars="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2022年度一般公共预算财政拨款基本支出137.68万元。其中：人员经费119.51万元，较上年决算数增加119.51万元，主要原因是本单位在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年开始独立填报决算，无上年决算数据。人员经费用途主要包括人员工资、社保、公积金等。公用经费18.17万元，较上年决算数增加18.17万元，增长100.0%，主要原因是本单位在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年开始独立填报决算，无上年决算数据。公用经费用途主要包括机关水、电、气、日常办公费、印刷费、办公费、等日常公用开支。</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（五）政府性基金预算收支决算情况说明。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年度无政府性基金预算财政拨款收支。</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（六）国有资本经营预算财政拨款支出决算情况说明。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w:t>
      </w:r>
      <w:r>
        <w:rPr>
          <w:rFonts w:hint="default" w:ascii="Times New Roman" w:hAnsi="Times New Roman" w:eastAsia="方正仿宋_GBK" w:cs="Times New Roman"/>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年度无国有资本经营预算财政拨款支出。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三、“三公”经费情况说明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（一）“三公”经费支出总体情况说明</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2022年度“三公”经费支出共计6.25万元，与年初预算数一致，主要原因是严格执行预算。较上年支出数增加6.25万元，增长100.0%，主要原因是本单位在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（二）“三公”经费分项支出情况</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年度本单位无因公出国（境）费用，公务车购置费支出。</w:t>
      </w:r>
    </w:p>
    <w:p>
      <w:pPr>
        <w:pStyle w:val="10"/>
        <w:keepNext w:val="0"/>
        <w:keepLines w:val="0"/>
        <w:pageBreakBefore w:val="0"/>
        <w:widowControl/>
        <w:suppressLineNumbers w:val="0"/>
        <w:kinsoku/>
        <w:wordWrap/>
        <w:overflowPunct/>
        <w:topLinePunct w:val="0"/>
        <w:autoSpaceDN/>
        <w:bidi w:val="0"/>
        <w:adjustRightInd/>
        <w:snapToGrid/>
        <w:spacing w:before="0" w:beforeAutospacing="0" w:afterAutospacing="0" w:line="600" w:lineRule="atLeast"/>
        <w:ind w:left="0" w:firstLine="640" w:firstLineChars="200"/>
        <w:jc w:val="left"/>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公务车运行维护费6万元，主要用于公务车辆维修、加油、保险等费用支出。与年初预算数一致，主要原因是严格执行预算。较上年支出数增加6万元，增长100.0%，主要原因是本单位在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公务接待费0.25万元，主要用于接待上级部门检查用餐。费用支出与年初预算一致，主要原因是严格执行预算，控制接待标准。较上年支出数增加</w:t>
      </w:r>
      <w:r>
        <w:rPr>
          <w:rFonts w:hint="default" w:ascii="方正仿宋_GBK" w:hAnsi="方正仿宋_GBK" w:eastAsia="方正仿宋_GBK" w:cs="方正仿宋_GBK"/>
          <w:i w:val="0"/>
          <w:iCs w:val="0"/>
          <w:caps w:val="0"/>
          <w:color w:val="333333"/>
          <w:spacing w:val="0"/>
          <w:kern w:val="2"/>
          <w:sz w:val="32"/>
          <w:szCs w:val="32"/>
          <w:lang w:val="en-US" w:eastAsia="zh-CN" w:bidi="ar"/>
        </w:rPr>
        <w:t>0.</w:t>
      </w:r>
      <w:r>
        <w:rPr>
          <w:rFonts w:hint="eastAsia" w:ascii="方正仿宋_GBK" w:hAnsi="方正仿宋_GBK" w:eastAsia="方正仿宋_GBK" w:cs="方正仿宋_GBK"/>
          <w:i w:val="0"/>
          <w:iCs w:val="0"/>
          <w:caps w:val="0"/>
          <w:color w:val="333333"/>
          <w:spacing w:val="0"/>
          <w:kern w:val="2"/>
          <w:sz w:val="32"/>
          <w:szCs w:val="32"/>
          <w:lang w:val="en-US" w:eastAsia="zh-CN" w:bidi="ar"/>
        </w:rPr>
        <w:t>2</w:t>
      </w:r>
      <w:r>
        <w:rPr>
          <w:rFonts w:hint="default" w:ascii="方正仿宋_GBK" w:hAnsi="方正仿宋_GBK" w:eastAsia="方正仿宋_GBK" w:cs="方正仿宋_GBK"/>
          <w:i w:val="0"/>
          <w:iCs w:val="0"/>
          <w:caps w:val="0"/>
          <w:color w:val="333333"/>
          <w:spacing w:val="0"/>
          <w:kern w:val="2"/>
          <w:sz w:val="32"/>
          <w:szCs w:val="32"/>
          <w:lang w:val="en-US" w:eastAsia="zh-CN" w:bidi="ar"/>
        </w:rPr>
        <w:t>5</w:t>
      </w:r>
      <w:r>
        <w:rPr>
          <w:rFonts w:hint="eastAsia" w:ascii="方正仿宋_GBK" w:hAnsi="方正仿宋_GBK" w:eastAsia="方正仿宋_GBK" w:cs="方正仿宋_GBK"/>
          <w:i w:val="0"/>
          <w:iCs w:val="0"/>
          <w:caps w:val="0"/>
          <w:color w:val="333333"/>
          <w:spacing w:val="0"/>
          <w:kern w:val="2"/>
          <w:sz w:val="32"/>
          <w:szCs w:val="32"/>
          <w:lang w:val="en-US" w:eastAsia="zh-CN" w:bidi="ar"/>
        </w:rPr>
        <w:t>万元，增长100.0%，主要原因是本单位在</w:t>
      </w:r>
      <w:r>
        <w:rPr>
          <w:rFonts w:hint="default" w:ascii="方正仿宋_GBK" w:hAnsi="方正仿宋_GBK" w:eastAsia="方正仿宋_GBK" w:cs="方正仿宋_GBK"/>
          <w:i w:val="0"/>
          <w:iCs w:val="0"/>
          <w:caps w:val="0"/>
          <w:color w:val="333333"/>
          <w:spacing w:val="0"/>
          <w:kern w:val="2"/>
          <w:sz w:val="32"/>
          <w:szCs w:val="32"/>
          <w:lang w:val="en-US" w:eastAsia="zh-CN" w:bidi="ar"/>
        </w:rPr>
        <w:t>2021</w:t>
      </w:r>
      <w:r>
        <w:rPr>
          <w:rFonts w:hint="eastAsia" w:ascii="方正仿宋_GBK" w:hAnsi="方正仿宋_GBK" w:eastAsia="方正仿宋_GBK" w:cs="方正仿宋_GBK"/>
          <w:i w:val="0"/>
          <w:iCs w:val="0"/>
          <w:caps w:val="0"/>
          <w:color w:val="333333"/>
          <w:spacing w:val="0"/>
          <w:kern w:val="2"/>
          <w:sz w:val="32"/>
          <w:szCs w:val="32"/>
          <w:lang w:val="en-US" w:eastAsia="zh-CN" w:bidi="ar"/>
        </w:rPr>
        <w:t>年及以前年度与农林局机关、乡村产业发展中心等</w:t>
      </w:r>
      <w:r>
        <w:rPr>
          <w:rFonts w:hint="default" w:ascii="方正仿宋_GBK" w:hAnsi="方正仿宋_GBK" w:eastAsia="方正仿宋_GBK" w:cs="方正仿宋_GBK"/>
          <w:i w:val="0"/>
          <w:iCs w:val="0"/>
          <w:caps w:val="0"/>
          <w:color w:val="333333"/>
          <w:spacing w:val="0"/>
          <w:kern w:val="2"/>
          <w:sz w:val="32"/>
          <w:szCs w:val="32"/>
          <w:lang w:val="en-US" w:eastAsia="zh-CN" w:bidi="ar"/>
        </w:rPr>
        <w:t>9</w:t>
      </w:r>
      <w:r>
        <w:rPr>
          <w:rFonts w:hint="eastAsia" w:ascii="方正仿宋_GBK" w:hAnsi="方正仿宋_GBK" w:eastAsia="方正仿宋_GBK" w:cs="方正仿宋_GBK"/>
          <w:i w:val="0"/>
          <w:iCs w:val="0"/>
          <w:caps w:val="0"/>
          <w:color w:val="333333"/>
          <w:spacing w:val="0"/>
          <w:kern w:val="2"/>
          <w:sz w:val="32"/>
          <w:szCs w:val="32"/>
          <w:lang w:val="en-US" w:eastAsia="zh-CN" w:bidi="ar"/>
        </w:rPr>
        <w:t>个单位合并记账，</w:t>
      </w:r>
      <w:r>
        <w:rPr>
          <w:rFonts w:hint="default" w:ascii="方正仿宋_GBK" w:hAnsi="方正仿宋_GBK" w:eastAsia="方正仿宋_GBK" w:cs="方正仿宋_GBK"/>
          <w:i w:val="0"/>
          <w:iCs w:val="0"/>
          <w:caps w:val="0"/>
          <w:color w:val="333333"/>
          <w:spacing w:val="0"/>
          <w:kern w:val="2"/>
          <w:sz w:val="32"/>
          <w:szCs w:val="32"/>
          <w:lang w:val="en-US" w:eastAsia="zh-CN" w:bidi="ar"/>
        </w:rPr>
        <w:t>2022</w:t>
      </w:r>
      <w:r>
        <w:rPr>
          <w:rFonts w:hint="eastAsia" w:ascii="方正仿宋_GBK" w:hAnsi="方正仿宋_GBK" w:eastAsia="方正仿宋_GBK" w:cs="方正仿宋_GBK"/>
          <w:i w:val="0"/>
          <w:iCs w:val="0"/>
          <w:caps w:val="0"/>
          <w:color w:val="333333"/>
          <w:spacing w:val="0"/>
          <w:kern w:val="2"/>
          <w:sz w:val="32"/>
          <w:szCs w:val="32"/>
          <w:lang w:val="en-US" w:eastAsia="zh-CN" w:bidi="ar"/>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（三）“三公”经费实物量情况</w:t>
      </w:r>
    </w:p>
    <w:p>
      <w:pPr>
        <w:pStyle w:val="10"/>
        <w:keepNext w:val="0"/>
        <w:keepLines w:val="0"/>
        <w:widowControl/>
        <w:suppressLineNumbers w:val="0"/>
        <w:spacing w:before="0" w:beforeAutospacing="0"/>
        <w:ind w:left="0" w:firstLine="640" w:firstLineChars="200"/>
        <w:jc w:val="left"/>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2022年度本部门因公出国（境）共计0个团组，0人；公务用车购置0辆，公务车保有量为0辆；国内公务接待5批次30人，其中：国内外事接待0批次，0人；国（境）外公务接待0批次，0人。2022年本部门人均接待费83.33元，车均购置费0万元，车均维护费0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四、其他需要说明的事项</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（一）财政拨款会议费和培训费情况说明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default"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本年度会议费支出</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万元，增长</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年开始独立填报决算，无上年决算数据。本年度培训费支出</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lang w:val="en-US" w:eastAsia="zh-CN"/>
        </w:rPr>
        <w:t>28</w:t>
      </w:r>
      <w:r>
        <w:rPr>
          <w:rFonts w:hint="eastAsia" w:ascii="方正仿宋_GBK" w:hAnsi="方正仿宋_GBK" w:eastAsia="方正仿宋_GBK" w:cs="方正仿宋_GBK"/>
          <w:i w:val="0"/>
          <w:iCs w:val="0"/>
          <w:caps w:val="0"/>
          <w:color w:val="333333"/>
          <w:spacing w:val="0"/>
          <w:kern w:val="2"/>
          <w:sz w:val="32"/>
          <w:szCs w:val="32"/>
        </w:rPr>
        <w:t>万元，较上年决算数增加</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lang w:val="en-US" w:eastAsia="zh-CN"/>
        </w:rPr>
        <w:t>28</w:t>
      </w:r>
      <w:r>
        <w:rPr>
          <w:rFonts w:hint="eastAsia" w:ascii="方正仿宋_GBK" w:hAnsi="方正仿宋_GBK" w:eastAsia="方正仿宋_GBK" w:cs="方正仿宋_GBK"/>
          <w:i w:val="0"/>
          <w:iCs w:val="0"/>
          <w:caps w:val="0"/>
          <w:color w:val="333333"/>
          <w:spacing w:val="0"/>
          <w:kern w:val="2"/>
          <w:sz w:val="32"/>
          <w:szCs w:val="32"/>
        </w:rPr>
        <w:t>万元，增长</w:t>
      </w:r>
      <w:r>
        <w:rPr>
          <w:rFonts w:hint="eastAsia" w:ascii="方正仿宋_GBK" w:hAnsi="方正仿宋_GBK" w:eastAsia="方正仿宋_GBK" w:cs="方正仿宋_GBK"/>
          <w:i w:val="0"/>
          <w:iCs w:val="0"/>
          <w:caps w:val="0"/>
          <w:color w:val="333333"/>
          <w:spacing w:val="0"/>
          <w:kern w:val="2"/>
          <w:sz w:val="32"/>
          <w:szCs w:val="32"/>
          <w:lang w:eastAsia="zh-CN"/>
        </w:rPr>
        <w:t>100.0%</w:t>
      </w:r>
      <w:r>
        <w:rPr>
          <w:rFonts w:hint="eastAsia" w:ascii="方正仿宋_GBK" w:hAnsi="方正仿宋_GBK" w:eastAsia="方正仿宋_GBK" w:cs="方正仿宋_GBK"/>
          <w:i w:val="0"/>
          <w:iCs w:val="0"/>
          <w:caps w:val="0"/>
          <w:color w:val="333333"/>
          <w:spacing w:val="0"/>
          <w:kern w:val="2"/>
          <w:sz w:val="32"/>
          <w:szCs w:val="32"/>
        </w:rPr>
        <w:t>，主要原因是本单位在</w:t>
      </w:r>
      <w:r>
        <w:rPr>
          <w:rFonts w:hint="default" w:ascii="方正仿宋_GBK" w:hAnsi="方正仿宋_GBK" w:eastAsia="方正仿宋_GBK" w:cs="方正仿宋_GBK"/>
          <w:i w:val="0"/>
          <w:iCs w:val="0"/>
          <w:caps w:val="0"/>
          <w:color w:val="333333"/>
          <w:spacing w:val="0"/>
          <w:kern w:val="2"/>
          <w:sz w:val="32"/>
          <w:szCs w:val="32"/>
        </w:rPr>
        <w:t>2021</w:t>
      </w:r>
      <w:r>
        <w:rPr>
          <w:rFonts w:hint="eastAsia" w:ascii="方正仿宋_GBK" w:hAnsi="方正仿宋_GBK" w:eastAsia="方正仿宋_GBK" w:cs="方正仿宋_GBK"/>
          <w:i w:val="0"/>
          <w:iCs w:val="0"/>
          <w:caps w:val="0"/>
          <w:color w:val="333333"/>
          <w:spacing w:val="0"/>
          <w:kern w:val="2"/>
          <w:sz w:val="32"/>
          <w:szCs w:val="32"/>
        </w:rPr>
        <w:t>年及以前年度与农林局机关、</w:t>
      </w:r>
      <w:r>
        <w:rPr>
          <w:rFonts w:hint="eastAsia" w:ascii="方正仿宋_GBK" w:hAnsi="方正仿宋_GBK" w:eastAsia="方正仿宋_GBK" w:cs="方正仿宋_GBK"/>
          <w:i w:val="0"/>
          <w:iCs w:val="0"/>
          <w:caps w:val="0"/>
          <w:color w:val="333333"/>
          <w:spacing w:val="0"/>
          <w:kern w:val="2"/>
          <w:sz w:val="32"/>
          <w:szCs w:val="32"/>
          <w:lang w:eastAsia="zh-CN"/>
        </w:rPr>
        <w:t>乡村产业发展中心</w:t>
      </w:r>
      <w:r>
        <w:rPr>
          <w:rFonts w:hint="eastAsia" w:ascii="方正仿宋_GBK" w:hAnsi="方正仿宋_GBK" w:eastAsia="方正仿宋_GBK" w:cs="方正仿宋_GBK"/>
          <w:i w:val="0"/>
          <w:iCs w:val="0"/>
          <w:caps w:val="0"/>
          <w:color w:val="333333"/>
          <w:spacing w:val="0"/>
          <w:kern w:val="2"/>
          <w:sz w:val="32"/>
          <w:szCs w:val="32"/>
        </w:rPr>
        <w:t>等</w:t>
      </w:r>
      <w:r>
        <w:rPr>
          <w:rFonts w:hint="default" w:ascii="方正仿宋_GBK" w:hAnsi="方正仿宋_GBK" w:eastAsia="方正仿宋_GBK" w:cs="方正仿宋_GBK"/>
          <w:i w:val="0"/>
          <w:iCs w:val="0"/>
          <w:caps w:val="0"/>
          <w:color w:val="333333"/>
          <w:spacing w:val="0"/>
          <w:kern w:val="2"/>
          <w:sz w:val="32"/>
          <w:szCs w:val="32"/>
        </w:rPr>
        <w:t>9</w:t>
      </w:r>
      <w:r>
        <w:rPr>
          <w:rFonts w:hint="eastAsia" w:ascii="方正仿宋_GBK" w:hAnsi="方正仿宋_GBK" w:eastAsia="方正仿宋_GBK" w:cs="方正仿宋_GBK"/>
          <w:i w:val="0"/>
          <w:iCs w:val="0"/>
          <w:caps w:val="0"/>
          <w:color w:val="333333"/>
          <w:spacing w:val="0"/>
          <w:kern w:val="2"/>
          <w:sz w:val="32"/>
          <w:szCs w:val="32"/>
        </w:rPr>
        <w:t>个单位合并记账，</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年开始独立填报决算，无上年决算数据。</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（二）机关运行经费支出情况说明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按照单位决算列报口径，我单位不在机关运行经费统计范围之内。</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（三）国有资产占用情况说明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截至</w:t>
      </w: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w:t>
      </w:r>
      <w:r>
        <w:rPr>
          <w:rFonts w:hint="default" w:ascii="方正仿宋_GBK" w:hAnsi="方正仿宋_GBK" w:eastAsia="方正仿宋_GBK" w:cs="方正仿宋_GBK"/>
          <w:i w:val="0"/>
          <w:iCs w:val="0"/>
          <w:caps w:val="0"/>
          <w:color w:val="333333"/>
          <w:spacing w:val="0"/>
          <w:kern w:val="2"/>
          <w:sz w:val="32"/>
          <w:szCs w:val="32"/>
        </w:rPr>
        <w:t>12</w:t>
      </w:r>
      <w:r>
        <w:rPr>
          <w:rFonts w:hint="eastAsia" w:ascii="方正仿宋_GBK" w:hAnsi="方正仿宋_GBK" w:eastAsia="方正仿宋_GBK" w:cs="方正仿宋_GBK"/>
          <w:i w:val="0"/>
          <w:iCs w:val="0"/>
          <w:caps w:val="0"/>
          <w:color w:val="333333"/>
          <w:spacing w:val="0"/>
          <w:kern w:val="2"/>
          <w:sz w:val="32"/>
          <w:szCs w:val="32"/>
        </w:rPr>
        <w:t>月</w:t>
      </w:r>
      <w:r>
        <w:rPr>
          <w:rFonts w:hint="default" w:ascii="方正仿宋_GBK" w:hAnsi="方正仿宋_GBK" w:eastAsia="方正仿宋_GBK" w:cs="方正仿宋_GBK"/>
          <w:i w:val="0"/>
          <w:iCs w:val="0"/>
          <w:caps w:val="0"/>
          <w:color w:val="333333"/>
          <w:spacing w:val="0"/>
          <w:kern w:val="2"/>
          <w:sz w:val="32"/>
          <w:szCs w:val="32"/>
        </w:rPr>
        <w:t>31</w:t>
      </w:r>
      <w:r>
        <w:rPr>
          <w:rFonts w:hint="eastAsia" w:ascii="方正仿宋_GBK" w:hAnsi="方正仿宋_GBK" w:eastAsia="方正仿宋_GBK" w:cs="方正仿宋_GBK"/>
          <w:i w:val="0"/>
          <w:iCs w:val="0"/>
          <w:caps w:val="0"/>
          <w:color w:val="333333"/>
          <w:spacing w:val="0"/>
          <w:kern w:val="2"/>
          <w:sz w:val="32"/>
          <w:szCs w:val="32"/>
        </w:rPr>
        <w:t>日，本单位共有车辆</w:t>
      </w:r>
      <w:r>
        <w:rPr>
          <w:rFonts w:hint="eastAsia" w:ascii="方正仿宋_GBK" w:hAnsi="方正仿宋_GBK" w:eastAsia="方正仿宋_GBK" w:cs="方正仿宋_GBK"/>
          <w:i w:val="0"/>
          <w:iCs w:val="0"/>
          <w:caps w:val="0"/>
          <w:color w:val="333333"/>
          <w:spacing w:val="0"/>
          <w:kern w:val="2"/>
          <w:sz w:val="32"/>
          <w:szCs w:val="32"/>
          <w:lang w:val="en-US" w:eastAsia="zh-CN"/>
        </w:rPr>
        <w:t>0</w:t>
      </w:r>
      <w:r>
        <w:rPr>
          <w:rFonts w:hint="eastAsia" w:ascii="方正仿宋_GBK" w:hAnsi="方正仿宋_GBK" w:eastAsia="方正仿宋_GBK" w:cs="方正仿宋_GBK"/>
          <w:i w:val="0"/>
          <w:iCs w:val="0"/>
          <w:caps w:val="0"/>
          <w:color w:val="333333"/>
          <w:spacing w:val="0"/>
          <w:kern w:val="2"/>
          <w:sz w:val="32"/>
          <w:szCs w:val="32"/>
        </w:rPr>
        <w:t>辆，其中，副部（省）级及以上领导用车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辆、主要领导干部用车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辆、机要通信用车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辆、应急保障用车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辆、执法执勤用车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辆，特种专业技术用车</w:t>
      </w:r>
      <w:r>
        <w:rPr>
          <w:rFonts w:hint="eastAsia" w:ascii="方正仿宋_GBK" w:hAnsi="方正仿宋_GBK" w:eastAsia="方正仿宋_GBK" w:cs="方正仿宋_GBK"/>
          <w:i w:val="0"/>
          <w:iCs w:val="0"/>
          <w:caps w:val="0"/>
          <w:color w:val="333333"/>
          <w:spacing w:val="0"/>
          <w:kern w:val="2"/>
          <w:sz w:val="32"/>
          <w:szCs w:val="32"/>
          <w:lang w:val="en-US" w:eastAsia="zh-CN"/>
        </w:rPr>
        <w:t>0</w:t>
      </w:r>
      <w:r>
        <w:rPr>
          <w:rFonts w:hint="eastAsia" w:ascii="方正仿宋_GBK" w:hAnsi="方正仿宋_GBK" w:eastAsia="方正仿宋_GBK" w:cs="方正仿宋_GBK"/>
          <w:i w:val="0"/>
          <w:iCs w:val="0"/>
          <w:caps w:val="0"/>
          <w:color w:val="333333"/>
          <w:spacing w:val="0"/>
          <w:kern w:val="2"/>
          <w:sz w:val="32"/>
          <w:szCs w:val="32"/>
        </w:rPr>
        <w:t>辆，离退休干部用车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辆，其他用车</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辆。单价</w:t>
      </w:r>
      <w:r>
        <w:rPr>
          <w:rFonts w:hint="default" w:ascii="方正仿宋_GBK" w:hAnsi="方正仿宋_GBK" w:eastAsia="方正仿宋_GBK" w:cs="方正仿宋_GBK"/>
          <w:i w:val="0"/>
          <w:iCs w:val="0"/>
          <w:caps w:val="0"/>
          <w:color w:val="333333"/>
          <w:spacing w:val="0"/>
          <w:kern w:val="2"/>
          <w:sz w:val="32"/>
          <w:szCs w:val="32"/>
        </w:rPr>
        <w:t>100</w:t>
      </w:r>
      <w:r>
        <w:rPr>
          <w:rFonts w:hint="eastAsia" w:ascii="方正仿宋_GBK" w:hAnsi="方正仿宋_GBK" w:eastAsia="方正仿宋_GBK" w:cs="方正仿宋_GBK"/>
          <w:i w:val="0"/>
          <w:iCs w:val="0"/>
          <w:caps w:val="0"/>
          <w:color w:val="333333"/>
          <w:spacing w:val="0"/>
          <w:kern w:val="2"/>
          <w:sz w:val="32"/>
          <w:szCs w:val="32"/>
        </w:rPr>
        <w:t>万元（含）以上设备（不含车辆）</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台（套）。</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楷体_GBK" w:hAnsi="方正楷体_GBK" w:eastAsia="方正楷体_GBK" w:cs="方正楷体_GBK"/>
          <w:b/>
          <w:bCs w:val="0"/>
          <w:kern w:val="0"/>
          <w:sz w:val="32"/>
          <w:szCs w:val="32"/>
          <w:shd w:val="clear" w:fill="FFFFFF"/>
        </w:rPr>
      </w:pPr>
      <w:r>
        <w:rPr>
          <w:rStyle w:val="15"/>
          <w:rFonts w:hint="eastAsia" w:ascii="方正楷体_GBK" w:hAnsi="方正楷体_GBK" w:eastAsia="方正楷体_GBK" w:cs="方正楷体_GBK"/>
          <w:b/>
          <w:bCs w:val="0"/>
          <w:sz w:val="32"/>
          <w:szCs w:val="32"/>
          <w:shd w:val="clear" w:fill="FFFFFF"/>
        </w:rPr>
        <w:t>（四）政府采购支出说明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default" w:ascii="方正仿宋_GBK" w:hAnsi="方正仿宋_GBK" w:eastAsia="方正仿宋_GBK" w:cs="方正仿宋_GBK"/>
          <w:i w:val="0"/>
          <w:iCs w:val="0"/>
          <w:caps w:val="0"/>
          <w:color w:val="333333"/>
          <w:spacing w:val="0"/>
          <w:kern w:val="2"/>
          <w:sz w:val="32"/>
          <w:szCs w:val="32"/>
        </w:rPr>
        <w:t>2022</w:t>
      </w:r>
      <w:r>
        <w:rPr>
          <w:rFonts w:hint="eastAsia" w:ascii="方正仿宋_GBK" w:hAnsi="方正仿宋_GBK" w:eastAsia="方正仿宋_GBK" w:cs="方正仿宋_GBK"/>
          <w:i w:val="0"/>
          <w:iCs w:val="0"/>
          <w:caps w:val="0"/>
          <w:color w:val="333333"/>
          <w:spacing w:val="0"/>
          <w:kern w:val="2"/>
          <w:sz w:val="32"/>
          <w:szCs w:val="32"/>
        </w:rPr>
        <w:t>年度我单位未发生政府采购事项，无相关经费支出。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i w:val="0"/>
          <w:iCs w:val="0"/>
          <w:caps w:val="0"/>
          <w:spacing w:val="0"/>
          <w:kern w:val="2"/>
          <w:sz w:val="32"/>
          <w:szCs w:val="32"/>
        </w:rPr>
      </w:pPr>
      <w:r>
        <w:rPr>
          <w:rFonts w:hint="eastAsia" w:ascii="方正黑体_GBK" w:hAnsi="方正黑体_GBK" w:eastAsia="方正黑体_GBK" w:cs="方正黑体_GBK"/>
          <w:i w:val="0"/>
          <w:iCs w:val="0"/>
          <w:caps w:val="0"/>
          <w:spacing w:val="0"/>
          <w:kern w:val="2"/>
          <w:sz w:val="32"/>
          <w:szCs w:val="32"/>
        </w:rPr>
        <w:t>五、预算绩效管理情况说明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（一）预算绩效管理工作开展情况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根据预算绩效管理要求，我单位对</w:t>
      </w:r>
      <w:r>
        <w:rPr>
          <w:rFonts w:hint="eastAsia" w:ascii="方正仿宋_GBK" w:hAnsi="方正仿宋_GBK" w:eastAsia="方正仿宋_GBK" w:cs="方正仿宋_GBK"/>
          <w:i w:val="0"/>
          <w:iCs w:val="0"/>
          <w:caps w:val="0"/>
          <w:color w:val="333333"/>
          <w:spacing w:val="0"/>
          <w:kern w:val="2"/>
          <w:sz w:val="32"/>
          <w:szCs w:val="32"/>
          <w:lang w:val="en-US" w:eastAsia="zh-CN"/>
        </w:rPr>
        <w:t>2</w:t>
      </w:r>
      <w:r>
        <w:rPr>
          <w:rFonts w:hint="eastAsia" w:ascii="方正仿宋_GBK" w:hAnsi="方正仿宋_GBK" w:eastAsia="方正仿宋_GBK" w:cs="方正仿宋_GBK"/>
          <w:i w:val="0"/>
          <w:iCs w:val="0"/>
          <w:caps w:val="0"/>
          <w:color w:val="333333"/>
          <w:spacing w:val="0"/>
          <w:kern w:val="2"/>
          <w:sz w:val="32"/>
          <w:szCs w:val="32"/>
        </w:rPr>
        <w:t>个项目开展了绩效自评，其中，以填报自评表形式开展自评</w:t>
      </w:r>
      <w:r>
        <w:rPr>
          <w:rFonts w:hint="eastAsia" w:ascii="方正仿宋_GBK" w:hAnsi="方正仿宋_GBK" w:eastAsia="方正仿宋_GBK" w:cs="方正仿宋_GBK"/>
          <w:i w:val="0"/>
          <w:iCs w:val="0"/>
          <w:caps w:val="0"/>
          <w:color w:val="333333"/>
          <w:spacing w:val="0"/>
          <w:kern w:val="2"/>
          <w:sz w:val="32"/>
          <w:szCs w:val="32"/>
          <w:lang w:val="en-US" w:eastAsia="zh-CN"/>
        </w:rPr>
        <w:t>2</w:t>
      </w:r>
      <w:r>
        <w:rPr>
          <w:rFonts w:hint="eastAsia" w:ascii="方正仿宋_GBK" w:hAnsi="方正仿宋_GBK" w:eastAsia="方正仿宋_GBK" w:cs="方正仿宋_GBK"/>
          <w:i w:val="0"/>
          <w:iCs w:val="0"/>
          <w:caps w:val="0"/>
          <w:color w:val="333333"/>
          <w:spacing w:val="0"/>
          <w:kern w:val="2"/>
          <w:sz w:val="32"/>
          <w:szCs w:val="32"/>
        </w:rPr>
        <w:t>项，涉及资金</w:t>
      </w:r>
      <w:r>
        <w:rPr>
          <w:rFonts w:hint="eastAsia" w:ascii="方正仿宋_GBK" w:hAnsi="方正仿宋_GBK" w:eastAsia="方正仿宋_GBK" w:cs="方正仿宋_GBK"/>
          <w:i w:val="0"/>
          <w:iCs w:val="0"/>
          <w:caps w:val="0"/>
          <w:color w:val="333333"/>
          <w:spacing w:val="0"/>
          <w:kern w:val="2"/>
          <w:sz w:val="32"/>
          <w:szCs w:val="32"/>
          <w:lang w:val="en-US" w:eastAsia="zh-CN"/>
        </w:rPr>
        <w:t>14.42</w:t>
      </w:r>
      <w:r>
        <w:rPr>
          <w:rFonts w:hint="eastAsia" w:ascii="方正仿宋_GBK" w:hAnsi="方正仿宋_GBK" w:eastAsia="方正仿宋_GBK" w:cs="方正仿宋_GBK"/>
          <w:i w:val="0"/>
          <w:iCs w:val="0"/>
          <w:caps w:val="0"/>
          <w:color w:val="333333"/>
          <w:spacing w:val="0"/>
          <w:kern w:val="2"/>
          <w:sz w:val="32"/>
          <w:szCs w:val="32"/>
        </w:rPr>
        <w:t>万元；以委托第三方出具报告的方式开展绩效评价</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项，涉及资金</w:t>
      </w:r>
      <w:r>
        <w:rPr>
          <w:rFonts w:hint="default" w:ascii="方正仿宋_GBK" w:hAnsi="方正仿宋_GBK" w:eastAsia="方正仿宋_GBK" w:cs="方正仿宋_GBK"/>
          <w:i w:val="0"/>
          <w:iCs w:val="0"/>
          <w:caps w:val="0"/>
          <w:color w:val="333333"/>
          <w:spacing w:val="0"/>
          <w:kern w:val="2"/>
          <w:sz w:val="32"/>
          <w:szCs w:val="32"/>
        </w:rPr>
        <w:t>0</w:t>
      </w:r>
      <w:r>
        <w:rPr>
          <w:rFonts w:hint="eastAsia" w:ascii="方正仿宋_GBK" w:hAnsi="方正仿宋_GBK" w:eastAsia="方正仿宋_GBK" w:cs="方正仿宋_GBK"/>
          <w:i w:val="0"/>
          <w:iCs w:val="0"/>
          <w:caps w:val="0"/>
          <w:color w:val="333333"/>
          <w:spacing w:val="0"/>
          <w:kern w:val="2"/>
          <w:sz w:val="32"/>
          <w:szCs w:val="32"/>
        </w:rPr>
        <w:t>万元。</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rPr>
        <w:t>（二）绩效自评结果。</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default" w:ascii="Calibri" w:hAnsi="Calibri" w:eastAsia="方正仿宋_GBK" w:cs="Calibri"/>
          <w:b/>
          <w:bCs w:val="0"/>
          <w:kern w:val="0"/>
          <w:sz w:val="32"/>
          <w:szCs w:val="32"/>
          <w:shd w:val="clear" w:fill="FFFFFF"/>
        </w:rPr>
      </w:pPr>
      <w:r>
        <w:rPr>
          <w:rStyle w:val="15"/>
          <w:rFonts w:hint="default" w:ascii="Calibri" w:hAnsi="Calibri" w:eastAsia="方正仿宋_GBK" w:cs="Calibri"/>
          <w:b/>
          <w:bCs w:val="0"/>
          <w:kern w:val="0"/>
          <w:sz w:val="32"/>
          <w:szCs w:val="32"/>
          <w:shd w:val="clear" w:fill="FFFFFF"/>
        </w:rPr>
        <w:t>1.绩效目标自评表。</w:t>
      </w:r>
    </w:p>
    <w:p>
      <w:pPr>
        <w:pStyle w:val="17"/>
        <w:keepNext w:val="0"/>
        <w:keepLines w:val="0"/>
        <w:pageBreakBefore w:val="0"/>
        <w:widowControl/>
        <w:suppressLineNumbers w:val="0"/>
        <w:kinsoku/>
        <w:wordWrap/>
        <w:overflowPunct/>
        <w:topLinePunct w:val="0"/>
        <w:autoSpaceDN/>
        <w:bidi w:val="0"/>
        <w:adjustRightInd/>
        <w:snapToGrid/>
        <w:spacing w:afterAutospacing="0" w:line="600" w:lineRule="atLeast"/>
        <w:ind w:left="0" w:firstLine="0" w:firstLineChars="0"/>
        <w:jc w:val="center"/>
        <w:textAlignment w:val="auto"/>
        <w:rPr>
          <w:rStyle w:val="13"/>
          <w:rFonts w:hint="eastAsia"/>
          <w:shd w:val="clear" w:fill="FFFFFF"/>
          <w:lang w:val="en-US" w:eastAsia="zh-CN"/>
        </w:rPr>
      </w:pPr>
      <w:r>
        <w:rPr>
          <w:rFonts w:hint="eastAsia" w:ascii="方正小标宋_GBK" w:hAnsi="方正小标宋_GBK" w:eastAsia="方正小标宋_GBK" w:cs="方正小标宋_GBK"/>
          <w:color w:val="000000"/>
          <w:kern w:val="0"/>
          <w:sz w:val="30"/>
          <w:szCs w:val="30"/>
        </w:rPr>
        <w:t>二级项目绩效自评表</w:t>
      </w:r>
    </w:p>
    <w:tbl>
      <w:tblPr>
        <w:tblStyle w:val="11"/>
        <w:tblW w:w="897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17"/>
        <w:gridCol w:w="400"/>
        <w:gridCol w:w="824"/>
        <w:gridCol w:w="1538"/>
        <w:gridCol w:w="413"/>
        <w:gridCol w:w="152"/>
        <w:gridCol w:w="1443"/>
        <w:gridCol w:w="1240"/>
        <w:gridCol w:w="152"/>
        <w:gridCol w:w="571"/>
        <w:gridCol w:w="152"/>
        <w:gridCol w:w="668"/>
        <w:gridCol w:w="152"/>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项目名称</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8"/>
                <w:kern w:val="0"/>
                <w:sz w:val="24"/>
                <w:szCs w:val="24"/>
              </w:rPr>
            </w:pPr>
            <w:r>
              <w:rPr>
                <w:rFonts w:hint="eastAsia" w:ascii="方正仿宋_GBK" w:hAnsi="方正仿宋_GBK" w:eastAsia="方正仿宋_GBK" w:cs="方正仿宋_GBK"/>
                <w:i w:val="0"/>
                <w:color w:val="000008"/>
                <w:kern w:val="0"/>
                <w:sz w:val="24"/>
                <w:szCs w:val="24"/>
              </w:rPr>
              <w:t>2022年中央生猪（牛羊）调出大县奖励资金</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实施单位</w:t>
            </w:r>
          </w:p>
        </w:tc>
        <w:tc>
          <w:tcPr>
            <w:tcW w:w="35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lang w:eastAsia="zh-CN"/>
              </w:rPr>
            </w:pPr>
            <w:r>
              <w:rPr>
                <w:rFonts w:hint="eastAsia" w:ascii="方正仿宋_GBK" w:hAnsi="方正仿宋_GBK" w:eastAsia="方正仿宋_GBK" w:cs="方正仿宋_GBK"/>
                <w:i w:val="0"/>
                <w:color w:val="000000"/>
                <w:kern w:val="0"/>
                <w:sz w:val="24"/>
                <w:szCs w:val="24"/>
              </w:rPr>
              <w:t>万盛经开区</w:t>
            </w:r>
            <w:r>
              <w:rPr>
                <w:rFonts w:hint="eastAsia" w:ascii="方正仿宋_GBK" w:hAnsi="方正仿宋_GBK" w:eastAsia="方正仿宋_GBK" w:cs="方正仿宋_GBK"/>
                <w:i w:val="0"/>
                <w:color w:val="000000"/>
                <w:kern w:val="0"/>
                <w:sz w:val="24"/>
                <w:szCs w:val="24"/>
                <w:lang w:eastAsia="zh-CN"/>
              </w:rPr>
              <w:t>畜牧水产站</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自评总分</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黑体_GBK" w:hAnsi="方正黑体_GBK" w:eastAsia="方正黑体_GBK" w:cs="方正黑体_GBK"/>
                <w:i w:val="0"/>
                <w:color w:val="000000"/>
                <w:kern w:val="0"/>
                <w:sz w:val="24"/>
                <w:szCs w:val="24"/>
                <w:lang w:val="en-US" w:eastAsia="zh-CN"/>
              </w:rPr>
            </w:pPr>
            <w:r>
              <w:rPr>
                <w:rFonts w:hint="eastAsia" w:ascii="方正黑体_GBK" w:hAnsi="方正黑体_GBK" w:eastAsia="方正黑体_GBK" w:cs="方正黑体_GBK"/>
                <w:i w:val="0"/>
                <w:color w:val="000000"/>
                <w:kern w:val="0"/>
                <w:sz w:val="24"/>
                <w:szCs w:val="24"/>
                <w:lang w:val="en-US" w:eastAsia="zh-CN"/>
              </w:rPr>
              <w:t>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3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主管部门</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万盛经开区农林局</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联系人</w:t>
            </w:r>
          </w:p>
        </w:tc>
        <w:tc>
          <w:tcPr>
            <w:tcW w:w="2835" w:type="dxa"/>
            <w:gridSpan w:val="3"/>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lang w:eastAsia="zh-CN"/>
              </w:rPr>
            </w:pPr>
            <w:r>
              <w:rPr>
                <w:rFonts w:hint="eastAsia" w:ascii="方正仿宋_GBK" w:hAnsi="方正仿宋_GBK" w:eastAsia="方正仿宋_GBK" w:cs="方正仿宋_GBK"/>
                <w:i w:val="0"/>
                <w:color w:val="000000"/>
                <w:kern w:val="0"/>
                <w:sz w:val="24"/>
                <w:szCs w:val="24"/>
                <w:lang w:eastAsia="zh-CN"/>
              </w:rPr>
              <w:t>刘正伟</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联系</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电话</w:t>
            </w:r>
          </w:p>
        </w:tc>
        <w:tc>
          <w:tcPr>
            <w:tcW w:w="157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48288361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7" w:hRule="atLeast"/>
        </w:trPr>
        <w:tc>
          <w:tcPr>
            <w:tcW w:w="51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资金情况(万元)</w:t>
            </w:r>
          </w:p>
        </w:tc>
        <w:tc>
          <w:tcPr>
            <w:tcW w:w="122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年初预算数</w:t>
            </w:r>
          </w:p>
        </w:tc>
        <w:tc>
          <w:tcPr>
            <w:tcW w:w="195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全年（调整）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预算数</w:t>
            </w:r>
          </w:p>
        </w:tc>
        <w:tc>
          <w:tcPr>
            <w:tcW w:w="28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全年执行数</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权重</w:t>
            </w:r>
          </w:p>
        </w:tc>
        <w:tc>
          <w:tcPr>
            <w:tcW w:w="90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执行率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5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rPr>
                <w:rFonts w:hint="default" w:ascii="Times New Roman" w:hAnsi="Times New Roman" w:cs="Times New Roman"/>
                <w:sz w:val="20"/>
                <w:szCs w:val="20"/>
              </w:rPr>
            </w:pPr>
          </w:p>
        </w:tc>
        <w:tc>
          <w:tcPr>
            <w:tcW w:w="122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320000</w:t>
            </w:r>
          </w:p>
        </w:tc>
        <w:tc>
          <w:tcPr>
            <w:tcW w:w="195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320000</w:t>
            </w:r>
          </w:p>
        </w:tc>
        <w:tc>
          <w:tcPr>
            <w:tcW w:w="283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default" w:ascii="方正仿宋_GBK" w:hAnsi="方正仿宋_GBK" w:eastAsia="方正仿宋_GBK" w:cs="方正仿宋_GBK"/>
                <w:i w:val="0"/>
                <w:color w:val="000000"/>
                <w:kern w:val="0"/>
                <w:sz w:val="24"/>
                <w:szCs w:val="24"/>
                <w:lang w:val="en-US" w:eastAsia="zh-CN"/>
              </w:rPr>
              <w:t>119950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37</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10</w:t>
            </w:r>
          </w:p>
        </w:tc>
        <w:tc>
          <w:tcPr>
            <w:tcW w:w="90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方正仿宋_GBK" w:hAnsi="方正仿宋_GBK" w:eastAsia="方正仿宋_GBK" w:cs="方正仿宋_GBK"/>
                <w:i w:val="0"/>
                <w:color w:val="000000"/>
                <w:kern w:val="0"/>
                <w:sz w:val="24"/>
                <w:szCs w:val="24"/>
                <w:lang w:val="en-US" w:eastAsia="zh-CN"/>
              </w:rPr>
            </w:pPr>
            <w:r>
              <w:rPr>
                <w:rFonts w:hint="eastAsia" w:ascii="方正仿宋_GBK" w:hAnsi="方正仿宋_GBK" w:eastAsia="方正仿宋_GBK" w:cs="方正仿宋_GBK"/>
                <w:i w:val="0"/>
                <w:color w:val="000000"/>
                <w:kern w:val="0"/>
                <w:sz w:val="24"/>
                <w:szCs w:val="24"/>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0" w:hRule="atLeast"/>
        </w:trPr>
        <w:tc>
          <w:tcPr>
            <w:tcW w:w="51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当年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绩效</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目标</w:t>
            </w: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年初绩效目标</w:t>
            </w:r>
          </w:p>
        </w:tc>
        <w:tc>
          <w:tcPr>
            <w:tcW w:w="324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全年（调整）绩效目标</w:t>
            </w:r>
          </w:p>
        </w:tc>
        <w:tc>
          <w:tcPr>
            <w:tcW w:w="244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01" w:hRule="atLeast"/>
        </w:trPr>
        <w:tc>
          <w:tcPr>
            <w:tcW w:w="51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rPr>
                <w:rFonts w:hint="default" w:ascii="Times New Roman" w:hAnsi="Times New Roman" w:cs="Times New Roman"/>
                <w:sz w:val="20"/>
                <w:szCs w:val="20"/>
              </w:rPr>
            </w:pPr>
          </w:p>
        </w:tc>
        <w:tc>
          <w:tcPr>
            <w:tcW w:w="276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lang w:eastAsia="zh-CN"/>
              </w:rPr>
              <w:t>按照《关于促进生猪产业持续健康发展政策举措的通知》（渝农发〔2021〕101号）文件，2022年生猪调出大县资金重点用于良种能繁母猪和种公猪更新、规模场建设和临时流动资金贷款贴息、猪肉屠宰和加工企业经营性贷款给予贴息补助和加工奖补等环节稳定生猪生产（贴息率不高于同期贷款市场报价利率（LPR）的50%）。结合我区实际，主要用于：一是对符合条件的生猪养殖场引进良种能繁母猪和种公猪补助1000元/头；二是规模场建设和临时流动资金贷款、猪肉屠宰和加工企业经营性贷款贴息，贴息率不高于同期贷款市场报价利率（LPR）的50%。</w:t>
            </w:r>
          </w:p>
        </w:tc>
        <w:tc>
          <w:tcPr>
            <w:tcW w:w="324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p>
        </w:tc>
        <w:tc>
          <w:tcPr>
            <w:tcW w:w="244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已完成年初目标，部分资金待拨付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绩效</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p>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类别</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指标名称</w:t>
            </w:r>
          </w:p>
        </w:tc>
        <w:tc>
          <w:tcPr>
            <w:tcW w:w="153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指标值</w:t>
            </w:r>
          </w:p>
        </w:tc>
        <w:tc>
          <w:tcPr>
            <w:tcW w:w="56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计量</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单位</w:t>
            </w:r>
          </w:p>
        </w:tc>
        <w:tc>
          <w:tcPr>
            <w:tcW w:w="144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性质</w:t>
            </w:r>
          </w:p>
        </w:tc>
        <w:tc>
          <w:tcPr>
            <w:tcW w:w="139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权重</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是否</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调整</w:t>
            </w:r>
          </w:p>
        </w:tc>
        <w:tc>
          <w:tcPr>
            <w:tcW w:w="8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全年</w:t>
            </w:r>
            <w:r>
              <w:rPr>
                <w:rFonts w:hint="eastAsia" w:ascii="方正黑体_GBK" w:hAnsi="方正黑体_GBK" w:eastAsia="方正黑体_GBK" w:cs="方正黑体_GBK"/>
                <w:i w:val="0"/>
                <w:color w:val="000000"/>
                <w:kern w:val="0"/>
                <w:sz w:val="24"/>
                <w:szCs w:val="24"/>
              </w:rPr>
              <w:br w:type="textWrapping"/>
            </w:r>
            <w:r>
              <w:rPr>
                <w:rFonts w:hint="eastAsia" w:ascii="方正黑体_GBK" w:hAnsi="方正黑体_GBK" w:eastAsia="方正黑体_GBK" w:cs="方正黑体_GBK"/>
                <w:i w:val="0"/>
                <w:color w:val="000000"/>
                <w:kern w:val="0"/>
                <w:sz w:val="24"/>
                <w:szCs w:val="24"/>
              </w:rPr>
              <w:t>完成值</w:t>
            </w:r>
          </w:p>
        </w:tc>
        <w:tc>
          <w:tcPr>
            <w:tcW w:w="7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黑体_GBK" w:hAnsi="方正黑体_GBK" w:eastAsia="方正黑体_GBK" w:cs="方正黑体_GBK"/>
                <w:i w:val="0"/>
                <w:color w:val="000000"/>
                <w:kern w:val="0"/>
                <w:sz w:val="24"/>
                <w:szCs w:val="24"/>
              </w:rPr>
            </w:pPr>
            <w:r>
              <w:rPr>
                <w:rFonts w:hint="eastAsia" w:ascii="方正黑体_GBK" w:hAnsi="方正黑体_GBK" w:eastAsia="方正黑体_GBK" w:cs="方正黑体_GBK"/>
                <w:i w:val="0"/>
                <w:color w:val="000000"/>
                <w:kern w:val="0"/>
                <w:sz w:val="24"/>
                <w:szCs w:val="24"/>
              </w:rPr>
              <w:t>指标得分（分）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1</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能繁母猪稳定率</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90</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lang w:eastAsia="zh-CN"/>
              </w:rPr>
            </w:pPr>
            <w:r>
              <w:rPr>
                <w:rFonts w:hint="eastAsia" w:ascii="宋体" w:hAnsi="宋体" w:eastAsia="宋体" w:cs="宋体"/>
                <w:i w:val="0"/>
                <w:color w:val="000000"/>
                <w:kern w:val="0"/>
                <w:sz w:val="24"/>
                <w:szCs w:val="24"/>
                <w:lang w:eastAsia="zh-CN"/>
              </w:rPr>
              <w:t>否</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90</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2</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猪肉产量稳定率</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95</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否</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95</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3</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数量指标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对符合条件的生猪养殖场引进良种能繁母猪和种公猪补助</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元/头</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否</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4</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效益指标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贴息率不高于同期贷款市场报价利率</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优</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left"/>
              <w:rPr>
                <w:rFonts w:hint="eastAsia" w:ascii="方正仿宋_GBK" w:hAnsi="方正仿宋_GBK" w:eastAsia="方正仿宋_GBK" w:cs="方正仿宋_GBK"/>
                <w:i w:val="0"/>
                <w:color w:val="000000"/>
                <w:kern w:val="0"/>
                <w:sz w:val="24"/>
                <w:szCs w:val="24"/>
              </w:rPr>
            </w:pP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定性</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rPr>
              <w:t>否</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default" w:ascii="Times New Roman" w:hAnsi="Times New Roman" w:eastAsia="方正黑体_GBK" w:cs="Times New Roman"/>
                <w:i w:val="0"/>
                <w:color w:val="000000"/>
                <w:kern w:val="0"/>
                <w:sz w:val="24"/>
                <w:szCs w:val="24"/>
              </w:rPr>
            </w:pPr>
            <w:r>
              <w:rPr>
                <w:rFonts w:hint="default" w:ascii="Times New Roman" w:hAnsi="Times New Roman" w:eastAsia="方正黑体_GBK" w:cs="Times New Roman"/>
                <w:i w:val="0"/>
                <w:color w:val="000000"/>
                <w:kern w:val="0"/>
                <w:sz w:val="24"/>
                <w:szCs w:val="24"/>
              </w:rPr>
              <w:t>5</w:t>
            </w:r>
          </w:p>
        </w:tc>
        <w:tc>
          <w:tcPr>
            <w:tcW w:w="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方正仿宋_GBK" w:hAnsi="方正仿宋_GBK" w:eastAsia="方正仿宋_GBK" w:cs="方正仿宋_GBK"/>
                <w:i w:val="0"/>
                <w:color w:val="000000"/>
                <w:kern w:val="0"/>
                <w:sz w:val="24"/>
                <w:szCs w:val="24"/>
              </w:rPr>
            </w:pPr>
            <w:r>
              <w:rPr>
                <w:rFonts w:hint="eastAsia" w:ascii="方正仿宋_GBK" w:hAnsi="方正仿宋_GBK" w:eastAsia="方正仿宋_GBK" w:cs="方正仿宋_GBK"/>
                <w:i w:val="0"/>
                <w:color w:val="000000"/>
                <w:kern w:val="0"/>
                <w:sz w:val="24"/>
                <w:szCs w:val="24"/>
              </w:rPr>
              <w:t>满意度指标</w:t>
            </w:r>
          </w:p>
        </w:tc>
        <w:tc>
          <w:tcPr>
            <w:tcW w:w="82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群众满意度</w:t>
            </w:r>
          </w:p>
        </w:tc>
        <w:tc>
          <w:tcPr>
            <w:tcW w:w="153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95</w:t>
            </w:r>
          </w:p>
        </w:tc>
        <w:tc>
          <w:tcPr>
            <w:tcW w:w="565"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default" w:ascii="等线" w:hAnsi="等线" w:eastAsia="等线" w:cs="等线"/>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392"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c>
          <w:tcPr>
            <w:tcW w:w="72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line="320" w:lineRule="exact"/>
              <w:jc w:val="both"/>
              <w:textAlignment w:val="center"/>
              <w:rPr>
                <w:rFonts w:hint="eastAsia" w:ascii="宋体" w:hAnsi="宋体" w:eastAsia="宋体" w:cs="宋体"/>
                <w:i w:val="0"/>
                <w:color w:val="000000"/>
                <w:kern w:val="0"/>
                <w:sz w:val="24"/>
                <w:szCs w:val="24"/>
              </w:rPr>
            </w:pPr>
            <w:r>
              <w:rPr>
                <w:rFonts w:hint="eastAsia" w:ascii="宋体" w:hAnsi="宋体" w:eastAsia="宋体" w:cs="宋体"/>
                <w:i w:val="0"/>
                <w:color w:val="000000"/>
                <w:kern w:val="0"/>
                <w:sz w:val="24"/>
                <w:szCs w:val="24"/>
                <w:lang w:eastAsia="zh-CN"/>
              </w:rPr>
              <w:t>否</w:t>
            </w:r>
          </w:p>
        </w:tc>
        <w:tc>
          <w:tcPr>
            <w:tcW w:w="8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95</w:t>
            </w:r>
          </w:p>
        </w:tc>
        <w:tc>
          <w:tcPr>
            <w:tcW w:w="75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right"/>
              <w:textAlignment w:val="center"/>
              <w:rPr>
                <w:rFonts w:hint="eastAsia" w:ascii="方正仿宋_GBK" w:hAnsi="方正仿宋_GBK" w:eastAsia="方正仿宋_GBK" w:cs="方正仿宋_GBK"/>
                <w:i w:val="0"/>
                <w:color w:val="000000"/>
                <w:kern w:val="0"/>
                <w:sz w:val="24"/>
                <w:szCs w:val="24"/>
              </w:rPr>
            </w:pPr>
            <w:r>
              <w:rPr>
                <w:rFonts w:hint="eastAsia" w:ascii="宋体" w:hAnsi="宋体" w:eastAsia="宋体" w:cs="宋体"/>
                <w:i w:val="0"/>
                <w:iCs w:val="0"/>
                <w:color w:val="000000"/>
                <w:kern w:val="0"/>
                <w:sz w:val="22"/>
                <w:szCs w:val="22"/>
                <w:u w:val="none"/>
                <w:lang w:val="en-US" w:eastAsia="zh-CN" w:bidi="ar"/>
              </w:rPr>
              <w:t>20</w:t>
            </w:r>
          </w:p>
        </w:tc>
      </w:tr>
    </w:tbl>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default" w:ascii="方正楷体_GBK" w:hAnsi="方正楷体_GBK" w:eastAsia="方正楷体_GBK" w:cs="方正楷体_GBK"/>
          <w:b/>
          <w:bCs w:val="0"/>
          <w:sz w:val="32"/>
          <w:szCs w:val="32"/>
          <w:shd w:val="clear" w:fill="FFFFFF"/>
        </w:rPr>
      </w:pPr>
      <w:r>
        <w:rPr>
          <w:rStyle w:val="15"/>
          <w:rFonts w:hint="default" w:ascii="Calibri" w:hAnsi="Calibri" w:eastAsia="方正仿宋_GBK" w:cs="Calibri"/>
          <w:b/>
          <w:bCs w:val="0"/>
          <w:kern w:val="0"/>
          <w:sz w:val="32"/>
          <w:szCs w:val="32"/>
          <w:shd w:val="clear" w:fill="FFFFFF"/>
        </w:rPr>
        <w:t>2.</w:t>
      </w:r>
      <w:r>
        <w:rPr>
          <w:rStyle w:val="15"/>
          <w:rFonts w:hint="eastAsia" w:ascii="方正仿宋_GBK" w:hAnsi="方正仿宋_GBK" w:eastAsia="方正仿宋_GBK" w:cs="方正仿宋_GBK"/>
          <w:b/>
          <w:bCs w:val="0"/>
          <w:kern w:val="0"/>
          <w:sz w:val="32"/>
          <w:szCs w:val="32"/>
          <w:shd w:val="clear" w:fill="FFFFFF"/>
        </w:rPr>
        <w:t>绩效自评报告或案例。</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Times New Roman" w:hAnsi="Times New Roman" w:eastAsia="方正仿宋_GBK" w:cs="Times New Roman"/>
          <w:i w:val="0"/>
          <w:iCs w:val="0"/>
          <w:caps w:val="0"/>
          <w:spacing w:val="0"/>
          <w:kern w:val="2"/>
          <w:sz w:val="32"/>
          <w:szCs w:val="32"/>
        </w:rPr>
      </w:pPr>
      <w:r>
        <w:rPr>
          <w:rFonts w:hint="eastAsia" w:ascii="方正仿宋_GBK" w:hAnsi="方正仿宋_GBK" w:eastAsia="方正仿宋_GBK" w:cs="方正仿宋_GBK"/>
          <w:i w:val="0"/>
          <w:iCs w:val="0"/>
          <w:caps w:val="0"/>
          <w:spacing w:val="0"/>
          <w:kern w:val="2"/>
          <w:sz w:val="32"/>
          <w:szCs w:val="32"/>
        </w:rPr>
        <w:t>本单位未委托第三方开展绩效自评。</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jc w:val="both"/>
        <w:textAlignment w:val="auto"/>
        <w:rPr>
          <w:rFonts w:hint="default" w:ascii="Calibri" w:hAnsi="Calibri" w:eastAsia="方正仿宋_GBK" w:cs="方正仿宋_GBK"/>
          <w:b/>
          <w:bCs w:val="0"/>
          <w:kern w:val="0"/>
          <w:sz w:val="32"/>
          <w:szCs w:val="32"/>
          <w:shd w:val="clear" w:fill="FFFFFF"/>
        </w:rPr>
      </w:pPr>
      <w:r>
        <w:rPr>
          <w:rStyle w:val="15"/>
          <w:rFonts w:hint="default" w:ascii="Calibri" w:hAnsi="Calibri" w:eastAsia="方正仿宋_GBK" w:cs="方正仿宋_GBK"/>
          <w:b/>
          <w:bCs w:val="0"/>
          <w:kern w:val="0"/>
          <w:sz w:val="32"/>
          <w:szCs w:val="32"/>
          <w:shd w:val="clear" w:fill="FFFFFF"/>
        </w:rPr>
        <w:t>3.</w:t>
      </w:r>
      <w:r>
        <w:rPr>
          <w:rStyle w:val="15"/>
          <w:rFonts w:hint="eastAsia" w:ascii="方正仿宋_GBK" w:hAnsi="方正仿宋_GBK" w:eastAsia="方正仿宋_GBK" w:cs="方正仿宋_GBK"/>
          <w:b/>
          <w:bCs w:val="0"/>
          <w:kern w:val="0"/>
          <w:sz w:val="32"/>
          <w:szCs w:val="32"/>
          <w:shd w:val="clear" w:fill="FFFFFF"/>
        </w:rPr>
        <w:t>关于绩效自评结果的说明。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本单位绩效自评均已完成相关绩效目标。</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Style w:val="15"/>
          <w:rFonts w:hint="eastAsia" w:ascii="方正楷体_GBK" w:hAnsi="方正楷体_GBK" w:eastAsia="方正楷体_GBK" w:cs="方正楷体_GBK"/>
          <w:b/>
          <w:bCs w:val="0"/>
          <w:sz w:val="32"/>
          <w:szCs w:val="32"/>
          <w:shd w:val="clear" w:fill="FFFFFF"/>
        </w:rPr>
      </w:pPr>
      <w:r>
        <w:rPr>
          <w:rStyle w:val="15"/>
          <w:rFonts w:hint="eastAsia" w:ascii="方正楷体_GBK" w:hAnsi="方正楷体_GBK" w:eastAsia="方正楷体_GBK" w:cs="方正楷体_GBK"/>
          <w:b/>
          <w:bCs w:val="0"/>
          <w:sz w:val="32"/>
          <w:szCs w:val="32"/>
          <w:shd w:val="clear" w:fill="FFFFFF"/>
          <w:lang w:eastAsia="zh-CN"/>
        </w:rPr>
        <w:t>（三）</w:t>
      </w:r>
      <w:r>
        <w:rPr>
          <w:rStyle w:val="15"/>
          <w:rFonts w:hint="eastAsia" w:ascii="方正楷体_GBK" w:hAnsi="方正楷体_GBK" w:eastAsia="方正楷体_GBK" w:cs="方正楷体_GBK"/>
          <w:b/>
          <w:bCs w:val="0"/>
          <w:sz w:val="32"/>
          <w:szCs w:val="32"/>
          <w:shd w:val="clear" w:fill="FFFFFF"/>
        </w:rPr>
        <w:t>重点绩效评价结果。</w:t>
      </w:r>
    </w:p>
    <w:p>
      <w:pPr>
        <w:pStyle w:val="10"/>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Autospacing="0" w:line="600" w:lineRule="atLeast"/>
        <w:ind w:right="0" w:rightChars="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32"/>
          <w:lang w:val="en-US" w:eastAsia="zh-CN" w:bidi="ar"/>
        </w:rPr>
      </w:pPr>
      <w:r>
        <w:rPr>
          <w:rFonts w:hint="eastAsia" w:ascii="方正仿宋_GBK" w:hAnsi="方正仿宋_GBK" w:eastAsia="方正仿宋_GBK" w:cs="方正仿宋_GBK"/>
          <w:i w:val="0"/>
          <w:iCs w:val="0"/>
          <w:caps w:val="0"/>
          <w:color w:val="333333"/>
          <w:spacing w:val="0"/>
          <w:kern w:val="2"/>
          <w:sz w:val="32"/>
          <w:szCs w:val="32"/>
          <w:lang w:val="en-US" w:eastAsia="zh-CN" w:bidi="ar"/>
        </w:rPr>
        <w:t>区财政局未委托第三方对我单位项目开展重点绩效评价。</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val="0"/>
          <w:bCs/>
          <w:sz w:val="32"/>
          <w:szCs w:val="32"/>
          <w:shd w:val="clear" w:fill="FFFFFF"/>
        </w:rPr>
      </w:pPr>
      <w:r>
        <w:rPr>
          <w:rStyle w:val="15"/>
          <w:rFonts w:hint="eastAsia" w:ascii="方正黑体_GBK" w:hAnsi="方正黑体_GBK" w:eastAsia="方正黑体_GBK" w:cs="方正黑体_GBK"/>
          <w:b w:val="0"/>
          <w:bCs/>
          <w:sz w:val="32"/>
          <w:szCs w:val="32"/>
          <w:shd w:val="clear" w:fill="FFFFFF"/>
        </w:rPr>
        <w:t>六、专业名词解释</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kern w:val="2"/>
          <w:sz w:val="32"/>
          <w:szCs w:val="32"/>
        </w:rPr>
        <w:t>指本年度从本级财政</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取得的财政拨款，包括一般公共预算财政拨款和政府性基金预算财政拨款。</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（二）事业收入：</w:t>
      </w:r>
      <w:r>
        <w:rPr>
          <w:rFonts w:hint="eastAsia" w:ascii="方正仿宋_GBK" w:hAnsi="方正仿宋_GBK" w:eastAsia="方正仿宋_GBK" w:cs="方正仿宋_GBK"/>
          <w:i w:val="0"/>
          <w:iCs w:val="0"/>
          <w:caps w:val="0"/>
          <w:color w:val="333333"/>
          <w:spacing w:val="0"/>
          <w:kern w:val="2"/>
          <w:sz w:val="32"/>
          <w:szCs w:val="32"/>
        </w:rPr>
        <w:t>指事业单位开展专业业务活动及其辅助活动取得的现金流入；事业单位收到的财政专户实际核拨的教育收费等资金在此反映。</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（三）经营收入：</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指事业单位在专业业务活动及其辅助活动之外开展非独立核算经营活动取得的现金流入。</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（四）其他收入：</w:t>
      </w:r>
      <w:r>
        <w:rPr>
          <w:rFonts w:hint="eastAsia" w:ascii="方正仿宋_GBK" w:hAnsi="方正仿宋_GBK" w:eastAsia="方正仿宋_GBK" w:cs="方正仿宋_GBK"/>
          <w:i w:val="0"/>
          <w:iCs w:val="0"/>
          <w:caps w:val="0"/>
          <w:color w:val="333333"/>
          <w:spacing w:val="0"/>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反映在本项内。</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（五）使用非财政拨款结余：</w:t>
      </w:r>
      <w:r>
        <w:rPr>
          <w:rFonts w:hint="eastAsia" w:ascii="方正仿宋_GBK" w:hAnsi="方正仿宋_GBK" w:eastAsia="方正仿宋_GBK" w:cs="方正仿宋_GBK"/>
          <w:i w:val="0"/>
          <w:iCs w:val="0"/>
          <w:caps w:val="0"/>
          <w:color w:val="333333"/>
          <w:spacing w:val="0"/>
          <w:kern w:val="2"/>
          <w:sz w:val="32"/>
          <w:szCs w:val="32"/>
        </w:rPr>
        <w:t>指单位在当年的“财政拨款收入”、“事业收入”、“经营收入”、“其他收入”等不足以安排当年支出的情况下，使用以前年度积累的非财政拨款结余弥补本年度收支缺口的资金。</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（六）年初结转和结余：</w:t>
      </w:r>
      <w:r>
        <w:rPr>
          <w:rFonts w:hint="eastAsia" w:ascii="方正仿宋_GBK" w:hAnsi="方正仿宋_GBK" w:eastAsia="方正仿宋_GBK" w:cs="方正仿宋_GBK"/>
          <w:i w:val="0"/>
          <w:iCs w:val="0"/>
          <w:caps w:val="0"/>
          <w:color w:val="333333"/>
          <w:spacing w:val="0"/>
          <w:kern w:val="2"/>
          <w:sz w:val="32"/>
          <w:szCs w:val="32"/>
        </w:rPr>
        <w:t>指单位上年结转本年使用的基本支出结转、项目支出结转和结余、经营结余。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（七）结余分配：</w:t>
      </w:r>
      <w:r>
        <w:rPr>
          <w:rFonts w:hint="eastAsia" w:ascii="方正仿宋_GBK" w:hAnsi="方正仿宋_GBK" w:eastAsia="方正仿宋_GBK" w:cs="方正仿宋_GBK"/>
          <w:i w:val="0"/>
          <w:iCs w:val="0"/>
          <w:caps w:val="0"/>
          <w:color w:val="333333"/>
          <w:spacing w:val="0"/>
          <w:kern w:val="2"/>
          <w:sz w:val="32"/>
          <w:szCs w:val="32"/>
        </w:rPr>
        <w:t>指单位按照国家有关规定，缴纳所得税、提取专用基金、转入非财政拨款结余等当年结余的分配情况。</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（八）年末结转和结余：</w:t>
      </w:r>
      <w:r>
        <w:rPr>
          <w:rFonts w:hint="eastAsia" w:ascii="方正仿宋_GBK" w:hAnsi="方正仿宋_GBK" w:eastAsia="方正仿宋_GBK" w:cs="方正仿宋_GBK"/>
          <w:i w:val="0"/>
          <w:iCs w:val="0"/>
          <w:caps w:val="0"/>
          <w:color w:val="333333"/>
          <w:spacing w:val="0"/>
          <w:kern w:val="2"/>
          <w:sz w:val="32"/>
          <w:szCs w:val="32"/>
        </w:rPr>
        <w:t>指单位结转下年的基本支出结转、项目支出结转和结余、经营结余。</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sz w:val="32"/>
          <w:szCs w:val="32"/>
          <w:shd w:val="clear" w:fill="FFFFFF"/>
        </w:rPr>
        <w:t>（九）基本支出：</w:t>
      </w:r>
      <w:r>
        <w:rPr>
          <w:rFonts w:hint="eastAsia" w:ascii="方正仿宋_GBK" w:hAnsi="方正仿宋_GBK" w:eastAsia="方正仿宋_GBK" w:cs="方正仿宋_GBK"/>
          <w:i w:val="0"/>
          <w:iCs w:val="0"/>
          <w:caps w:val="0"/>
          <w:color w:val="333333"/>
          <w:spacing w:val="0"/>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（十）项目支出：</w:t>
      </w:r>
      <w:r>
        <w:rPr>
          <w:rFonts w:hint="eastAsia" w:ascii="方正仿宋_GBK" w:hAnsi="方正仿宋_GBK" w:eastAsia="方正仿宋_GBK" w:cs="方正仿宋_GBK"/>
          <w:i w:val="0"/>
          <w:iCs w:val="0"/>
          <w:caps w:val="0"/>
          <w:color w:val="333333"/>
          <w:spacing w:val="0"/>
          <w:kern w:val="2"/>
          <w:sz w:val="32"/>
          <w:szCs w:val="32"/>
        </w:rPr>
        <w:t>指在基本支出之外为完成特定行政任务和事业发展目标所发生的支出。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宋体" w:hAnsi="宋体" w:eastAsia="宋体" w:cs="宋体"/>
          <w:kern w:val="0"/>
          <w:sz w:val="24"/>
          <w:szCs w:val="24"/>
        </w:rPr>
      </w:pPr>
      <w:r>
        <w:rPr>
          <w:rStyle w:val="18"/>
          <w:rFonts w:hint="eastAsia" w:ascii="方正楷体_GBK" w:hAnsi="方正楷体_GBK" w:eastAsia="方正楷体_GBK" w:cs="方正楷体_GBK"/>
          <w:b/>
          <w:bCs w:val="0"/>
          <w:sz w:val="32"/>
          <w:szCs w:val="32"/>
          <w:shd w:val="clear" w:fill="FFFFFF"/>
        </w:rPr>
        <w:t>（十一）经营支出：</w:t>
      </w:r>
      <w:r>
        <w:rPr>
          <w:rFonts w:hint="eastAsia" w:ascii="方正仿宋_GBK" w:hAnsi="方正仿宋_GBK" w:eastAsia="方正仿宋_GBK" w:cs="方正仿宋_GBK"/>
          <w:i w:val="0"/>
          <w:iCs w:val="0"/>
          <w:caps w:val="0"/>
          <w:color w:val="333333"/>
          <w:spacing w:val="0"/>
          <w:kern w:val="2"/>
          <w:sz w:val="32"/>
          <w:szCs w:val="32"/>
        </w:rPr>
        <w:t>指事业单位在专业业务活动及其辅助活动之外开展非独立核算经营活动发生的支出。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（十二）“三公”经费：</w:t>
      </w:r>
      <w:r>
        <w:rPr>
          <w:rFonts w:hint="eastAsia" w:ascii="方正仿宋_GBK" w:hAnsi="方正仿宋_GBK" w:eastAsia="方正仿宋_GBK" w:cs="方正仿宋_GBK"/>
          <w:i w:val="0"/>
          <w:iCs w:val="0"/>
          <w:caps w:val="0"/>
          <w:color w:val="333333"/>
          <w:spacing w:val="0"/>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（十三）机关运行经费：</w:t>
      </w:r>
      <w:r>
        <w:rPr>
          <w:rFonts w:hint="eastAsia" w:ascii="方正仿宋_GBK" w:hAnsi="方正仿宋_GBK" w:eastAsia="方正仿宋_GBK" w:cs="方正仿宋_GBK"/>
          <w:i w:val="0"/>
          <w:iCs w:val="0"/>
          <w:caps w:val="0"/>
          <w:color w:val="333333"/>
          <w:spacing w:val="0"/>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（十四）工资福利支出（支出经济分类科目类级）：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反映单位开支的在职职工和编制外长期聘用人员的各类劳动报酬，以及为上述人员缴纳的各项社会保险费等。</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（十五）商品和服务支出（支出经济分类科目类级）：</w:t>
      </w:r>
      <w:r>
        <w:rPr>
          <w:rFonts w:hint="eastAsia" w:ascii="方正仿宋_GBK" w:hAnsi="方正仿宋_GBK" w:eastAsia="方正仿宋_GBK" w:cs="方正仿宋_GBK"/>
          <w:i w:val="0"/>
          <w:iCs w:val="0"/>
          <w:caps w:val="0"/>
          <w:color w:val="333333"/>
          <w:spacing w:val="0"/>
          <w:kern w:val="2"/>
          <w:sz w:val="32"/>
          <w:szCs w:val="32"/>
        </w:rPr>
        <w:t>反映单位购买商品和服务的支出（不包括用于购置固定资产的支出、战略性和应急储备支出）。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（十六）对个人和家庭的补助（支出经济分类科目类级）：</w:t>
      </w:r>
      <w:r>
        <w:rPr>
          <w:rFonts w:hint="eastAsia" w:ascii="方正仿宋_GBK" w:hAnsi="方正仿宋_GBK" w:eastAsia="方正仿宋_GBK" w:cs="方正仿宋_GBK"/>
          <w:i w:val="0"/>
          <w:iCs w:val="0"/>
          <w:caps w:val="0"/>
          <w:color w:val="333333"/>
          <w:spacing w:val="0"/>
          <w:kern w:val="2"/>
          <w:sz w:val="32"/>
          <w:szCs w:val="32"/>
        </w:rPr>
        <w:t>反映用于对个人和家庭的补助支出。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643" w:firstLineChars="200"/>
        <w:jc w:val="both"/>
        <w:textAlignment w:val="auto"/>
        <w:rPr>
          <w:rFonts w:hint="eastAsia" w:ascii="Times New Roman" w:hAnsi="Times New Roman" w:eastAsia="方正仿宋_GBK" w:cs="Times New Roman"/>
          <w:i w:val="0"/>
          <w:iCs w:val="0"/>
          <w:caps w:val="0"/>
          <w:color w:val="333333"/>
          <w:spacing w:val="0"/>
          <w:kern w:val="2"/>
          <w:sz w:val="32"/>
          <w:szCs w:val="32"/>
        </w:rPr>
      </w:pPr>
      <w:r>
        <w:rPr>
          <w:rStyle w:val="18"/>
          <w:rFonts w:hint="eastAsia" w:ascii="方正楷体_GBK" w:hAnsi="方正楷体_GBK" w:eastAsia="方正楷体_GBK" w:cs="方正楷体_GBK"/>
          <w:b/>
          <w:bCs w:val="0"/>
          <w:sz w:val="32"/>
          <w:szCs w:val="32"/>
          <w:shd w:val="clear" w:fill="FFFFFF"/>
        </w:rPr>
        <w:t>（十七）其他资本性支出（支出经济分类科目类级）：</w:t>
      </w:r>
      <w:r>
        <w:rPr>
          <w:rFonts w:hint="eastAsia" w:ascii="方正仿宋_GBK" w:hAnsi="方正仿宋_GBK" w:eastAsia="方正仿宋_GBK" w:cs="方正仿宋_GBK"/>
          <w:i w:val="0"/>
          <w:iCs w:val="0"/>
          <w:caps w:val="0"/>
          <w:color w:val="333333"/>
          <w:spacing w:val="0"/>
          <w:kern w:val="2"/>
          <w:sz w:val="32"/>
          <w:szCs w:val="32"/>
        </w:rPr>
        <w:t>反映非各级发展与改革</w:t>
      </w:r>
      <w:r>
        <w:rPr>
          <w:rFonts w:hint="eastAsia" w:ascii="方正仿宋_GBK" w:hAnsi="方正仿宋_GBK" w:eastAsia="方正仿宋_GBK" w:cs="方正仿宋_GBK"/>
          <w:i w:val="0"/>
          <w:iCs w:val="0"/>
          <w:caps w:val="0"/>
          <w:color w:val="333333"/>
          <w:spacing w:val="0"/>
          <w:kern w:val="2"/>
          <w:sz w:val="32"/>
          <w:szCs w:val="32"/>
          <w:lang w:eastAsia="zh-CN"/>
        </w:rPr>
        <w:t>部门</w:t>
      </w:r>
      <w:r>
        <w:rPr>
          <w:rFonts w:hint="eastAsia" w:ascii="方正仿宋_GBK" w:hAnsi="方正仿宋_GBK" w:eastAsia="方正仿宋_GBK" w:cs="方正仿宋_GBK"/>
          <w:i w:val="0"/>
          <w:iCs w:val="0"/>
          <w:caps w:val="0"/>
          <w:color w:val="333333"/>
          <w:spacing w:val="0"/>
          <w:kern w:val="2"/>
          <w:sz w:val="32"/>
          <w:szCs w:val="32"/>
        </w:rPr>
        <w:t>集中安排的用于购置固定资产、战略性和应急性储备、土地和无形资产，以及构建基础设施、大型修缮和财政支持企业更新改造所发生的支出。</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jc w:val="both"/>
        <w:textAlignment w:val="auto"/>
        <w:rPr>
          <w:rFonts w:hint="eastAsia" w:ascii="方正黑体_GBK" w:hAnsi="方正黑体_GBK" w:eastAsia="方正黑体_GBK" w:cs="方正黑体_GBK"/>
          <w:b/>
          <w:bCs w:val="0"/>
          <w:kern w:val="0"/>
          <w:sz w:val="32"/>
          <w:szCs w:val="32"/>
          <w:shd w:val="clear" w:fill="FFFFFF"/>
        </w:rPr>
      </w:pPr>
      <w:r>
        <w:rPr>
          <w:rStyle w:val="18"/>
          <w:rFonts w:hint="eastAsia" w:ascii="方正黑体_GBK" w:hAnsi="方正黑体_GBK" w:eastAsia="方正黑体_GBK" w:cs="方正黑体_GBK"/>
          <w:b/>
          <w:bCs w:val="0"/>
          <w:sz w:val="32"/>
          <w:szCs w:val="32"/>
          <w:shd w:val="clear" w:fill="FFFFFF"/>
        </w:rPr>
        <w:t>七、决算公开联系方式及信息反馈渠道</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rPr>
      </w:pPr>
      <w:r>
        <w:rPr>
          <w:rFonts w:hint="eastAsia" w:ascii="方正仿宋_GBK" w:hAnsi="方正仿宋_GBK" w:eastAsia="方正仿宋_GBK" w:cs="方正仿宋_GBK"/>
          <w:i w:val="0"/>
          <w:iCs w:val="0"/>
          <w:caps w:val="0"/>
          <w:color w:val="333333"/>
          <w:spacing w:val="0"/>
          <w:kern w:val="2"/>
          <w:sz w:val="32"/>
          <w:szCs w:val="32"/>
        </w:rPr>
        <w:t>本单位决算公开信息反馈和联系方式：</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600" w:lineRule="atLeast"/>
        <w:ind w:left="0" w:firstLine="320" w:firstLineChars="100"/>
        <w:jc w:val="both"/>
        <w:textAlignment w:val="auto"/>
        <w:rPr>
          <w:rFonts w:hint="eastAsia" w:ascii="Times New Roman" w:hAnsi="Times New Roman" w:eastAsia="方正仿宋_GBK" w:cs="Times New Roman"/>
          <w:i w:val="0"/>
          <w:iCs w:val="0"/>
          <w:caps w:val="0"/>
          <w:color w:val="333333"/>
          <w:spacing w:val="0"/>
          <w:kern w:val="2"/>
          <w:sz w:val="32"/>
          <w:szCs w:val="32"/>
          <w:lang w:eastAsia="zh-CN"/>
        </w:rPr>
      </w:pPr>
      <w:r>
        <w:rPr>
          <w:rFonts w:hint="eastAsia" w:ascii="方正仿宋_GBK" w:hAnsi="方正仿宋_GBK" w:eastAsia="方正仿宋_GBK" w:cs="方正仿宋_GBK"/>
          <w:i w:val="0"/>
          <w:iCs w:val="0"/>
          <w:caps w:val="0"/>
          <w:color w:val="333333"/>
          <w:spacing w:val="0"/>
          <w:kern w:val="2"/>
          <w:sz w:val="32"/>
          <w:szCs w:val="32"/>
        </w:rPr>
        <w:t>彭鹏</w:t>
      </w:r>
      <w:r>
        <w:rPr>
          <w:rFonts w:hint="default" w:ascii="Times New Roman" w:hAnsi="Times New Roman" w:eastAsia="方正仿宋_GBK" w:cs="Times New Roman"/>
          <w:i w:val="0"/>
          <w:iCs w:val="0"/>
          <w:caps w:val="0"/>
          <w:color w:val="333333"/>
          <w:spacing w:val="0"/>
          <w:kern w:val="2"/>
          <w:sz w:val="32"/>
          <w:szCs w:val="32"/>
        </w:rPr>
        <w:t>023-48288361</w:t>
      </w: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81"/>
        <w:gridCol w:w="794"/>
        <w:gridCol w:w="3090"/>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201"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公开单位：重庆市万盛经济技术开发区畜牧水产站</w:t>
            </w:r>
          </w:p>
        </w:tc>
        <w:tc>
          <w:tcPr>
            <w:tcW w:w="7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87"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2612" w:type="pct"/>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7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79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5"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181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9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0"/>
        <w:gridCol w:w="3162"/>
        <w:gridCol w:w="1144"/>
        <w:gridCol w:w="773"/>
        <w:gridCol w:w="401"/>
        <w:gridCol w:w="401"/>
        <w:gridCol w:w="586"/>
        <w:gridCol w:w="401"/>
        <w:gridCol w:w="401"/>
        <w:gridCol w:w="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0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公开单位：重庆市万盛经济技术开发区畜牧水产站</w:t>
            </w:r>
          </w:p>
        </w:tc>
        <w:tc>
          <w:tcPr>
            <w:tcW w:w="289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39"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7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46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财政拨款收入</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上级补助收入</w:t>
            </w:r>
          </w:p>
        </w:tc>
        <w:tc>
          <w:tcPr>
            <w:tcW w:w="830"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事业收入</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经营收入</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附属单位上缴收入</w:t>
            </w:r>
          </w:p>
        </w:tc>
        <w:tc>
          <w:tcPr>
            <w:tcW w:w="39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298" w:type="pct"/>
            <w:vMerge w:val="restar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433"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其中：教育收费</w:t>
            </w: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298" w:type="pct"/>
            <w:vMerge w:val="continue"/>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9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39" w:type="pct"/>
            <w:gridSpan w:val="2"/>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7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46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7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46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298"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16.61</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16.61</w:t>
            </w: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98"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298"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7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46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7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46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98"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298"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2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47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109.67</w:t>
            </w:r>
          </w:p>
        </w:tc>
        <w:tc>
          <w:tcPr>
            <w:tcW w:w="46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109.67</w:t>
            </w: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2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47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109.67</w:t>
            </w:r>
          </w:p>
        </w:tc>
        <w:tc>
          <w:tcPr>
            <w:tcW w:w="46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109.67</w:t>
            </w: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298"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95.24</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95.24</w:t>
            </w: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2130108</w:t>
            </w:r>
          </w:p>
        </w:tc>
        <w:tc>
          <w:tcPr>
            <w:tcW w:w="1298"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病虫害控制</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2130199</w:t>
            </w:r>
          </w:p>
        </w:tc>
        <w:tc>
          <w:tcPr>
            <w:tcW w:w="1298"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其他农业农村支出</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7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46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9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70"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46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98"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7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4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6"/>
        <w:gridCol w:w="3416"/>
        <w:gridCol w:w="1225"/>
        <w:gridCol w:w="816"/>
        <w:gridCol w:w="720"/>
        <w:gridCol w:w="417"/>
        <w:gridCol w:w="473"/>
        <w:gridCol w:w="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98"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公开单位：重庆市万盛经济技术开发区畜牧水产站</w:t>
            </w:r>
          </w:p>
        </w:tc>
        <w:tc>
          <w:tcPr>
            <w:tcW w:w="2501"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41"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5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55"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3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47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上缴上级支出</w:t>
            </w:r>
          </w:p>
        </w:tc>
        <w:tc>
          <w:tcPr>
            <w:tcW w:w="470"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经营支出</w:t>
            </w:r>
          </w:p>
        </w:tc>
        <w:tc>
          <w:tcPr>
            <w:tcW w:w="47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3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5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3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37"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5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3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37" w:type="pct"/>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56"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3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0"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7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41"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137.68</w:t>
            </w:r>
          </w:p>
        </w:tc>
        <w:tc>
          <w:tcPr>
            <w:tcW w:w="53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14.42</w:t>
            </w: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5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16.61</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16.61</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5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5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5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5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109.67</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95.24</w:t>
            </w:r>
          </w:p>
        </w:tc>
        <w:tc>
          <w:tcPr>
            <w:tcW w:w="53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14.43</w:t>
            </w: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109.67</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95.24</w:t>
            </w:r>
          </w:p>
        </w:tc>
        <w:tc>
          <w:tcPr>
            <w:tcW w:w="53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14.43</w:t>
            </w: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5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95.24</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95.24</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2130108</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病虫害控制</w:t>
            </w:r>
          </w:p>
        </w:tc>
        <w:tc>
          <w:tcPr>
            <w:tcW w:w="5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55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3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2130199</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其他农业农村支出</w:t>
            </w:r>
          </w:p>
        </w:tc>
        <w:tc>
          <w:tcPr>
            <w:tcW w:w="5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55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3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53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55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534"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04"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537" w:type="pct"/>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55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5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53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备注：本表反映单位本年度取得的各项收入情况。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55"/>
        <w:gridCol w:w="922"/>
        <w:gridCol w:w="2294"/>
        <w:gridCol w:w="632"/>
        <w:gridCol w:w="923"/>
        <w:gridCol w:w="799"/>
        <w:gridCol w:w="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75"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公开单位：重庆市万盛经济技术开发区畜牧水产站</w:t>
            </w:r>
          </w:p>
        </w:tc>
        <w:tc>
          <w:tcPr>
            <w:tcW w:w="1824"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3"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收入</w:t>
            </w:r>
          </w:p>
        </w:tc>
        <w:tc>
          <w:tcPr>
            <w:tcW w:w="3156"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9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5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33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w:t>
            </w:r>
          </w:p>
        </w:tc>
        <w:tc>
          <w:tcPr>
            <w:tcW w:w="1824" w:type="pct"/>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9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52"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33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3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55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一般公共预算财政拨款</w:t>
            </w:r>
          </w:p>
        </w:tc>
        <w:tc>
          <w:tcPr>
            <w:tcW w:w="472"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政府性基金预算财政拨款</w:t>
            </w:r>
          </w:p>
        </w:tc>
        <w:tc>
          <w:tcPr>
            <w:tcW w:w="47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31.51</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31.51</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109.67</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109.67</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3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9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133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5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47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备注：本表反映单位本年度一般公共预算财政拨款、政府性基金预算财政拨款及国有资本经营预算财政拨款的总收支和年末结转结余情况。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6"/>
        <w:gridCol w:w="3416"/>
        <w:gridCol w:w="1522"/>
        <w:gridCol w:w="1389"/>
        <w:gridCol w:w="1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03"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公开单位：重庆市万盛经济技术开发区畜牧水产站</w:t>
            </w:r>
          </w:p>
        </w:tc>
        <w:tc>
          <w:tcPr>
            <w:tcW w:w="189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6"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953"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60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105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78"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91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60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5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78"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8"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60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5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78"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1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6"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0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152.10</w:t>
            </w:r>
          </w:p>
        </w:tc>
        <w:tc>
          <w:tcPr>
            <w:tcW w:w="9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137.68</w:t>
            </w:r>
          </w:p>
        </w:tc>
        <w:tc>
          <w:tcPr>
            <w:tcW w:w="9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60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105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97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9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60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105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97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31.51</w:t>
            </w:r>
          </w:p>
        </w:tc>
        <w:tc>
          <w:tcPr>
            <w:tcW w:w="9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w:t>
            </w:r>
          </w:p>
        </w:tc>
        <w:tc>
          <w:tcPr>
            <w:tcW w:w="1607"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事业单位离退休</w:t>
            </w:r>
          </w:p>
        </w:tc>
        <w:tc>
          <w:tcPr>
            <w:tcW w:w="10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16.61</w:t>
            </w:r>
          </w:p>
        </w:tc>
        <w:tc>
          <w:tcPr>
            <w:tcW w:w="9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16.61</w:t>
            </w:r>
          </w:p>
        </w:tc>
        <w:tc>
          <w:tcPr>
            <w:tcW w:w="9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607"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0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9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9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607"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机关事业单位职业年金缴费支出</w:t>
            </w:r>
          </w:p>
        </w:tc>
        <w:tc>
          <w:tcPr>
            <w:tcW w:w="10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9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9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60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05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97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9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60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05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97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6.06</w:t>
            </w:r>
          </w:p>
        </w:tc>
        <w:tc>
          <w:tcPr>
            <w:tcW w:w="9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607"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事业单位医疗</w:t>
            </w:r>
          </w:p>
        </w:tc>
        <w:tc>
          <w:tcPr>
            <w:tcW w:w="10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9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9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1607"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其他行政事业单位医疗支出</w:t>
            </w:r>
          </w:p>
        </w:tc>
        <w:tc>
          <w:tcPr>
            <w:tcW w:w="10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9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9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160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05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109.67</w:t>
            </w:r>
          </w:p>
        </w:tc>
        <w:tc>
          <w:tcPr>
            <w:tcW w:w="97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95.24</w:t>
            </w:r>
          </w:p>
        </w:tc>
        <w:tc>
          <w:tcPr>
            <w:tcW w:w="9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21301</w:t>
            </w:r>
          </w:p>
        </w:tc>
        <w:tc>
          <w:tcPr>
            <w:tcW w:w="160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农业农村</w:t>
            </w:r>
          </w:p>
        </w:tc>
        <w:tc>
          <w:tcPr>
            <w:tcW w:w="105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109.67</w:t>
            </w:r>
          </w:p>
        </w:tc>
        <w:tc>
          <w:tcPr>
            <w:tcW w:w="97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95.24</w:t>
            </w:r>
          </w:p>
        </w:tc>
        <w:tc>
          <w:tcPr>
            <w:tcW w:w="9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2130104</w:t>
            </w:r>
          </w:p>
        </w:tc>
        <w:tc>
          <w:tcPr>
            <w:tcW w:w="1607"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事业运行</w:t>
            </w:r>
          </w:p>
        </w:tc>
        <w:tc>
          <w:tcPr>
            <w:tcW w:w="10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95.24</w:t>
            </w:r>
          </w:p>
        </w:tc>
        <w:tc>
          <w:tcPr>
            <w:tcW w:w="9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95.24</w:t>
            </w:r>
          </w:p>
        </w:tc>
        <w:tc>
          <w:tcPr>
            <w:tcW w:w="9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2130108</w:t>
            </w:r>
          </w:p>
        </w:tc>
        <w:tc>
          <w:tcPr>
            <w:tcW w:w="1607"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病虫害控制</w:t>
            </w:r>
          </w:p>
        </w:tc>
        <w:tc>
          <w:tcPr>
            <w:tcW w:w="10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9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2130199</w:t>
            </w:r>
          </w:p>
        </w:tc>
        <w:tc>
          <w:tcPr>
            <w:tcW w:w="1607"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其他农业农村支出</w:t>
            </w:r>
          </w:p>
        </w:tc>
        <w:tc>
          <w:tcPr>
            <w:tcW w:w="10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9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60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05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97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9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60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05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978"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4.87</w:t>
            </w:r>
          </w:p>
        </w:tc>
        <w:tc>
          <w:tcPr>
            <w:tcW w:w="917"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607"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05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9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9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备注：本表反映单位本年度一般公共预算财政拨款支出情况。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1"/>
        <w:gridCol w:w="1868"/>
        <w:gridCol w:w="805"/>
        <w:gridCol w:w="491"/>
        <w:gridCol w:w="1206"/>
        <w:gridCol w:w="491"/>
        <w:gridCol w:w="491"/>
        <w:gridCol w:w="2196"/>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66"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公开单位：重庆市万盛经济技术开发区畜牧水产站</w:t>
            </w:r>
          </w:p>
        </w:tc>
        <w:tc>
          <w:tcPr>
            <w:tcW w:w="3333"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66" w:type="pct"/>
            <w:gridSpan w:val="3"/>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w:t>
            </w:r>
          </w:p>
        </w:tc>
        <w:tc>
          <w:tcPr>
            <w:tcW w:w="3333" w:type="pct"/>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经济分类科目（按“款”级经济分类科目）</w:t>
            </w:r>
          </w:p>
        </w:tc>
        <w:tc>
          <w:tcPr>
            <w:tcW w:w="423"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18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经济分类科目编码</w:t>
            </w:r>
          </w:p>
        </w:tc>
        <w:tc>
          <w:tcPr>
            <w:tcW w:w="106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经济分类科目（按“款”级功能分类科目）</w:t>
            </w:r>
          </w:p>
        </w:tc>
        <w:tc>
          <w:tcPr>
            <w:tcW w:w="424"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1" w:type="pct"/>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8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3"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8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061"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424" w:type="pct"/>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18.17</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21.89</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47.49</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0.57</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经常性赠与</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0.75</w:t>
            </w: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39910</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资本性赠与</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81" w:type="pct"/>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106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4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61"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2"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4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119.51</w:t>
            </w:r>
          </w:p>
        </w:tc>
        <w:tc>
          <w:tcPr>
            <w:tcW w:w="2908"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注：本表反映单位本年度一般公共预算财政拨款基本支出明细情况。</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9"/>
        <w:gridCol w:w="2540"/>
        <w:gridCol w:w="1293"/>
        <w:gridCol w:w="804"/>
        <w:gridCol w:w="804"/>
        <w:gridCol w:w="804"/>
        <w:gridCol w:w="806"/>
        <w:gridCol w:w="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59"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公开单位：重庆市万盛经济技术开发区畜牧水产站</w:t>
            </w:r>
          </w:p>
        </w:tc>
        <w:tc>
          <w:tcPr>
            <w:tcW w:w="294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71"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年初结转和结余</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w:t>
            </w:r>
          </w:p>
        </w:tc>
        <w:tc>
          <w:tcPr>
            <w:tcW w:w="1763"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176"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项目（按“项”级功能分类科目）</w:t>
            </w: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587"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9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176"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7"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1"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76"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2、本单位无政府性基金收入，也没有使用政府性基金安排的支出，故本表无数据。</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8"/>
        <w:gridCol w:w="2682"/>
        <w:gridCol w:w="1672"/>
        <w:gridCol w:w="1674"/>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018"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公开单位：重庆市万盛经济技术开发区畜牧水产站</w:t>
            </w: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57"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2942" w:type="pct"/>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功能分类科目编码</w:t>
            </w:r>
          </w:p>
        </w:tc>
        <w:tc>
          <w:tcPr>
            <w:tcW w:w="157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科目名称</w:t>
            </w:r>
          </w:p>
        </w:tc>
        <w:tc>
          <w:tcPr>
            <w:tcW w:w="98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80"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基本支出</w:t>
            </w:r>
          </w:p>
        </w:tc>
        <w:tc>
          <w:tcPr>
            <w:tcW w:w="981" w:type="pct"/>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7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157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0"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c>
          <w:tcPr>
            <w:tcW w:w="981" w:type="pct"/>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57" w:type="pct"/>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备注：1、本表反映单位本年度国有资本经营预算财政拨款支出情况。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2、本单位无国有资本经营预算财政拨款支出，故本表无数据。</w:t>
            </w:r>
          </w:p>
        </w:tc>
      </w:tr>
    </w:tbl>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p>
      <w:pPr>
        <w:pStyle w:val="10"/>
        <w:keepNext w:val="0"/>
        <w:keepLines w:val="0"/>
        <w:widowControl/>
        <w:suppressLineNumbers w:val="0"/>
        <w:spacing w:before="0" w:beforeAutospacing="0"/>
        <w:ind w:left="0"/>
        <w:jc w:val="both"/>
      </w:pP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42"/>
        <w:gridCol w:w="868"/>
        <w:gridCol w:w="863"/>
        <w:gridCol w:w="604"/>
        <w:gridCol w:w="3050"/>
        <w:gridCol w:w="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8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公开单位：重庆市万盛经济技术开发区畜牧水产站</w:t>
            </w:r>
          </w:p>
        </w:tc>
        <w:tc>
          <w:tcPr>
            <w:tcW w:w="3018"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48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年初预算数</w:t>
            </w:r>
          </w:p>
        </w:tc>
        <w:tc>
          <w:tcPr>
            <w:tcW w:w="47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全年预算数</w:t>
            </w:r>
          </w:p>
        </w:tc>
        <w:tc>
          <w:tcPr>
            <w:tcW w:w="3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3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一、“三公”经费支出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四、机关运行经费</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（一）支出合计</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（一）行政单位</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1．因公出国（境）费</w:t>
            </w:r>
          </w:p>
        </w:tc>
        <w:tc>
          <w:tcPr>
            <w:tcW w:w="48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（二）参照公务员法管理事业单位</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2．公务用车购置及运行维护费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五、资产信息</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（1）公务用车购置费</w:t>
            </w:r>
          </w:p>
        </w:tc>
        <w:tc>
          <w:tcPr>
            <w:tcW w:w="48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（一）车辆数合计（辆）</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（2）公务用车运行维护费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1．副部（省）级及以上领导用车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2．主要领导干部用车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（1）国内接待费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3．机要通信用车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4．应急保障用车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（2）国（境）外接待费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5．执法执勤用车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（二）相关统计数</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6．特种专业技术用车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1．因公出国（境）团组数（个）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7．离退休干部用车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2．因公出国（境）人次数（人）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8．其他用车</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3．公务用车购置数（辆）</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（二）单价100万元（含）以上设备（不含车辆）</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4．公务用车保有量（辆）</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六、政府采购支出信息</w:t>
            </w:r>
          </w:p>
        </w:tc>
        <w:tc>
          <w:tcPr>
            <w:tcW w:w="3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5．国内公务接待批次（个）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（一）政府采购支出合计</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其中：外事接待批次（个）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1．政府采购货物支出</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6．国内公务接待人次（人）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2．政府采购工程支出</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其中：外事接待人次（人）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3．政府采购服务支出</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7．国（境）外公务接待批次（个）</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（二）政府采购授予中小企业合同金额</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8．国（境）外公务接待人次（人）</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其中：授予小微企业合同金额</w:t>
            </w: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二、会议费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89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00"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三、培训费</w:t>
            </w:r>
          </w:p>
        </w:tc>
        <w:tc>
          <w:tcPr>
            <w:tcW w:w="4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7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0.28</w:t>
            </w:r>
          </w:p>
        </w:tc>
        <w:tc>
          <w:tcPr>
            <w:tcW w:w="1894" w:type="pct"/>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应单位本年度“三公”经费支出预决算情况。其中：年初预算数为“三公”经费年初单位预算批复数，全年预算数为“三公”经费全年预算数，反应按照规定程序调整后的预算数；决算数是包括当年一般公共预算财政拨款、政府性基金预算财政拨款和以前年度结转资金安排的实际支出。</w:t>
            </w:r>
          </w:p>
        </w:tc>
      </w:tr>
    </w:tbl>
    <w:p>
      <w:pPr>
        <w:pStyle w:val="10"/>
        <w:keepNext w:val="0"/>
        <w:keepLines w:val="0"/>
        <w:widowControl/>
        <w:suppressLineNumbers w:val="0"/>
        <w:spacing w:before="0" w:beforeAutospacing="0"/>
        <w:ind w:left="0"/>
        <w:jc w:val="both"/>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TZkNDZkZDYwMDUzZTQyN2E1YTZmMWVjMjMxMDkifQ=="/>
  </w:docVars>
  <w:rsids>
    <w:rsidRoot w:val="00000000"/>
    <w:rsid w:val="004161F8"/>
    <w:rsid w:val="07641121"/>
    <w:rsid w:val="07913DCC"/>
    <w:rsid w:val="0FD51400"/>
    <w:rsid w:val="13E8366A"/>
    <w:rsid w:val="1AB92E1A"/>
    <w:rsid w:val="22081102"/>
    <w:rsid w:val="3C736035"/>
    <w:rsid w:val="4BDB079B"/>
    <w:rsid w:val="4CC976CC"/>
    <w:rsid w:val="52190688"/>
    <w:rsid w:val="5DB96CBC"/>
    <w:rsid w:val="64710B28"/>
    <w:rsid w:val="65841B51"/>
    <w:rsid w:val="66653D03"/>
    <w:rsid w:val="67B40A7D"/>
    <w:rsid w:val="6B582AC6"/>
    <w:rsid w:val="6C4C0755"/>
    <w:rsid w:val="749C54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EastAsia" w:hAnsiTheme="minorEastAsia" w:eastAsiaTheme="minorEastAsia" w:cstheme="minorEastAsia"/>
      <w:kern w:val="0"/>
      <w:sz w:val="24"/>
      <w:szCs w:val="24"/>
      <w:lang w:val="en-US" w:eastAsia="zh-CN" w:bidi="ar"/>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8">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before="0" w:beforeAutospacing="0" w:after="0" w:afterAutospacing="0"/>
      <w:ind w:left="0" w:right="0" w:firstLine="648" w:firstLineChars="200"/>
      <w:jc w:val="left"/>
    </w:pPr>
    <w:rPr>
      <w:rFonts w:hint="eastAsia" w:ascii="方正黑体_GBK" w:hAnsi="Courier New" w:eastAsia="方正仿宋_GBK" w:cs="Times New Roman"/>
      <w:kern w:val="0"/>
      <w:sz w:val="32"/>
      <w:szCs w:val="32"/>
      <w:lang w:val="en-US" w:eastAsia="zh-CN" w:bidi="ar"/>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paragraph" w:customStyle="1" w:styleId="1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15"/>
    <w:basedOn w:val="12"/>
    <w:qFormat/>
    <w:uiPriority w:val="0"/>
    <w:rPr>
      <w:rFonts w:hint="default" w:ascii="Times New Roman" w:hAnsi="Times New Roman" w:cs="Times New Roman"/>
      <w:b/>
    </w:rPr>
  </w:style>
  <w:style w:type="paragraph" w:customStyle="1" w:styleId="16">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List Paragraph"/>
    <w:basedOn w:val="1"/>
    <w:qFormat/>
    <w:uiPriority w:val="34"/>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character" w:customStyle="1" w:styleId="18">
    <w:name w:val="16"/>
    <w:basedOn w:val="12"/>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25</Pages>
  <Words>9062</Words>
  <Characters>10805</Characters>
  <TotalTime>3</TotalTime>
  <ScaleCrop>false</ScaleCrop>
  <LinksUpToDate>false</LinksUpToDate>
  <CharactersWithSpaces>10805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2023-10-18T08:24:00Z</dcterms:created>
  <dc:creator>Administrator</dc:creator>
  <cp:lastModifiedBy>彭鹏</cp:lastModifiedBy>
  <dcterms:modified xsi:type="dcterms:W3CDTF">2023-10-31T01:33:36Z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9AB845D19F514C59A2E14EF668F96F0E_13</vt:lpwstr>
  </property>
</Properties>
</file>