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left="0" w:right="0"/>
        <w:jc w:val="center"/>
        <w:textAlignment w:val="auto"/>
        <w:rPr>
          <w:rFonts w:hint="eastAsia" w:ascii="方正小标宋_GBK" w:hAnsi="方正小标宋_GBK" w:eastAsia="方正小标宋_GBK" w:cs="方正小标宋_GBK"/>
          <w:i w:val="0"/>
          <w:iCs w:val="0"/>
          <w:caps w:val="0"/>
          <w:spacing w:val="0"/>
          <w:kern w:val="0"/>
          <w:sz w:val="44"/>
          <w:szCs w:val="44"/>
          <w:shd w:val="clear" w:fill="FFFFFF"/>
        </w:rPr>
      </w:pPr>
      <w:r>
        <w:rPr>
          <w:rFonts w:hint="eastAsia" w:ascii="方正小标宋_GBK" w:hAnsi="方正小标宋_GBK" w:eastAsia="方正小标宋_GBK" w:cs="方正小标宋_GBK"/>
          <w:i w:val="0"/>
          <w:iCs w:val="0"/>
          <w:caps w:val="0"/>
          <w:spacing w:val="0"/>
          <w:kern w:val="0"/>
          <w:sz w:val="44"/>
          <w:szCs w:val="44"/>
          <w:shd w:val="clear" w:fill="FFFFFF"/>
          <w:lang w:eastAsia="zh-CN"/>
        </w:rPr>
        <w:t>重庆市万盛经济技术开发区农产品质量安全与市场管理中心</w:t>
      </w:r>
      <w:r>
        <w:rPr>
          <w:rFonts w:hint="eastAsia" w:ascii="方正小标宋_GBK" w:hAnsi="方正小标宋_GBK" w:eastAsia="方正小标宋_GBK" w:cs="方正小标宋_GBK"/>
          <w:i w:val="0"/>
          <w:iCs w:val="0"/>
          <w:caps w:val="0"/>
          <w:spacing w:val="0"/>
          <w:kern w:val="0"/>
          <w:sz w:val="44"/>
          <w:szCs w:val="44"/>
          <w:shd w:val="clear" w:fill="FFFFFF"/>
        </w:rPr>
        <w:t>2022年度</w:t>
      </w:r>
      <w:r>
        <w:rPr>
          <w:rFonts w:hint="eastAsia" w:ascii="方正小标宋_GBK" w:hAnsi="方正小标宋_GBK" w:eastAsia="方正小标宋_GBK" w:cs="方正小标宋_GBK"/>
          <w:i w:val="0"/>
          <w:iCs w:val="0"/>
          <w:caps w:val="0"/>
          <w:spacing w:val="0"/>
          <w:kern w:val="0"/>
          <w:sz w:val="44"/>
          <w:szCs w:val="44"/>
          <w:shd w:val="clear" w:fill="FFFFFF"/>
          <w:lang w:eastAsia="zh-CN"/>
        </w:rPr>
        <w:t>部门</w:t>
      </w:r>
      <w:r>
        <w:rPr>
          <w:rFonts w:hint="eastAsia" w:ascii="方正小标宋_GBK" w:hAnsi="方正小标宋_GBK" w:eastAsia="方正小标宋_GBK" w:cs="方正小标宋_GBK"/>
          <w:i w:val="0"/>
          <w:iCs w:val="0"/>
          <w:caps w:val="0"/>
          <w:spacing w:val="0"/>
          <w:kern w:val="0"/>
          <w:sz w:val="44"/>
          <w:szCs w:val="44"/>
          <w:shd w:val="clear" w:fill="FFFFFF"/>
        </w:rPr>
        <w:t>决算情况说明</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right="0"/>
        <w:jc w:val="both"/>
        <w:textAlignment w:val="auto"/>
        <w:rPr>
          <w:rFonts w:hint="eastAsia" w:ascii="方正黑体_GBK" w:hAnsi="方正黑体_GBK" w:eastAsia="方正黑体_GBK" w:cs="方正黑体_GBK"/>
          <w:i w:val="0"/>
          <w:iCs w:val="0"/>
          <w:caps w:val="0"/>
          <w:spacing w:val="0"/>
          <w:kern w:val="2"/>
          <w:sz w:val="32"/>
          <w:szCs w:val="32"/>
        </w:rPr>
      </w:pPr>
      <w:r>
        <w:rPr>
          <w:rFonts w:hint="eastAsia" w:ascii="方正黑体_GBK" w:hAnsi="方正黑体_GBK" w:eastAsia="方正黑体_GBK" w:cs="方正黑体_GBK"/>
          <w:i w:val="0"/>
          <w:iCs w:val="0"/>
          <w:caps w:val="0"/>
          <w:spacing w:val="0"/>
          <w:kern w:val="2"/>
          <w:sz w:val="32"/>
          <w:szCs w:val="32"/>
        </w:rPr>
        <w:t>一、</w:t>
      </w:r>
      <w:r>
        <w:rPr>
          <w:rFonts w:hint="eastAsia" w:ascii="方正黑体_GBK" w:hAnsi="方正黑体_GBK" w:eastAsia="方正黑体_GBK" w:cs="方正黑体_GBK"/>
          <w:i w:val="0"/>
          <w:iCs w:val="0"/>
          <w:caps w:val="0"/>
          <w:spacing w:val="0"/>
          <w:kern w:val="2"/>
          <w:sz w:val="32"/>
          <w:szCs w:val="32"/>
          <w:lang w:eastAsia="zh-CN"/>
        </w:rPr>
        <w:t>部门</w:t>
      </w:r>
      <w:r>
        <w:rPr>
          <w:rFonts w:hint="eastAsia" w:ascii="方正黑体_GBK" w:hAnsi="方正黑体_GBK" w:eastAsia="方正黑体_GBK" w:cs="方正黑体_GBK"/>
          <w:i w:val="0"/>
          <w:iCs w:val="0"/>
          <w:caps w:val="0"/>
          <w:spacing w:val="0"/>
          <w:kern w:val="2"/>
          <w:sz w:val="32"/>
          <w:szCs w:val="32"/>
        </w:rPr>
        <w:t>基本情况</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（一）职能职责</w:t>
      </w:r>
    </w:p>
    <w:p>
      <w:pPr>
        <w:spacing w:line="594" w:lineRule="exact"/>
        <w:ind w:firstLine="640" w:firstLineChars="200"/>
        <w:rPr>
          <w:rFonts w:hint="eastAsia"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1、具体开展农产品质量安全监督管理有关工作。指导农产品质量安全监管体系、检验检测体系、追溯体系和信用体系建设。参与农业地方相关标准制修订工作，具体承担农产品质量安全监测、风险评估等相关工作。</w:t>
      </w:r>
    </w:p>
    <w:p>
      <w:pPr>
        <w:spacing w:line="594" w:lineRule="exact"/>
        <w:ind w:firstLine="640" w:firstLineChars="200"/>
        <w:rPr>
          <w:rFonts w:hint="eastAsia"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2、拟订农产品质量安全发展规划和计划并组织实施；组织开展农业标准化相关工作。开展“三品一标”申报评定、农业品牌建设等有关工作。负责农业生产资料和农产品价格信息采集上报，组织开展农产品和农业生产资料供求、价格分析和监测预警，提出政策建议。承担农业展会管理和农业丰收节协调指导工作。</w:t>
      </w:r>
    </w:p>
    <w:p>
      <w:pPr>
        <w:spacing w:line="594" w:lineRule="exact"/>
        <w:ind w:firstLine="640" w:firstLineChars="200"/>
        <w:rPr>
          <w:rFonts w:hint="eastAsia"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3、具体实施在资质范围内对申请人的生产条件与质量保证能力进行评估和认定，对获得农产品质量安全认证产品的监督管理提供技术支撑。具体实施农产品质量安全监督检验，对食用农产品农药残留实施检测，对农业危险化学品实施监管，对农药、肥料等农业生产资料实施监督检查和抽检。提供农产品质量安全业务指导、技术培训、示范推广服务。负责农业投入品的监督管理。</w:t>
      </w:r>
    </w:p>
    <w:p>
      <w:pPr>
        <w:spacing w:line="594" w:lineRule="exact"/>
        <w:ind w:firstLine="640" w:firstLineChars="200"/>
        <w:rPr>
          <w:rFonts w:hint="eastAsia"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4、编制全区农业农村经济信息体系规划及技术信息服务采集，承担农业信息系统建设、技术推广、信息资源开发利用。承担农业信息加工、分析、发布，承担农业信息查询、咨询、资料管理等服务工作；负责信息业务培训。</w:t>
      </w:r>
    </w:p>
    <w:p>
      <w:pPr>
        <w:spacing w:line="594" w:lineRule="exact"/>
        <w:ind w:firstLine="640" w:firstLineChars="200"/>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5、完成上级交办的其他工作。</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（二）机构设置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本单位无内设机构。</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5"/>
          <w:rFonts w:hint="eastAsia" w:ascii="方正楷体_GBK" w:hAnsi="方正楷体_GBK" w:eastAsia="方正楷体_GBK" w:cs="方正楷体_GBK"/>
          <w:b/>
          <w:bCs w:val="0"/>
          <w:sz w:val="32"/>
          <w:szCs w:val="32"/>
          <w:shd w:val="clear" w:fill="FFFFFF"/>
        </w:rPr>
        <w:t>（三）单位构成</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宋体" w:hAnsi="宋体" w:eastAsia="宋体" w:cs="宋体"/>
          <w:kern w:val="0"/>
          <w:sz w:val="24"/>
          <w:szCs w:val="24"/>
        </w:rPr>
      </w:pPr>
      <w:r>
        <w:rPr>
          <w:rFonts w:hint="eastAsia" w:ascii="方正仿宋_GBK" w:hAnsi="方正仿宋_GBK" w:eastAsia="方正仿宋_GBK" w:cs="方正仿宋_GBK"/>
          <w:i w:val="0"/>
          <w:iCs w:val="0"/>
          <w:caps w:val="0"/>
          <w:color w:val="333333"/>
          <w:spacing w:val="0"/>
          <w:kern w:val="2"/>
          <w:sz w:val="32"/>
          <w:szCs w:val="32"/>
        </w:rPr>
        <w:t>本单位无下级预算单位。</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right="0"/>
        <w:jc w:val="both"/>
        <w:textAlignment w:val="auto"/>
        <w:rPr>
          <w:rFonts w:hint="eastAsia" w:ascii="方正黑体_GBK" w:hAnsi="方正黑体_GBK" w:eastAsia="方正黑体_GBK" w:cs="方正黑体_GBK"/>
          <w:i w:val="0"/>
          <w:iCs w:val="0"/>
          <w:caps w:val="0"/>
          <w:spacing w:val="0"/>
          <w:kern w:val="2"/>
          <w:sz w:val="32"/>
          <w:szCs w:val="32"/>
        </w:rPr>
      </w:pPr>
      <w:r>
        <w:rPr>
          <w:rFonts w:hint="eastAsia" w:ascii="方正黑体_GBK" w:hAnsi="方正黑体_GBK" w:eastAsia="方正黑体_GBK" w:cs="方正黑体_GBK"/>
          <w:i w:val="0"/>
          <w:iCs w:val="0"/>
          <w:caps w:val="0"/>
          <w:spacing w:val="0"/>
          <w:kern w:val="2"/>
          <w:sz w:val="32"/>
          <w:szCs w:val="32"/>
        </w:rPr>
        <w:t>二、</w:t>
      </w:r>
      <w:r>
        <w:rPr>
          <w:rFonts w:hint="eastAsia" w:ascii="方正黑体_GBK" w:hAnsi="方正黑体_GBK" w:eastAsia="方正黑体_GBK" w:cs="方正黑体_GBK"/>
          <w:i w:val="0"/>
          <w:iCs w:val="0"/>
          <w:caps w:val="0"/>
          <w:spacing w:val="0"/>
          <w:kern w:val="2"/>
          <w:sz w:val="32"/>
          <w:szCs w:val="32"/>
          <w:lang w:eastAsia="zh-CN"/>
        </w:rPr>
        <w:t>部门</w:t>
      </w:r>
      <w:bookmarkStart w:id="0" w:name="_GoBack"/>
      <w:bookmarkEnd w:id="0"/>
      <w:r>
        <w:rPr>
          <w:rFonts w:hint="eastAsia" w:ascii="方正黑体_GBK" w:hAnsi="方正黑体_GBK" w:eastAsia="方正黑体_GBK" w:cs="方正黑体_GBK"/>
          <w:i w:val="0"/>
          <w:iCs w:val="0"/>
          <w:caps w:val="0"/>
          <w:spacing w:val="0"/>
          <w:kern w:val="2"/>
          <w:sz w:val="32"/>
          <w:szCs w:val="32"/>
        </w:rPr>
        <w:t>决算情况说明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（一）收入支出决算总体情况说明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spacing w:val="0"/>
          <w:kern w:val="2"/>
          <w:sz w:val="32"/>
          <w:szCs w:val="32"/>
        </w:rPr>
      </w:pPr>
      <w:r>
        <w:rPr>
          <w:rStyle w:val="15"/>
          <w:rFonts w:hint="default" w:ascii="Calibri" w:hAnsi="Calibri" w:eastAsia="方正仿宋_GBK" w:cs="方正仿宋_GBK"/>
          <w:b/>
          <w:bCs w:val="0"/>
          <w:sz w:val="32"/>
          <w:szCs w:val="32"/>
          <w:shd w:val="clear" w:fill="FFFFFF"/>
        </w:rPr>
        <w:t>1.总体情况。</w:t>
      </w:r>
      <w:r>
        <w:rPr>
          <w:rFonts w:hint="eastAsia" w:ascii="方正仿宋_GBK" w:hAnsi="方正仿宋_GBK" w:eastAsia="方正仿宋_GBK" w:cs="方正仿宋_GBK"/>
          <w:i w:val="0"/>
          <w:iCs w:val="0"/>
          <w:caps w:val="0"/>
          <w:color w:val="333333"/>
          <w:spacing w:val="0"/>
          <w:kern w:val="2"/>
          <w:sz w:val="32"/>
          <w:szCs w:val="32"/>
          <w:lang w:eastAsia="zh-CN"/>
        </w:rPr>
        <w:t>2022年度收入总计115.88万元，支出总计115.88万元。收支较上年决算数增加115.88万元</w:t>
      </w: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eastAsia="zh-CN"/>
        </w:rPr>
        <w:t>增长100.0%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eastAsia="zh-CN"/>
        </w:rPr>
      </w:pPr>
      <w:r>
        <w:rPr>
          <w:rStyle w:val="15"/>
          <w:rFonts w:hint="default" w:ascii="Calibri" w:hAnsi="Calibri" w:eastAsia="方正仿宋_GBK" w:cs="方正仿宋_GBK"/>
          <w:b/>
          <w:bCs w:val="0"/>
          <w:sz w:val="32"/>
          <w:szCs w:val="32"/>
          <w:shd w:val="clear" w:fill="FFFFFF"/>
        </w:rPr>
        <w:t>2.收入情况。</w:t>
      </w:r>
      <w:r>
        <w:rPr>
          <w:rFonts w:hint="eastAsia" w:ascii="方正仿宋_GBK" w:hAnsi="方正仿宋_GBK" w:eastAsia="方正仿宋_GBK" w:cs="方正仿宋_GBK"/>
          <w:i w:val="0"/>
          <w:iCs w:val="0"/>
          <w:caps w:val="0"/>
          <w:color w:val="333333"/>
          <w:spacing w:val="0"/>
          <w:kern w:val="2"/>
          <w:sz w:val="32"/>
          <w:szCs w:val="32"/>
        </w:rPr>
        <w:t>2022年度收入合计</w:t>
      </w:r>
      <w:r>
        <w:rPr>
          <w:rFonts w:hint="eastAsia" w:ascii="方正仿宋_GBK" w:hAnsi="方正仿宋_GBK" w:eastAsia="方正仿宋_GBK" w:cs="方正仿宋_GBK"/>
          <w:i w:val="0"/>
          <w:iCs w:val="0"/>
          <w:caps w:val="0"/>
          <w:color w:val="333333"/>
          <w:spacing w:val="0"/>
          <w:kern w:val="2"/>
          <w:sz w:val="32"/>
          <w:szCs w:val="32"/>
          <w:lang w:eastAsia="zh-CN"/>
        </w:rPr>
        <w:t>115.88</w:t>
      </w:r>
      <w:r>
        <w:rPr>
          <w:rFonts w:hint="eastAsia" w:ascii="方正仿宋_GBK" w:hAnsi="方正仿宋_GBK" w:eastAsia="方正仿宋_GBK" w:cs="方正仿宋_GBK"/>
          <w:i w:val="0"/>
          <w:iCs w:val="0"/>
          <w:caps w:val="0"/>
          <w:color w:val="333333"/>
          <w:spacing w:val="0"/>
          <w:kern w:val="2"/>
          <w:sz w:val="32"/>
          <w:szCs w:val="32"/>
        </w:rPr>
        <w:t>万元，较上年决算数增加</w:t>
      </w:r>
      <w:r>
        <w:rPr>
          <w:rFonts w:hint="eastAsia" w:ascii="方正仿宋_GBK" w:hAnsi="方正仿宋_GBK" w:eastAsia="方正仿宋_GBK" w:cs="方正仿宋_GBK"/>
          <w:i w:val="0"/>
          <w:iCs w:val="0"/>
          <w:caps w:val="0"/>
          <w:color w:val="333333"/>
          <w:spacing w:val="0"/>
          <w:kern w:val="2"/>
          <w:sz w:val="32"/>
          <w:szCs w:val="32"/>
          <w:lang w:eastAsia="zh-CN"/>
        </w:rPr>
        <w:t>115.88</w:t>
      </w:r>
      <w:r>
        <w:rPr>
          <w:rFonts w:hint="eastAsia" w:ascii="方正仿宋_GBK" w:hAnsi="方正仿宋_GBK" w:eastAsia="方正仿宋_GBK" w:cs="方正仿宋_GBK"/>
          <w:i w:val="0"/>
          <w:iCs w:val="0"/>
          <w:caps w:val="0"/>
          <w:color w:val="333333"/>
          <w:spacing w:val="0"/>
          <w:kern w:val="2"/>
          <w:sz w:val="32"/>
          <w:szCs w:val="32"/>
        </w:rPr>
        <w:t>万元，</w:t>
      </w:r>
      <w:r>
        <w:rPr>
          <w:rFonts w:hint="eastAsia" w:ascii="方正仿宋_GBK" w:hAnsi="方正仿宋_GBK" w:eastAsia="方正仿宋_GBK" w:cs="方正仿宋_GBK"/>
          <w:i w:val="0"/>
          <w:iCs w:val="0"/>
          <w:caps w:val="0"/>
          <w:color w:val="333333"/>
          <w:spacing w:val="0"/>
          <w:kern w:val="2"/>
          <w:sz w:val="32"/>
          <w:szCs w:val="32"/>
          <w:lang w:eastAsia="zh-CN"/>
        </w:rPr>
        <w:t>增长100.0%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年开始独立填报决算，无上年决算数据。其中：财政拨款收入</w:t>
      </w:r>
      <w:r>
        <w:rPr>
          <w:rFonts w:hint="eastAsia" w:ascii="方正仿宋_GBK" w:hAnsi="方正仿宋_GBK" w:eastAsia="方正仿宋_GBK" w:cs="方正仿宋_GBK"/>
          <w:i w:val="0"/>
          <w:iCs w:val="0"/>
          <w:caps w:val="0"/>
          <w:color w:val="333333"/>
          <w:spacing w:val="0"/>
          <w:kern w:val="2"/>
          <w:sz w:val="32"/>
          <w:szCs w:val="32"/>
          <w:lang w:eastAsia="zh-CN"/>
        </w:rPr>
        <w:t>115.88</w:t>
      </w:r>
      <w:r>
        <w:rPr>
          <w:rFonts w:hint="eastAsia" w:ascii="方正仿宋_GBK" w:hAnsi="方正仿宋_GBK" w:eastAsia="方正仿宋_GBK" w:cs="方正仿宋_GBK"/>
          <w:i w:val="0"/>
          <w:iCs w:val="0"/>
          <w:caps w:val="0"/>
          <w:color w:val="333333"/>
          <w:spacing w:val="0"/>
          <w:kern w:val="2"/>
          <w:sz w:val="32"/>
          <w:szCs w:val="32"/>
        </w:rPr>
        <w:t>万元，占</w:t>
      </w:r>
      <w:r>
        <w:rPr>
          <w:rFonts w:hint="eastAsia" w:ascii="方正仿宋_GBK" w:hAnsi="方正仿宋_GBK" w:eastAsia="方正仿宋_GBK" w:cs="方正仿宋_GBK"/>
          <w:i w:val="0"/>
          <w:iCs w:val="0"/>
          <w:caps w:val="0"/>
          <w:color w:val="333333"/>
          <w:spacing w:val="0"/>
          <w:kern w:val="2"/>
          <w:sz w:val="32"/>
          <w:szCs w:val="32"/>
          <w:lang w:eastAsia="zh-CN"/>
        </w:rPr>
        <w:t>100.0%。</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rPr>
      </w:pPr>
      <w:r>
        <w:rPr>
          <w:rStyle w:val="15"/>
          <w:rFonts w:hint="default" w:ascii="Calibri" w:hAnsi="Calibri" w:eastAsia="方正仿宋_GBK" w:cs="方正仿宋_GBK"/>
          <w:b/>
          <w:bCs w:val="0"/>
          <w:sz w:val="32"/>
          <w:szCs w:val="32"/>
          <w:shd w:val="clear" w:fill="FFFFFF"/>
        </w:rPr>
        <w:t>3.支出情况。</w:t>
      </w:r>
      <w:r>
        <w:rPr>
          <w:rFonts w:hint="eastAsia" w:ascii="方正仿宋_GBK" w:hAnsi="方正仿宋_GBK" w:eastAsia="方正仿宋_GBK" w:cs="方正仿宋_GBK"/>
          <w:i w:val="0"/>
          <w:iCs w:val="0"/>
          <w:caps w:val="0"/>
          <w:color w:val="333333"/>
          <w:spacing w:val="0"/>
          <w:kern w:val="2"/>
          <w:sz w:val="32"/>
          <w:szCs w:val="32"/>
        </w:rPr>
        <w:t>2022年度支出合计</w:t>
      </w:r>
      <w:r>
        <w:rPr>
          <w:rFonts w:hint="eastAsia" w:ascii="方正仿宋_GBK" w:hAnsi="方正仿宋_GBK" w:eastAsia="方正仿宋_GBK" w:cs="方正仿宋_GBK"/>
          <w:i w:val="0"/>
          <w:iCs w:val="0"/>
          <w:caps w:val="0"/>
          <w:color w:val="333333"/>
          <w:spacing w:val="0"/>
          <w:kern w:val="2"/>
          <w:sz w:val="32"/>
          <w:szCs w:val="32"/>
          <w:lang w:eastAsia="zh-CN"/>
        </w:rPr>
        <w:t>115.88</w:t>
      </w:r>
      <w:r>
        <w:rPr>
          <w:rFonts w:hint="eastAsia" w:ascii="方正仿宋_GBK" w:hAnsi="方正仿宋_GBK" w:eastAsia="方正仿宋_GBK" w:cs="方正仿宋_GBK"/>
          <w:i w:val="0"/>
          <w:iCs w:val="0"/>
          <w:caps w:val="0"/>
          <w:color w:val="333333"/>
          <w:spacing w:val="0"/>
          <w:kern w:val="2"/>
          <w:sz w:val="32"/>
          <w:szCs w:val="32"/>
        </w:rPr>
        <w:t>万元，较上年决算增加</w:t>
      </w:r>
      <w:r>
        <w:rPr>
          <w:rFonts w:hint="eastAsia" w:ascii="方正仿宋_GBK" w:hAnsi="方正仿宋_GBK" w:eastAsia="方正仿宋_GBK" w:cs="方正仿宋_GBK"/>
          <w:i w:val="0"/>
          <w:iCs w:val="0"/>
          <w:caps w:val="0"/>
          <w:color w:val="333333"/>
          <w:spacing w:val="0"/>
          <w:kern w:val="2"/>
          <w:sz w:val="32"/>
          <w:szCs w:val="32"/>
          <w:lang w:eastAsia="zh-CN"/>
        </w:rPr>
        <w:t>115.88</w:t>
      </w:r>
      <w:r>
        <w:rPr>
          <w:rFonts w:hint="eastAsia" w:ascii="方正仿宋_GBK" w:hAnsi="方正仿宋_GBK" w:eastAsia="方正仿宋_GBK" w:cs="方正仿宋_GBK"/>
          <w:i w:val="0"/>
          <w:iCs w:val="0"/>
          <w:caps w:val="0"/>
          <w:color w:val="333333"/>
          <w:spacing w:val="0"/>
          <w:kern w:val="2"/>
          <w:sz w:val="32"/>
          <w:szCs w:val="32"/>
        </w:rPr>
        <w:t>万元，</w:t>
      </w:r>
      <w:r>
        <w:rPr>
          <w:rFonts w:hint="eastAsia" w:ascii="方正仿宋_GBK" w:hAnsi="方正仿宋_GBK" w:eastAsia="方正仿宋_GBK" w:cs="方正仿宋_GBK"/>
          <w:i w:val="0"/>
          <w:iCs w:val="0"/>
          <w:caps w:val="0"/>
          <w:color w:val="333333"/>
          <w:spacing w:val="0"/>
          <w:kern w:val="2"/>
          <w:sz w:val="32"/>
          <w:szCs w:val="32"/>
          <w:lang w:eastAsia="zh-CN"/>
        </w:rPr>
        <w:t>增长100.0%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年开始独立填报决算，无上年决算数据。其中：其中：基本支出105.88万元，占91.4%；项目支出10.00万元，占8.6%</w:t>
      </w:r>
      <w:r>
        <w:rPr>
          <w:rFonts w:hint="eastAsia" w:ascii="方正仿宋_GBK" w:hAnsi="方正仿宋_GBK" w:eastAsia="方正仿宋_GBK" w:cs="方正仿宋_GBK"/>
          <w:i w:val="0"/>
          <w:iCs w:val="0"/>
          <w:caps w:val="0"/>
          <w:color w:val="333333"/>
          <w:spacing w:val="0"/>
          <w:kern w:val="2"/>
          <w:sz w:val="32"/>
          <w:szCs w:val="32"/>
          <w:lang w:eastAsia="zh-CN"/>
        </w:rPr>
        <w:t>。</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default" w:ascii="Calibri" w:hAnsi="Calibri" w:eastAsia="方正仿宋_GBK" w:cs="方正仿宋_GBK"/>
          <w:b/>
          <w:bCs w:val="0"/>
          <w:sz w:val="32"/>
          <w:szCs w:val="32"/>
          <w:shd w:val="clear" w:fill="FFFFFF"/>
        </w:rPr>
        <w:t>4.结转结余情况。</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年度年末结转和结余</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万元，与上年一致。</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（二）财政拨款收入支出决算总体情况说明</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2022年度财政拨款收、支总计</w:t>
      </w:r>
      <w:r>
        <w:rPr>
          <w:rFonts w:hint="eastAsia" w:ascii="方正仿宋_GBK" w:hAnsi="方正仿宋_GBK" w:eastAsia="方正仿宋_GBK" w:cs="方正仿宋_GBK"/>
          <w:i w:val="0"/>
          <w:iCs w:val="0"/>
          <w:caps w:val="0"/>
          <w:color w:val="333333"/>
          <w:spacing w:val="0"/>
          <w:kern w:val="2"/>
          <w:sz w:val="32"/>
          <w:szCs w:val="32"/>
          <w:lang w:eastAsia="zh-CN"/>
        </w:rPr>
        <w:t>115.88</w:t>
      </w:r>
      <w:r>
        <w:rPr>
          <w:rFonts w:hint="eastAsia" w:ascii="方正仿宋_GBK" w:hAnsi="方正仿宋_GBK" w:eastAsia="方正仿宋_GBK" w:cs="方正仿宋_GBK"/>
          <w:i w:val="0"/>
          <w:iCs w:val="0"/>
          <w:caps w:val="0"/>
          <w:color w:val="333333"/>
          <w:spacing w:val="0"/>
          <w:kern w:val="2"/>
          <w:sz w:val="32"/>
          <w:szCs w:val="32"/>
          <w:lang w:val="en-US" w:eastAsia="zh-CN" w:bidi="ar"/>
        </w:rPr>
        <w:t>万元。与2021年相比，财政拨款收、支总计各增加</w:t>
      </w:r>
      <w:r>
        <w:rPr>
          <w:rFonts w:hint="eastAsia" w:ascii="方正仿宋_GBK" w:hAnsi="方正仿宋_GBK" w:eastAsia="方正仿宋_GBK" w:cs="方正仿宋_GBK"/>
          <w:i w:val="0"/>
          <w:iCs w:val="0"/>
          <w:caps w:val="0"/>
          <w:color w:val="333333"/>
          <w:spacing w:val="0"/>
          <w:kern w:val="2"/>
          <w:sz w:val="32"/>
          <w:szCs w:val="32"/>
          <w:lang w:eastAsia="zh-CN"/>
        </w:rPr>
        <w:t>115.88</w:t>
      </w:r>
      <w:r>
        <w:rPr>
          <w:rFonts w:hint="eastAsia" w:ascii="方正仿宋_GBK" w:hAnsi="方正仿宋_GBK" w:eastAsia="方正仿宋_GBK" w:cs="方正仿宋_GBK"/>
          <w:i w:val="0"/>
          <w:iCs w:val="0"/>
          <w:caps w:val="0"/>
          <w:color w:val="333333"/>
          <w:spacing w:val="0"/>
          <w:kern w:val="2"/>
          <w:sz w:val="32"/>
          <w:szCs w:val="32"/>
          <w:lang w:val="en-US" w:eastAsia="zh-CN" w:bidi="ar"/>
        </w:rPr>
        <w:t>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（三）一般公共预算财政拨款收入支出决算情况说明</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3" w:firstLineChars="200"/>
        <w:jc w:val="both"/>
        <w:textAlignment w:val="auto"/>
      </w:pPr>
      <w:r>
        <w:rPr>
          <w:rStyle w:val="15"/>
          <w:rFonts w:ascii="Calibri" w:hAnsi="Calibri" w:eastAsia="方正仿宋_GBK" w:cs="方正仿宋_GBK"/>
          <w:bCs w:val="0"/>
          <w:kern w:val="0"/>
          <w:sz w:val="32"/>
          <w:szCs w:val="32"/>
          <w:shd w:val="clear" w:fill="FFFFFF"/>
          <w:lang w:val="en-US" w:eastAsia="zh-CN" w:bidi="ar"/>
        </w:rPr>
        <w:t>1.收入情况。</w:t>
      </w:r>
      <w:r>
        <w:rPr>
          <w:rFonts w:hint="eastAsia" w:ascii="方正仿宋_GBK" w:hAnsi="方正仿宋_GBK" w:eastAsia="方正仿宋_GBK" w:cs="方正仿宋_GBK"/>
          <w:i w:val="0"/>
          <w:iCs w:val="0"/>
          <w:caps w:val="0"/>
          <w:color w:val="333333"/>
          <w:spacing w:val="0"/>
          <w:kern w:val="2"/>
          <w:sz w:val="32"/>
          <w:szCs w:val="32"/>
          <w:lang w:val="en-US" w:eastAsia="zh-CN" w:bidi="ar"/>
        </w:rPr>
        <w:t>2022年度一般公共预算财政拨款收入</w:t>
      </w:r>
      <w:r>
        <w:rPr>
          <w:rFonts w:hint="eastAsia" w:ascii="方正仿宋_GBK" w:hAnsi="方正仿宋_GBK" w:eastAsia="方正仿宋_GBK" w:cs="方正仿宋_GBK"/>
          <w:i w:val="0"/>
          <w:iCs w:val="0"/>
          <w:caps w:val="0"/>
          <w:color w:val="333333"/>
          <w:spacing w:val="0"/>
          <w:kern w:val="2"/>
          <w:sz w:val="32"/>
          <w:szCs w:val="32"/>
          <w:lang w:eastAsia="zh-CN"/>
        </w:rPr>
        <w:t>115.88</w:t>
      </w:r>
      <w:r>
        <w:rPr>
          <w:rFonts w:hint="eastAsia" w:ascii="方正仿宋_GBK" w:hAnsi="方正仿宋_GBK" w:eastAsia="方正仿宋_GBK" w:cs="方正仿宋_GBK"/>
          <w:i w:val="0"/>
          <w:iCs w:val="0"/>
          <w:caps w:val="0"/>
          <w:color w:val="333333"/>
          <w:spacing w:val="0"/>
          <w:kern w:val="2"/>
          <w:sz w:val="32"/>
          <w:szCs w:val="32"/>
          <w:lang w:val="en-US" w:eastAsia="zh-CN" w:bidi="ar"/>
        </w:rPr>
        <w:t>万元，较上年决算数增加</w:t>
      </w:r>
      <w:r>
        <w:rPr>
          <w:rFonts w:hint="eastAsia" w:ascii="方正仿宋_GBK" w:hAnsi="方正仿宋_GBK" w:eastAsia="方正仿宋_GBK" w:cs="方正仿宋_GBK"/>
          <w:i w:val="0"/>
          <w:iCs w:val="0"/>
          <w:caps w:val="0"/>
          <w:color w:val="333333"/>
          <w:spacing w:val="0"/>
          <w:kern w:val="2"/>
          <w:sz w:val="32"/>
          <w:szCs w:val="32"/>
          <w:lang w:eastAsia="zh-CN"/>
        </w:rPr>
        <w:t>115.88</w:t>
      </w:r>
      <w:r>
        <w:rPr>
          <w:rFonts w:hint="eastAsia" w:ascii="方正仿宋_GBK" w:hAnsi="方正仿宋_GBK" w:eastAsia="方正仿宋_GBK" w:cs="方正仿宋_GBK"/>
          <w:i w:val="0"/>
          <w:iCs w:val="0"/>
          <w:caps w:val="0"/>
          <w:color w:val="333333"/>
          <w:spacing w:val="0"/>
          <w:kern w:val="2"/>
          <w:sz w:val="32"/>
          <w:szCs w:val="32"/>
          <w:lang w:val="en-US" w:eastAsia="zh-CN" w:bidi="ar"/>
        </w:rPr>
        <w:t>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w:t>
      </w:r>
      <w:r>
        <w:rPr>
          <w:rFonts w:hint="default" w:ascii="方正仿宋_GBK" w:hAnsi="方正仿宋_GBK" w:eastAsia="方正仿宋_GBK" w:cs="方正仿宋_GBK"/>
          <w:i w:val="0"/>
          <w:iCs w:val="0"/>
          <w:caps w:val="0"/>
          <w:color w:val="333333"/>
          <w:spacing w:val="0"/>
          <w:kern w:val="2"/>
          <w:sz w:val="32"/>
          <w:szCs w:val="32"/>
          <w:lang w:val="en-US" w:eastAsia="zh-CN" w:bidi="ar"/>
        </w:rPr>
        <w:t>较年初预算数增加12.64万元，增长12.2%</w:t>
      </w:r>
      <w:r>
        <w:rPr>
          <w:rFonts w:hint="eastAsia" w:ascii="方正仿宋_GBK" w:hAnsi="方正仿宋_GBK" w:eastAsia="方正仿宋_GBK" w:cs="方正仿宋_GBK"/>
          <w:i w:val="0"/>
          <w:iCs w:val="0"/>
          <w:caps w:val="0"/>
          <w:color w:val="333333"/>
          <w:spacing w:val="0"/>
          <w:kern w:val="2"/>
          <w:sz w:val="32"/>
          <w:szCs w:val="32"/>
          <w:lang w:val="en-US" w:eastAsia="zh-CN" w:bidi="ar"/>
        </w:rPr>
        <w:t>。主要原因是项目支出增加。</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3" w:firstLineChars="200"/>
        <w:jc w:val="both"/>
        <w:textAlignment w:val="auto"/>
      </w:pPr>
      <w:r>
        <w:rPr>
          <w:rStyle w:val="15"/>
          <w:rFonts w:ascii="Calibri" w:hAnsi="Calibri" w:eastAsia="方正仿宋_GBK" w:cs="方正仿宋_GBK"/>
          <w:bCs w:val="0"/>
          <w:kern w:val="0"/>
          <w:sz w:val="32"/>
          <w:szCs w:val="32"/>
          <w:shd w:val="clear" w:fill="FFFFFF"/>
          <w:lang w:val="en-US" w:eastAsia="zh-CN" w:bidi="ar"/>
        </w:rPr>
        <w:t>2.支出情况。</w:t>
      </w:r>
      <w:r>
        <w:rPr>
          <w:rFonts w:hint="eastAsia" w:ascii="方正仿宋_GBK" w:hAnsi="方正仿宋_GBK" w:eastAsia="方正仿宋_GBK" w:cs="方正仿宋_GBK"/>
          <w:i w:val="0"/>
          <w:iCs w:val="0"/>
          <w:caps w:val="0"/>
          <w:color w:val="333333"/>
          <w:spacing w:val="0"/>
          <w:kern w:val="2"/>
          <w:sz w:val="32"/>
          <w:szCs w:val="32"/>
          <w:lang w:val="en-US" w:eastAsia="zh-CN" w:bidi="ar"/>
        </w:rPr>
        <w:t>2022年度一般公共预算财政拨款支出115.88万元，较上年决算数增加115.88万元，增长100.0%。主要原因是本单位在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w:t>
      </w:r>
      <w:r>
        <w:rPr>
          <w:rFonts w:hint="default" w:ascii="方正仿宋_GBK" w:hAnsi="方正仿宋_GBK" w:eastAsia="方正仿宋_GBK" w:cs="方正仿宋_GBK"/>
          <w:i w:val="0"/>
          <w:iCs w:val="0"/>
          <w:caps w:val="0"/>
          <w:color w:val="333333"/>
          <w:spacing w:val="0"/>
          <w:kern w:val="2"/>
          <w:sz w:val="32"/>
          <w:szCs w:val="32"/>
          <w:lang w:val="en-US" w:eastAsia="zh-CN" w:bidi="ar"/>
        </w:rPr>
        <w:t>较年初预算数增加12.64万元，增长12.2%</w:t>
      </w:r>
      <w:r>
        <w:rPr>
          <w:rFonts w:hint="eastAsia" w:ascii="方正仿宋_GBK" w:hAnsi="方正仿宋_GBK" w:eastAsia="方正仿宋_GBK" w:cs="方正仿宋_GBK"/>
          <w:i w:val="0"/>
          <w:iCs w:val="0"/>
          <w:caps w:val="0"/>
          <w:color w:val="333333"/>
          <w:spacing w:val="0"/>
          <w:kern w:val="2"/>
          <w:sz w:val="32"/>
          <w:szCs w:val="32"/>
          <w:lang w:val="en-US" w:eastAsia="zh-CN" w:bidi="ar"/>
        </w:rPr>
        <w:t>。主要原因是项目支出增加。</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Style w:val="15"/>
          <w:rFonts w:hint="default" w:ascii="Calibri" w:hAnsi="Calibri" w:eastAsia="方正仿宋_GBK" w:cs="方正仿宋_GBK"/>
          <w:b/>
          <w:bCs w:val="0"/>
          <w:sz w:val="32"/>
          <w:szCs w:val="32"/>
          <w:shd w:val="clear" w:fill="FFFFFF"/>
        </w:rPr>
        <w:t>3.</w:t>
      </w:r>
      <w:r>
        <w:rPr>
          <w:rStyle w:val="15"/>
          <w:rFonts w:hint="eastAsia" w:ascii="Calibri" w:hAnsi="Calibri" w:eastAsia="方正仿宋_GBK" w:cs="方正仿宋_GBK"/>
          <w:b/>
          <w:bCs w:val="0"/>
          <w:sz w:val="32"/>
          <w:szCs w:val="32"/>
          <w:shd w:val="clear" w:fill="FFFFFF"/>
        </w:rPr>
        <w:t>结转结余情况。</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年度年末一般公共预算财政拨款结转和结余</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万元，与上年决算数一致。</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3" w:firstLineChars="200"/>
        <w:jc w:val="both"/>
        <w:textAlignment w:val="auto"/>
      </w:pPr>
      <w:r>
        <w:rPr>
          <w:rStyle w:val="15"/>
          <w:rFonts w:hint="eastAsia" w:ascii="Calibri" w:hAnsi="Calibri" w:eastAsia="方正仿宋_GBK" w:cs="方正仿宋_GBK"/>
          <w:bCs w:val="0"/>
          <w:kern w:val="0"/>
          <w:sz w:val="32"/>
          <w:szCs w:val="32"/>
          <w:shd w:val="clear" w:fill="FFFFFF"/>
          <w:lang w:val="en-US" w:eastAsia="zh-CN" w:bidi="ar"/>
        </w:rPr>
        <w:t>4.比较情况。</w:t>
      </w:r>
      <w:r>
        <w:rPr>
          <w:rFonts w:hint="eastAsia" w:ascii="方正仿宋_GBK" w:hAnsi="方正仿宋_GBK" w:eastAsia="方正仿宋_GBK" w:cs="方正仿宋_GBK"/>
          <w:i w:val="0"/>
          <w:iCs w:val="0"/>
          <w:caps w:val="0"/>
          <w:color w:val="333333"/>
          <w:spacing w:val="0"/>
          <w:kern w:val="2"/>
          <w:sz w:val="32"/>
          <w:szCs w:val="32"/>
          <w:lang w:val="en-US" w:eastAsia="zh-CN" w:bidi="ar"/>
        </w:rPr>
        <w:t>本单位2022年度一般公共预算财政拨款支出主要用于以下几个方面：</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val="en-US" w:eastAsia="zh-CN"/>
        </w:rPr>
        <w:t>1</w:t>
      </w:r>
      <w:r>
        <w:rPr>
          <w:rFonts w:hint="eastAsia" w:ascii="方正仿宋_GBK" w:hAnsi="方正仿宋_GBK" w:eastAsia="方正仿宋_GBK" w:cs="方正仿宋_GBK"/>
          <w:i w:val="0"/>
          <w:iCs w:val="0"/>
          <w:caps w:val="0"/>
          <w:color w:val="333333"/>
          <w:spacing w:val="0"/>
          <w:kern w:val="2"/>
          <w:sz w:val="32"/>
          <w:szCs w:val="32"/>
        </w:rPr>
        <w:t>）社会保障与就业支出</w:t>
      </w:r>
      <w:r>
        <w:rPr>
          <w:rFonts w:hint="eastAsia" w:ascii="方正仿宋_GBK" w:hAnsi="方正仿宋_GBK" w:eastAsia="方正仿宋_GBK" w:cs="方正仿宋_GBK"/>
          <w:i w:val="0"/>
          <w:iCs w:val="0"/>
          <w:caps w:val="0"/>
          <w:color w:val="333333"/>
          <w:spacing w:val="0"/>
          <w:kern w:val="2"/>
          <w:sz w:val="32"/>
          <w:szCs w:val="32"/>
          <w:lang w:val="en-US" w:eastAsia="zh-CN"/>
        </w:rPr>
        <w:t>9.66</w:t>
      </w:r>
      <w:r>
        <w:rPr>
          <w:rFonts w:hint="eastAsia" w:ascii="方正仿宋_GBK" w:hAnsi="方正仿宋_GBK" w:eastAsia="方正仿宋_GBK" w:cs="方正仿宋_GBK"/>
          <w:i w:val="0"/>
          <w:iCs w:val="0"/>
          <w:caps w:val="0"/>
          <w:color w:val="333333"/>
          <w:spacing w:val="0"/>
          <w:kern w:val="2"/>
          <w:sz w:val="32"/>
          <w:szCs w:val="32"/>
        </w:rPr>
        <w:t>万元，占</w:t>
      </w:r>
      <w:r>
        <w:rPr>
          <w:rFonts w:hint="eastAsia" w:ascii="方正仿宋_GBK" w:hAnsi="方正仿宋_GBK" w:eastAsia="方正仿宋_GBK" w:cs="方正仿宋_GBK"/>
          <w:i w:val="0"/>
          <w:iCs w:val="0"/>
          <w:caps w:val="0"/>
          <w:color w:val="333333"/>
          <w:spacing w:val="0"/>
          <w:kern w:val="2"/>
          <w:sz w:val="32"/>
          <w:szCs w:val="32"/>
          <w:lang w:val="en-US" w:eastAsia="zh-CN"/>
        </w:rPr>
        <w:t>8.3</w:t>
      </w: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eastAsia="zh-CN"/>
        </w:rPr>
        <w:t>与年初预算数一致</w:t>
      </w:r>
      <w:r>
        <w:rPr>
          <w:rFonts w:hint="eastAsia" w:ascii="方正仿宋_GBK" w:hAnsi="方正仿宋_GBK" w:eastAsia="方正仿宋_GBK" w:cs="方正仿宋_GBK"/>
          <w:i w:val="0"/>
          <w:iCs w:val="0"/>
          <w:caps w:val="0"/>
          <w:color w:val="333333"/>
          <w:spacing w:val="0"/>
          <w:kern w:val="2"/>
          <w:sz w:val="32"/>
          <w:szCs w:val="32"/>
        </w:rPr>
        <w:t>。</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（2）卫生健康支出4.63万元，占4.0%，与年初预算数一致。</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val="en-US" w:eastAsia="zh-CN"/>
        </w:rPr>
        <w:t>3</w:t>
      </w:r>
      <w:r>
        <w:rPr>
          <w:rFonts w:hint="eastAsia" w:ascii="方正仿宋_GBK" w:hAnsi="方正仿宋_GBK" w:eastAsia="方正仿宋_GBK" w:cs="方正仿宋_GBK"/>
          <w:i w:val="0"/>
          <w:iCs w:val="0"/>
          <w:caps w:val="0"/>
          <w:color w:val="333333"/>
          <w:spacing w:val="0"/>
          <w:kern w:val="2"/>
          <w:sz w:val="32"/>
          <w:szCs w:val="32"/>
        </w:rPr>
        <w:t>）农林水支出96.76万元，占83.5%，较年初预算数增加12.65万元，增长15%，</w:t>
      </w:r>
      <w:r>
        <w:rPr>
          <w:rFonts w:hint="eastAsia" w:ascii="方正仿宋_GBK" w:hAnsi="方正仿宋_GBK" w:eastAsia="方正仿宋_GBK" w:cs="方正仿宋_GBK"/>
          <w:i w:val="0"/>
          <w:iCs w:val="0"/>
          <w:caps w:val="0"/>
          <w:color w:val="333333"/>
          <w:spacing w:val="0"/>
          <w:kern w:val="2"/>
          <w:sz w:val="32"/>
          <w:szCs w:val="32"/>
          <w:lang w:val="en-US" w:eastAsia="zh-CN" w:bidi="ar"/>
        </w:rPr>
        <w:t>主要原因是项目支出增加</w:t>
      </w:r>
      <w:r>
        <w:rPr>
          <w:rFonts w:hint="eastAsia" w:ascii="方正仿宋_GBK" w:hAnsi="方正仿宋_GBK" w:eastAsia="方正仿宋_GBK" w:cs="方正仿宋_GBK"/>
          <w:i w:val="0"/>
          <w:iCs w:val="0"/>
          <w:caps w:val="0"/>
          <w:color w:val="333333"/>
          <w:spacing w:val="0"/>
          <w:kern w:val="2"/>
          <w:sz w:val="32"/>
          <w:szCs w:val="32"/>
        </w:rPr>
        <w:t>。</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val="en-US" w:eastAsia="zh-CN"/>
        </w:rPr>
        <w:t>4</w:t>
      </w: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eastAsia="zh-CN"/>
        </w:rPr>
        <w:t>住房保障支出</w:t>
      </w:r>
      <w:r>
        <w:rPr>
          <w:rFonts w:hint="eastAsia" w:ascii="方正仿宋_GBK" w:hAnsi="方正仿宋_GBK" w:eastAsia="方正仿宋_GBK" w:cs="方正仿宋_GBK"/>
          <w:i w:val="0"/>
          <w:iCs w:val="0"/>
          <w:caps w:val="0"/>
          <w:color w:val="333333"/>
          <w:spacing w:val="0"/>
          <w:kern w:val="2"/>
          <w:sz w:val="32"/>
          <w:szCs w:val="32"/>
          <w:lang w:val="en-US" w:eastAsia="zh-CN"/>
        </w:rPr>
        <w:t>4.83</w:t>
      </w:r>
      <w:r>
        <w:rPr>
          <w:rFonts w:hint="eastAsia" w:ascii="方正仿宋_GBK" w:hAnsi="方正仿宋_GBK" w:eastAsia="方正仿宋_GBK" w:cs="方正仿宋_GBK"/>
          <w:i w:val="0"/>
          <w:iCs w:val="0"/>
          <w:caps w:val="0"/>
          <w:color w:val="333333"/>
          <w:spacing w:val="0"/>
          <w:kern w:val="2"/>
          <w:sz w:val="32"/>
          <w:szCs w:val="32"/>
          <w:lang w:eastAsia="zh-CN"/>
        </w:rPr>
        <w:t>万元，占4.</w:t>
      </w:r>
      <w:r>
        <w:rPr>
          <w:rFonts w:hint="eastAsia" w:ascii="方正仿宋_GBK" w:hAnsi="方正仿宋_GBK" w:eastAsia="方正仿宋_GBK" w:cs="方正仿宋_GBK"/>
          <w:i w:val="0"/>
          <w:iCs w:val="0"/>
          <w:caps w:val="0"/>
          <w:color w:val="333333"/>
          <w:spacing w:val="0"/>
          <w:kern w:val="2"/>
          <w:sz w:val="32"/>
          <w:szCs w:val="32"/>
          <w:lang w:val="en-US" w:eastAsia="zh-CN"/>
        </w:rPr>
        <w:t>2</w:t>
      </w:r>
      <w:r>
        <w:rPr>
          <w:rFonts w:hint="eastAsia" w:ascii="方正仿宋_GBK" w:hAnsi="方正仿宋_GBK" w:eastAsia="方正仿宋_GBK" w:cs="方正仿宋_GBK"/>
          <w:i w:val="0"/>
          <w:iCs w:val="0"/>
          <w:caps w:val="0"/>
          <w:color w:val="333333"/>
          <w:spacing w:val="0"/>
          <w:kern w:val="2"/>
          <w:sz w:val="32"/>
          <w:szCs w:val="32"/>
          <w:lang w:eastAsia="zh-CN"/>
        </w:rPr>
        <w:t>%，与年初预算数一致</w:t>
      </w:r>
      <w:r>
        <w:rPr>
          <w:rFonts w:hint="eastAsia" w:ascii="方正仿宋_GBK" w:hAnsi="方正仿宋_GBK" w:eastAsia="方正仿宋_GBK" w:cs="方正仿宋_GBK"/>
          <w:i w:val="0"/>
          <w:iCs w:val="0"/>
          <w:caps w:val="0"/>
          <w:color w:val="333333"/>
          <w:spacing w:val="0"/>
          <w:kern w:val="2"/>
          <w:sz w:val="32"/>
          <w:szCs w:val="32"/>
        </w:rPr>
        <w:t>。</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（四）一般公共预算财政拨款基本支出决算情况说明</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atLeast"/>
        <w:ind w:left="0" w:leftChars="0" w:right="0" w:rightChars="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2022年度一般公共预算财政拨款基本支出105.88万元。其中：人员经费91.71万元，较上年决算数增加91.71万元，增长100.0%，主要原因是本单位在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年开始独立填报决算，无上年决算数据。人员经费用途主要包括人员工资、社保、公积金等。公用经费14.17万元，较上年决算数增加14.17万元，增长100.0%，主要原因是本单位在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年开始独立填报决算，无上年决算数据。公用经费用途主要包括机关水、电、气、日常办公费、印刷费、办公费、等日常公用开支。</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（五）政府性基金预算收支决算情况说明。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w:t>
      </w: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年度无政府性基金预算财政拨款收支。</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5"/>
          <w:rFonts w:hint="eastAsia" w:ascii="方正楷体_GBK" w:hAnsi="方正楷体_GBK" w:eastAsia="方正楷体_GBK" w:cs="方正楷体_GBK"/>
          <w:b/>
          <w:bCs w:val="0"/>
          <w:sz w:val="32"/>
          <w:szCs w:val="32"/>
          <w:shd w:val="clear" w:fill="FFFFFF"/>
        </w:rPr>
        <w:t>（六）国有资本经营预算财政拨款支出决算情况说明。</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w:t>
      </w: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年度无国有资本经营预算财政拨款支出。</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right="0"/>
        <w:jc w:val="both"/>
        <w:textAlignment w:val="auto"/>
        <w:rPr>
          <w:rFonts w:hint="eastAsia" w:ascii="方正黑体_GBK" w:hAnsi="方正黑体_GBK" w:eastAsia="方正黑体_GBK" w:cs="方正黑体_GBK"/>
          <w:i w:val="0"/>
          <w:iCs w:val="0"/>
          <w:caps w:val="0"/>
          <w:spacing w:val="0"/>
          <w:kern w:val="2"/>
          <w:sz w:val="32"/>
          <w:szCs w:val="32"/>
        </w:rPr>
      </w:pPr>
      <w:r>
        <w:rPr>
          <w:rFonts w:hint="eastAsia" w:ascii="方正黑体_GBK" w:hAnsi="方正黑体_GBK" w:eastAsia="方正黑体_GBK" w:cs="方正黑体_GBK"/>
          <w:i w:val="0"/>
          <w:iCs w:val="0"/>
          <w:caps w:val="0"/>
          <w:spacing w:val="0"/>
          <w:kern w:val="2"/>
          <w:sz w:val="32"/>
          <w:szCs w:val="32"/>
        </w:rPr>
        <w:t>三、“三公”经费情况说明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（一）“三公”经费支出总体情况说明</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2022年度“三公”经费支出共计0.25万元，与年初预算数一致，主要原因是严格执行预算。较上年支出数增加0.25万元，增长100.0%，主要原因是本单位在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（二）“三公”经费分项支出情况</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年度本单位无因公出国（境）费用，公务车购置费，公务车运行维护费支出。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公务接待费0.25万元，主要用于接待上级部门检查用餐。费用支出与年初预算一致，主要原因是严格执行预算，控制接待标准。较上年支出数增加</w:t>
      </w:r>
      <w:r>
        <w:rPr>
          <w:rFonts w:hint="default" w:ascii="方正仿宋_GBK" w:hAnsi="方正仿宋_GBK" w:eastAsia="方正仿宋_GBK" w:cs="方正仿宋_GBK"/>
          <w:i w:val="0"/>
          <w:iCs w:val="0"/>
          <w:caps w:val="0"/>
          <w:color w:val="333333"/>
          <w:spacing w:val="0"/>
          <w:kern w:val="2"/>
          <w:sz w:val="32"/>
          <w:szCs w:val="32"/>
          <w:lang w:val="en-US" w:eastAsia="zh-CN" w:bidi="ar"/>
        </w:rPr>
        <w:t>0.</w:t>
      </w:r>
      <w:r>
        <w:rPr>
          <w:rFonts w:hint="eastAsia" w:ascii="方正仿宋_GBK" w:hAnsi="方正仿宋_GBK" w:eastAsia="方正仿宋_GBK" w:cs="方正仿宋_GBK"/>
          <w:i w:val="0"/>
          <w:iCs w:val="0"/>
          <w:caps w:val="0"/>
          <w:color w:val="333333"/>
          <w:spacing w:val="0"/>
          <w:kern w:val="2"/>
          <w:sz w:val="32"/>
          <w:szCs w:val="32"/>
          <w:lang w:val="en-US" w:eastAsia="zh-CN" w:bidi="ar"/>
        </w:rPr>
        <w:t>2</w:t>
      </w:r>
      <w:r>
        <w:rPr>
          <w:rFonts w:hint="default" w:ascii="方正仿宋_GBK" w:hAnsi="方正仿宋_GBK" w:eastAsia="方正仿宋_GBK" w:cs="方正仿宋_GBK"/>
          <w:i w:val="0"/>
          <w:iCs w:val="0"/>
          <w:caps w:val="0"/>
          <w:color w:val="333333"/>
          <w:spacing w:val="0"/>
          <w:kern w:val="2"/>
          <w:sz w:val="32"/>
          <w:szCs w:val="32"/>
          <w:lang w:val="en-US" w:eastAsia="zh-CN" w:bidi="ar"/>
        </w:rPr>
        <w:t>5</w:t>
      </w:r>
      <w:r>
        <w:rPr>
          <w:rFonts w:hint="eastAsia" w:ascii="方正仿宋_GBK" w:hAnsi="方正仿宋_GBK" w:eastAsia="方正仿宋_GBK" w:cs="方正仿宋_GBK"/>
          <w:i w:val="0"/>
          <w:iCs w:val="0"/>
          <w:caps w:val="0"/>
          <w:color w:val="333333"/>
          <w:spacing w:val="0"/>
          <w:kern w:val="2"/>
          <w:sz w:val="32"/>
          <w:szCs w:val="32"/>
          <w:lang w:val="en-US" w:eastAsia="zh-CN" w:bidi="ar"/>
        </w:rPr>
        <w:t>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（三）“三公”经费实物量情况</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left"/>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2022年度本部门因公出国（境）共计0个团组，0人；公务用车购置0辆，公务车保有量为0辆；国内公务接待5批次30人，其中：国内外事接待0批次，0人；国（境）外公务接待0批次，0人。2022年本部门人均接待费83.33元，车均购置费0万元，车均维护费0万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right="0"/>
        <w:jc w:val="both"/>
        <w:textAlignment w:val="auto"/>
        <w:rPr>
          <w:rFonts w:hint="eastAsia" w:ascii="方正黑体_GBK" w:hAnsi="方正黑体_GBK" w:eastAsia="方正黑体_GBK" w:cs="方正黑体_GBK"/>
          <w:i w:val="0"/>
          <w:iCs w:val="0"/>
          <w:caps w:val="0"/>
          <w:spacing w:val="0"/>
          <w:kern w:val="2"/>
          <w:sz w:val="32"/>
          <w:szCs w:val="32"/>
        </w:rPr>
      </w:pPr>
      <w:r>
        <w:rPr>
          <w:rFonts w:hint="eastAsia" w:ascii="方正黑体_GBK" w:hAnsi="方正黑体_GBK" w:eastAsia="方正黑体_GBK" w:cs="方正黑体_GBK"/>
          <w:i w:val="0"/>
          <w:iCs w:val="0"/>
          <w:caps w:val="0"/>
          <w:spacing w:val="0"/>
          <w:kern w:val="2"/>
          <w:sz w:val="32"/>
          <w:szCs w:val="32"/>
        </w:rPr>
        <w:t>四、其他需要说明的事项</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（一）财政拨款会议费和培训费情况说明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default"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本年度会议费支出</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万元，较上年决算数增加</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万元，增长</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年开始独立填报决算，无上年决算数据。本年度培训费支出</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lang w:val="en-US" w:eastAsia="zh-CN"/>
        </w:rPr>
        <w:t>29</w:t>
      </w:r>
      <w:r>
        <w:rPr>
          <w:rFonts w:hint="eastAsia" w:ascii="方正仿宋_GBK" w:hAnsi="方正仿宋_GBK" w:eastAsia="方正仿宋_GBK" w:cs="方正仿宋_GBK"/>
          <w:i w:val="0"/>
          <w:iCs w:val="0"/>
          <w:caps w:val="0"/>
          <w:color w:val="333333"/>
          <w:spacing w:val="0"/>
          <w:kern w:val="2"/>
          <w:sz w:val="32"/>
          <w:szCs w:val="32"/>
        </w:rPr>
        <w:t>万元，较上年决算数增加</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lang w:val="en-US" w:eastAsia="zh-CN"/>
        </w:rPr>
        <w:t>29</w:t>
      </w:r>
      <w:r>
        <w:rPr>
          <w:rFonts w:hint="eastAsia" w:ascii="方正仿宋_GBK" w:hAnsi="方正仿宋_GBK" w:eastAsia="方正仿宋_GBK" w:cs="方正仿宋_GBK"/>
          <w:i w:val="0"/>
          <w:iCs w:val="0"/>
          <w:caps w:val="0"/>
          <w:color w:val="333333"/>
          <w:spacing w:val="0"/>
          <w:kern w:val="2"/>
          <w:sz w:val="32"/>
          <w:szCs w:val="32"/>
        </w:rPr>
        <w:t>万元，增长</w:t>
      </w:r>
      <w:r>
        <w:rPr>
          <w:rFonts w:hint="eastAsia" w:ascii="方正仿宋_GBK" w:hAnsi="方正仿宋_GBK" w:eastAsia="方正仿宋_GBK" w:cs="方正仿宋_GBK"/>
          <w:i w:val="0"/>
          <w:iCs w:val="0"/>
          <w:caps w:val="0"/>
          <w:color w:val="333333"/>
          <w:spacing w:val="0"/>
          <w:kern w:val="2"/>
          <w:sz w:val="32"/>
          <w:szCs w:val="32"/>
          <w:lang w:eastAsia="zh-CN"/>
        </w:rPr>
        <w:t>100.0%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（二）机关运行经费支出情况说明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按照单位决算列报口径，我单位不在机关运行经费统计范围之内。</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5"/>
          <w:rFonts w:hint="eastAsia" w:ascii="方正楷体_GBK" w:hAnsi="方正楷体_GBK" w:eastAsia="方正楷体_GBK" w:cs="方正楷体_GBK"/>
          <w:b/>
          <w:bCs w:val="0"/>
          <w:sz w:val="32"/>
          <w:szCs w:val="32"/>
          <w:shd w:val="clear" w:fill="FFFFFF"/>
        </w:rPr>
        <w:t>（三）国有资产占用情况说明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截至</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w:t>
      </w:r>
      <w:r>
        <w:rPr>
          <w:rFonts w:hint="default" w:ascii="方正仿宋_GBK" w:hAnsi="方正仿宋_GBK" w:eastAsia="方正仿宋_GBK" w:cs="方正仿宋_GBK"/>
          <w:i w:val="0"/>
          <w:iCs w:val="0"/>
          <w:caps w:val="0"/>
          <w:color w:val="333333"/>
          <w:spacing w:val="0"/>
          <w:kern w:val="2"/>
          <w:sz w:val="32"/>
          <w:szCs w:val="32"/>
        </w:rPr>
        <w:t>12</w:t>
      </w:r>
      <w:r>
        <w:rPr>
          <w:rFonts w:hint="eastAsia" w:ascii="方正仿宋_GBK" w:hAnsi="方正仿宋_GBK" w:eastAsia="方正仿宋_GBK" w:cs="方正仿宋_GBK"/>
          <w:i w:val="0"/>
          <w:iCs w:val="0"/>
          <w:caps w:val="0"/>
          <w:color w:val="333333"/>
          <w:spacing w:val="0"/>
          <w:kern w:val="2"/>
          <w:sz w:val="32"/>
          <w:szCs w:val="32"/>
        </w:rPr>
        <w:t>月</w:t>
      </w:r>
      <w:r>
        <w:rPr>
          <w:rFonts w:hint="default" w:ascii="方正仿宋_GBK" w:hAnsi="方正仿宋_GBK" w:eastAsia="方正仿宋_GBK" w:cs="方正仿宋_GBK"/>
          <w:i w:val="0"/>
          <w:iCs w:val="0"/>
          <w:caps w:val="0"/>
          <w:color w:val="333333"/>
          <w:spacing w:val="0"/>
          <w:kern w:val="2"/>
          <w:sz w:val="32"/>
          <w:szCs w:val="32"/>
        </w:rPr>
        <w:t>31</w:t>
      </w:r>
      <w:r>
        <w:rPr>
          <w:rFonts w:hint="eastAsia" w:ascii="方正仿宋_GBK" w:hAnsi="方正仿宋_GBK" w:eastAsia="方正仿宋_GBK" w:cs="方正仿宋_GBK"/>
          <w:i w:val="0"/>
          <w:iCs w:val="0"/>
          <w:caps w:val="0"/>
          <w:color w:val="333333"/>
          <w:spacing w:val="0"/>
          <w:kern w:val="2"/>
          <w:sz w:val="32"/>
          <w:szCs w:val="32"/>
        </w:rPr>
        <w:t>日，本单位共有车辆</w:t>
      </w:r>
      <w:r>
        <w:rPr>
          <w:rFonts w:hint="eastAsia" w:ascii="方正仿宋_GBK" w:hAnsi="方正仿宋_GBK" w:eastAsia="方正仿宋_GBK" w:cs="方正仿宋_GBK"/>
          <w:i w:val="0"/>
          <w:iCs w:val="0"/>
          <w:caps w:val="0"/>
          <w:color w:val="333333"/>
          <w:spacing w:val="0"/>
          <w:kern w:val="2"/>
          <w:sz w:val="32"/>
          <w:szCs w:val="32"/>
          <w:lang w:val="en-US" w:eastAsia="zh-CN"/>
        </w:rPr>
        <w:t>0</w:t>
      </w:r>
      <w:r>
        <w:rPr>
          <w:rFonts w:hint="eastAsia" w:ascii="方正仿宋_GBK" w:hAnsi="方正仿宋_GBK" w:eastAsia="方正仿宋_GBK" w:cs="方正仿宋_GBK"/>
          <w:i w:val="0"/>
          <w:iCs w:val="0"/>
          <w:caps w:val="0"/>
          <w:color w:val="333333"/>
          <w:spacing w:val="0"/>
          <w:kern w:val="2"/>
          <w:sz w:val="32"/>
          <w:szCs w:val="32"/>
        </w:rPr>
        <w:t>辆，其中，副部（省）级及以上领导用车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辆、主要领导干部用车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辆、机要通信用车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辆、应急保障用车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辆、执法执勤用车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辆，特种专业技术用车</w:t>
      </w:r>
      <w:r>
        <w:rPr>
          <w:rFonts w:hint="eastAsia" w:ascii="方正仿宋_GBK" w:hAnsi="方正仿宋_GBK" w:eastAsia="方正仿宋_GBK" w:cs="方正仿宋_GBK"/>
          <w:i w:val="0"/>
          <w:iCs w:val="0"/>
          <w:caps w:val="0"/>
          <w:color w:val="333333"/>
          <w:spacing w:val="0"/>
          <w:kern w:val="2"/>
          <w:sz w:val="32"/>
          <w:szCs w:val="32"/>
          <w:lang w:val="en-US" w:eastAsia="zh-CN"/>
        </w:rPr>
        <w:t>0</w:t>
      </w:r>
      <w:r>
        <w:rPr>
          <w:rFonts w:hint="eastAsia" w:ascii="方正仿宋_GBK" w:hAnsi="方正仿宋_GBK" w:eastAsia="方正仿宋_GBK" w:cs="方正仿宋_GBK"/>
          <w:i w:val="0"/>
          <w:iCs w:val="0"/>
          <w:caps w:val="0"/>
          <w:color w:val="333333"/>
          <w:spacing w:val="0"/>
          <w:kern w:val="2"/>
          <w:sz w:val="32"/>
          <w:szCs w:val="32"/>
        </w:rPr>
        <w:t>辆，离退休干部用车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辆，其他用车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辆。单价</w:t>
      </w:r>
      <w:r>
        <w:rPr>
          <w:rFonts w:hint="default" w:ascii="方正仿宋_GBK" w:hAnsi="方正仿宋_GBK" w:eastAsia="方正仿宋_GBK" w:cs="方正仿宋_GBK"/>
          <w:i w:val="0"/>
          <w:iCs w:val="0"/>
          <w:caps w:val="0"/>
          <w:color w:val="333333"/>
          <w:spacing w:val="0"/>
          <w:kern w:val="2"/>
          <w:sz w:val="32"/>
          <w:szCs w:val="32"/>
        </w:rPr>
        <w:t>100</w:t>
      </w:r>
      <w:r>
        <w:rPr>
          <w:rFonts w:hint="eastAsia" w:ascii="方正仿宋_GBK" w:hAnsi="方正仿宋_GBK" w:eastAsia="方正仿宋_GBK" w:cs="方正仿宋_GBK"/>
          <w:i w:val="0"/>
          <w:iCs w:val="0"/>
          <w:caps w:val="0"/>
          <w:color w:val="333333"/>
          <w:spacing w:val="0"/>
          <w:kern w:val="2"/>
          <w:sz w:val="32"/>
          <w:szCs w:val="32"/>
        </w:rPr>
        <w:t>万元（含）以上设备（不含车辆）</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台（套）。</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5"/>
          <w:rFonts w:hint="eastAsia" w:ascii="方正楷体_GBK" w:hAnsi="方正楷体_GBK" w:eastAsia="方正楷体_GBK" w:cs="方正楷体_GBK"/>
          <w:b/>
          <w:bCs w:val="0"/>
          <w:sz w:val="32"/>
          <w:szCs w:val="32"/>
          <w:shd w:val="clear" w:fill="FFFFFF"/>
        </w:rPr>
        <w:t>（四）政府采购支出说明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eastAsia="zh-CN"/>
        </w:rPr>
      </w:pPr>
      <w:r>
        <w:rPr>
          <w:rFonts w:hint="eastAsia" w:ascii="方正仿宋_GBK" w:hAnsi="方正仿宋_GBK" w:eastAsia="方正仿宋_GBK" w:cs="方正仿宋_GBK"/>
          <w:i w:val="0"/>
          <w:iCs w:val="0"/>
          <w:caps w:val="0"/>
          <w:color w:val="333333"/>
          <w:spacing w:val="0"/>
          <w:kern w:val="2"/>
          <w:sz w:val="32"/>
          <w:szCs w:val="32"/>
        </w:rPr>
        <w:t>2022年度我单位未发生政府采购事项，无相关经费支出。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黑体_GBK" w:hAnsi="方正黑体_GBK" w:eastAsia="方正黑体_GBK" w:cs="方正黑体_GBK"/>
          <w:b/>
          <w:bCs w:val="0"/>
          <w:sz w:val="32"/>
          <w:szCs w:val="32"/>
          <w:shd w:val="clear" w:fill="FFFFFF"/>
        </w:rPr>
      </w:pPr>
      <w:r>
        <w:rPr>
          <w:rStyle w:val="15"/>
          <w:rFonts w:hint="eastAsia" w:ascii="方正黑体_GBK" w:hAnsi="方正黑体_GBK" w:eastAsia="方正黑体_GBK" w:cs="方正黑体_GBK"/>
          <w:b/>
          <w:bCs w:val="0"/>
          <w:sz w:val="32"/>
          <w:szCs w:val="32"/>
          <w:shd w:val="clear" w:fill="FFFFFF"/>
          <w:lang w:eastAsia="zh-CN"/>
        </w:rPr>
        <w:t>五、</w:t>
      </w:r>
      <w:r>
        <w:rPr>
          <w:rStyle w:val="15"/>
          <w:rFonts w:hint="eastAsia" w:ascii="方正黑体_GBK" w:hAnsi="方正黑体_GBK" w:eastAsia="方正黑体_GBK" w:cs="方正黑体_GBK"/>
          <w:b/>
          <w:bCs w:val="0"/>
          <w:sz w:val="32"/>
          <w:szCs w:val="32"/>
          <w:shd w:val="clear" w:fill="FFFFFF"/>
        </w:rPr>
        <w:t>预算绩效管理情况说明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（一）预算绩效管理工作开展情况</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根据预算绩效管理要求，我单位对</w:t>
      </w:r>
      <w:r>
        <w:rPr>
          <w:rFonts w:hint="eastAsia" w:ascii="方正仿宋_GBK" w:hAnsi="方正仿宋_GBK" w:eastAsia="方正仿宋_GBK" w:cs="方正仿宋_GBK"/>
          <w:i w:val="0"/>
          <w:iCs w:val="0"/>
          <w:caps w:val="0"/>
          <w:color w:val="333333"/>
          <w:spacing w:val="0"/>
          <w:kern w:val="2"/>
          <w:sz w:val="32"/>
          <w:szCs w:val="32"/>
          <w:lang w:val="en-US" w:eastAsia="zh-CN"/>
        </w:rPr>
        <w:t>1</w:t>
      </w:r>
      <w:r>
        <w:rPr>
          <w:rFonts w:hint="eastAsia" w:ascii="方正仿宋_GBK" w:hAnsi="方正仿宋_GBK" w:eastAsia="方正仿宋_GBK" w:cs="方正仿宋_GBK"/>
          <w:i w:val="0"/>
          <w:iCs w:val="0"/>
          <w:caps w:val="0"/>
          <w:color w:val="333333"/>
          <w:spacing w:val="0"/>
          <w:kern w:val="2"/>
          <w:sz w:val="32"/>
          <w:szCs w:val="32"/>
        </w:rPr>
        <w:t>个项目开展了绩效自评，其中，以填报自评表形式开展自评</w:t>
      </w:r>
      <w:r>
        <w:rPr>
          <w:rFonts w:hint="eastAsia" w:ascii="方正仿宋_GBK" w:hAnsi="方正仿宋_GBK" w:eastAsia="方正仿宋_GBK" w:cs="方正仿宋_GBK"/>
          <w:i w:val="0"/>
          <w:iCs w:val="0"/>
          <w:caps w:val="0"/>
          <w:color w:val="333333"/>
          <w:spacing w:val="0"/>
          <w:kern w:val="2"/>
          <w:sz w:val="32"/>
          <w:szCs w:val="32"/>
          <w:lang w:val="en-US" w:eastAsia="zh-CN"/>
        </w:rPr>
        <w:t>1</w:t>
      </w:r>
      <w:r>
        <w:rPr>
          <w:rFonts w:hint="eastAsia" w:ascii="方正仿宋_GBK" w:hAnsi="方正仿宋_GBK" w:eastAsia="方正仿宋_GBK" w:cs="方正仿宋_GBK"/>
          <w:i w:val="0"/>
          <w:iCs w:val="0"/>
          <w:caps w:val="0"/>
          <w:color w:val="333333"/>
          <w:spacing w:val="0"/>
          <w:kern w:val="2"/>
          <w:sz w:val="32"/>
          <w:szCs w:val="32"/>
        </w:rPr>
        <w:t>项，涉及资金</w:t>
      </w:r>
      <w:r>
        <w:rPr>
          <w:rFonts w:hint="eastAsia" w:ascii="方正仿宋_GBK" w:hAnsi="方正仿宋_GBK" w:eastAsia="方正仿宋_GBK" w:cs="方正仿宋_GBK"/>
          <w:i w:val="0"/>
          <w:iCs w:val="0"/>
          <w:caps w:val="0"/>
          <w:color w:val="333333"/>
          <w:spacing w:val="0"/>
          <w:kern w:val="2"/>
          <w:sz w:val="32"/>
          <w:szCs w:val="32"/>
          <w:lang w:val="en-US" w:eastAsia="zh-CN"/>
        </w:rPr>
        <w:t>10</w:t>
      </w:r>
      <w:r>
        <w:rPr>
          <w:rFonts w:hint="eastAsia" w:ascii="方正仿宋_GBK" w:hAnsi="方正仿宋_GBK" w:eastAsia="方正仿宋_GBK" w:cs="方正仿宋_GBK"/>
          <w:i w:val="0"/>
          <w:iCs w:val="0"/>
          <w:caps w:val="0"/>
          <w:color w:val="333333"/>
          <w:spacing w:val="0"/>
          <w:kern w:val="2"/>
          <w:sz w:val="32"/>
          <w:szCs w:val="32"/>
        </w:rPr>
        <w:t>万元；以委托第三方出具报告的方式开展绩效评价</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项，涉及资金</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（二）绩效自评结果。</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default" w:ascii="Calibri" w:hAnsi="Calibri" w:eastAsia="方正仿宋_GBK" w:cs="Calibri"/>
          <w:b/>
          <w:bCs w:val="0"/>
          <w:kern w:val="0"/>
          <w:sz w:val="32"/>
          <w:szCs w:val="32"/>
          <w:shd w:val="clear" w:fill="FFFFFF"/>
        </w:rPr>
      </w:pPr>
      <w:r>
        <w:rPr>
          <w:rStyle w:val="15"/>
          <w:rFonts w:hint="default" w:ascii="Calibri" w:hAnsi="Calibri" w:eastAsia="方正仿宋_GBK" w:cs="Calibri"/>
          <w:b/>
          <w:bCs w:val="0"/>
          <w:kern w:val="0"/>
          <w:sz w:val="32"/>
          <w:szCs w:val="32"/>
          <w:shd w:val="clear" w:fill="FFFFFF"/>
        </w:rPr>
        <w:t>1.绩效目标自评表。</w:t>
      </w:r>
    </w:p>
    <w:p>
      <w:pPr>
        <w:pStyle w:val="17"/>
        <w:keepNext w:val="0"/>
        <w:keepLines w:val="0"/>
        <w:pageBreakBefore w:val="0"/>
        <w:widowControl/>
        <w:suppressLineNumbers w:val="0"/>
        <w:kinsoku/>
        <w:wordWrap/>
        <w:overflowPunct/>
        <w:topLinePunct w:val="0"/>
        <w:autoSpaceDN/>
        <w:bidi w:val="0"/>
        <w:adjustRightInd/>
        <w:snapToGrid/>
        <w:spacing w:afterAutospacing="0" w:line="600" w:lineRule="atLeast"/>
        <w:ind w:left="0" w:firstLine="0" w:firstLineChars="0"/>
        <w:jc w:val="center"/>
        <w:textAlignment w:val="auto"/>
        <w:rPr>
          <w:rStyle w:val="13"/>
          <w:rFonts w:hint="eastAsia"/>
          <w:shd w:val="clear" w:fill="FFFFFF"/>
          <w:lang w:val="en-US" w:eastAsia="zh-CN"/>
        </w:rPr>
      </w:pPr>
      <w:r>
        <w:rPr>
          <w:rFonts w:hint="eastAsia" w:ascii="方正小标宋_GBK" w:hAnsi="方正小标宋_GBK" w:eastAsia="方正小标宋_GBK" w:cs="方正小标宋_GBK"/>
          <w:color w:val="000000"/>
          <w:kern w:val="0"/>
          <w:sz w:val="30"/>
          <w:szCs w:val="30"/>
        </w:rPr>
        <w:t>二级项目绩效自评表</w:t>
      </w:r>
    </w:p>
    <w:tbl>
      <w:tblPr>
        <w:tblStyle w:val="11"/>
        <w:tblW w:w="89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7"/>
        <w:gridCol w:w="400"/>
        <w:gridCol w:w="824"/>
        <w:gridCol w:w="1538"/>
        <w:gridCol w:w="413"/>
        <w:gridCol w:w="152"/>
        <w:gridCol w:w="1443"/>
        <w:gridCol w:w="1240"/>
        <w:gridCol w:w="152"/>
        <w:gridCol w:w="571"/>
        <w:gridCol w:w="152"/>
        <w:gridCol w:w="668"/>
        <w:gridCol w:w="152"/>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项目名称</w:t>
            </w:r>
          </w:p>
        </w:tc>
        <w:tc>
          <w:tcPr>
            <w:tcW w:w="276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8"/>
                <w:kern w:val="0"/>
                <w:sz w:val="24"/>
                <w:szCs w:val="24"/>
              </w:rPr>
            </w:pPr>
            <w:r>
              <w:rPr>
                <w:rFonts w:hint="eastAsia" w:ascii="方正仿宋_GBK" w:hAnsi="方正仿宋_GBK" w:eastAsia="方正仿宋_GBK" w:cs="方正仿宋_GBK"/>
                <w:i w:val="0"/>
                <w:color w:val="000008"/>
                <w:kern w:val="0"/>
                <w:sz w:val="24"/>
                <w:szCs w:val="24"/>
              </w:rPr>
              <w:t>乡村振兴发展专项</w:t>
            </w:r>
            <w:r>
              <w:rPr>
                <w:rFonts w:hint="eastAsia" w:ascii="方正仿宋_GBK" w:hAnsi="方正仿宋_GBK" w:eastAsia="方正仿宋_GBK" w:cs="方正仿宋_GBK"/>
                <w:i w:val="0"/>
                <w:color w:val="000008"/>
                <w:kern w:val="0"/>
                <w:sz w:val="24"/>
                <w:szCs w:val="24"/>
              </w:rPr>
              <w:tab/>
            </w:r>
          </w:p>
        </w:tc>
        <w:tc>
          <w:tcPr>
            <w:tcW w:w="565"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实施单位</w:t>
            </w:r>
          </w:p>
        </w:tc>
        <w:tc>
          <w:tcPr>
            <w:tcW w:w="355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lang w:eastAsia="zh-CN"/>
              </w:rPr>
            </w:pPr>
            <w:r>
              <w:rPr>
                <w:rFonts w:hint="eastAsia" w:ascii="方正仿宋_GBK" w:hAnsi="方正仿宋_GBK" w:eastAsia="方正仿宋_GBK" w:cs="方正仿宋_GBK"/>
                <w:i w:val="0"/>
                <w:color w:val="000000"/>
                <w:kern w:val="0"/>
                <w:sz w:val="24"/>
                <w:szCs w:val="24"/>
              </w:rPr>
              <w:t>万盛经开区</w:t>
            </w:r>
            <w:r>
              <w:rPr>
                <w:rFonts w:hint="eastAsia" w:ascii="方正仿宋_GBK" w:hAnsi="方正仿宋_GBK" w:eastAsia="方正仿宋_GBK" w:cs="方正仿宋_GBK"/>
                <w:i w:val="0"/>
                <w:color w:val="000000"/>
                <w:kern w:val="0"/>
                <w:sz w:val="24"/>
                <w:szCs w:val="24"/>
                <w:lang w:eastAsia="zh-CN"/>
              </w:rPr>
              <w:t>农产品质量安全与市场管理中心</w:t>
            </w:r>
          </w:p>
        </w:tc>
        <w:tc>
          <w:tcPr>
            <w:tcW w:w="82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自评总分</w:t>
            </w:r>
          </w:p>
        </w:tc>
        <w:tc>
          <w:tcPr>
            <w:tcW w:w="7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黑体_GBK" w:hAnsi="方正黑体_GBK" w:eastAsia="方正黑体_GBK" w:cs="方正黑体_GBK"/>
                <w:i w:val="0"/>
                <w:color w:val="000000"/>
                <w:kern w:val="0"/>
                <w:sz w:val="24"/>
                <w:szCs w:val="24"/>
                <w:lang w:val="en-US" w:eastAsia="zh-CN"/>
              </w:rPr>
            </w:pPr>
            <w:r>
              <w:rPr>
                <w:rFonts w:hint="eastAsia" w:ascii="方正黑体_GBK" w:hAnsi="方正黑体_GBK" w:eastAsia="方正黑体_GBK" w:cs="方正黑体_GBK"/>
                <w:i w:val="0"/>
                <w:color w:val="000000"/>
                <w:kern w:val="0"/>
                <w:sz w:val="24"/>
                <w:szCs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主管部门</w:t>
            </w:r>
          </w:p>
        </w:tc>
        <w:tc>
          <w:tcPr>
            <w:tcW w:w="276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万盛经开区农林局</w:t>
            </w:r>
          </w:p>
        </w:tc>
        <w:tc>
          <w:tcPr>
            <w:tcW w:w="565"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联系人</w:t>
            </w:r>
          </w:p>
        </w:tc>
        <w:tc>
          <w:tcPr>
            <w:tcW w:w="2835" w:type="dxa"/>
            <w:gridSpan w:val="3"/>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lang w:eastAsia="zh-CN"/>
              </w:rPr>
            </w:pPr>
            <w:r>
              <w:rPr>
                <w:rFonts w:hint="eastAsia" w:ascii="方正仿宋_GBK" w:hAnsi="方正仿宋_GBK" w:eastAsia="方正仿宋_GBK" w:cs="方正仿宋_GBK"/>
                <w:i w:val="0"/>
                <w:color w:val="000000"/>
                <w:kern w:val="0"/>
                <w:sz w:val="24"/>
                <w:szCs w:val="24"/>
                <w:lang w:eastAsia="zh-CN"/>
              </w:rPr>
              <w:t>王永青</w:t>
            </w:r>
          </w:p>
        </w:tc>
        <w:tc>
          <w:tcPr>
            <w:tcW w:w="72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联系</w:t>
            </w:r>
          </w:p>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电话</w:t>
            </w:r>
          </w:p>
        </w:tc>
        <w:tc>
          <w:tcPr>
            <w:tcW w:w="157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48288361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37" w:hRule="atLeast"/>
        </w:trPr>
        <w:tc>
          <w:tcPr>
            <w:tcW w:w="51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资金情况(万元)</w:t>
            </w:r>
          </w:p>
        </w:tc>
        <w:tc>
          <w:tcPr>
            <w:tcW w:w="122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年初预算数</w:t>
            </w:r>
          </w:p>
        </w:tc>
        <w:tc>
          <w:tcPr>
            <w:tcW w:w="195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全年（调整）</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预算数</w:t>
            </w:r>
          </w:p>
        </w:tc>
        <w:tc>
          <w:tcPr>
            <w:tcW w:w="283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全年执行数</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执行率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w:t>
            </w:r>
          </w:p>
        </w:tc>
        <w:tc>
          <w:tcPr>
            <w:tcW w:w="82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执行率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权重</w:t>
            </w:r>
          </w:p>
        </w:tc>
        <w:tc>
          <w:tcPr>
            <w:tcW w:w="902"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执行率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51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rPr>
                <w:rFonts w:hint="default" w:ascii="Times New Roman" w:hAnsi="Times New Roman" w:cs="Times New Roman"/>
                <w:sz w:val="20"/>
                <w:szCs w:val="20"/>
              </w:rPr>
            </w:pPr>
          </w:p>
        </w:tc>
        <w:tc>
          <w:tcPr>
            <w:tcW w:w="122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仿宋_GBK" w:hAnsi="方正仿宋_GBK" w:eastAsia="方正仿宋_GBK" w:cs="方正仿宋_GBK"/>
                <w:i w:val="0"/>
                <w:color w:val="000000"/>
                <w:kern w:val="0"/>
                <w:sz w:val="24"/>
                <w:szCs w:val="24"/>
                <w:lang w:val="en-US" w:eastAsia="zh-CN"/>
              </w:rPr>
            </w:pPr>
            <w:r>
              <w:rPr>
                <w:rFonts w:hint="eastAsia" w:ascii="方正仿宋_GBK" w:hAnsi="方正仿宋_GBK" w:eastAsia="方正仿宋_GBK" w:cs="方正仿宋_GBK"/>
                <w:i w:val="0"/>
                <w:color w:val="000000"/>
                <w:kern w:val="0"/>
                <w:sz w:val="24"/>
                <w:szCs w:val="24"/>
                <w:lang w:val="en-US" w:eastAsia="zh-CN"/>
              </w:rPr>
              <w:t>0</w:t>
            </w:r>
          </w:p>
        </w:tc>
        <w:tc>
          <w:tcPr>
            <w:tcW w:w="195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仿宋_GBK" w:hAnsi="方正仿宋_GBK" w:eastAsia="方正仿宋_GBK" w:cs="方正仿宋_GBK"/>
                <w:i w:val="0"/>
                <w:color w:val="000000"/>
                <w:kern w:val="0"/>
                <w:sz w:val="24"/>
                <w:szCs w:val="24"/>
                <w:lang w:val="en-US" w:eastAsia="zh-CN"/>
              </w:rPr>
            </w:pPr>
            <w:r>
              <w:rPr>
                <w:rFonts w:hint="eastAsia" w:ascii="方正仿宋_GBK" w:hAnsi="方正仿宋_GBK" w:eastAsia="方正仿宋_GBK" w:cs="方正仿宋_GBK"/>
                <w:i w:val="0"/>
                <w:color w:val="000000"/>
                <w:kern w:val="0"/>
                <w:sz w:val="24"/>
                <w:szCs w:val="24"/>
                <w:lang w:val="en-US" w:eastAsia="zh-CN"/>
              </w:rPr>
              <w:t>100000</w:t>
            </w:r>
          </w:p>
        </w:tc>
        <w:tc>
          <w:tcPr>
            <w:tcW w:w="283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仿宋_GBK" w:hAnsi="方正仿宋_GBK" w:eastAsia="方正仿宋_GBK" w:cs="方正仿宋_GBK"/>
                <w:i w:val="0"/>
                <w:color w:val="000000"/>
                <w:kern w:val="0"/>
                <w:sz w:val="24"/>
                <w:szCs w:val="24"/>
                <w:lang w:val="en-US" w:eastAsia="zh-CN"/>
              </w:rPr>
            </w:pPr>
            <w:r>
              <w:rPr>
                <w:rFonts w:hint="default" w:ascii="方正仿宋_GBK" w:hAnsi="方正仿宋_GBK" w:eastAsia="方正仿宋_GBK" w:cs="方正仿宋_GBK"/>
                <w:i w:val="0"/>
                <w:color w:val="000000"/>
                <w:kern w:val="0"/>
                <w:sz w:val="24"/>
                <w:szCs w:val="24"/>
                <w:lang w:val="en-US" w:eastAsia="zh-CN"/>
              </w:rPr>
              <w:t>1</w:t>
            </w:r>
            <w:r>
              <w:rPr>
                <w:rFonts w:hint="eastAsia" w:ascii="方正仿宋_GBK" w:hAnsi="方正仿宋_GBK" w:eastAsia="方正仿宋_GBK" w:cs="方正仿宋_GBK"/>
                <w:i w:val="0"/>
                <w:color w:val="000000"/>
                <w:kern w:val="0"/>
                <w:sz w:val="24"/>
                <w:szCs w:val="24"/>
                <w:lang w:val="en-US" w:eastAsia="zh-CN"/>
              </w:rPr>
              <w:t>00000</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仿宋_GBK" w:hAnsi="方正仿宋_GBK" w:eastAsia="方正仿宋_GBK" w:cs="方正仿宋_GBK"/>
                <w:i w:val="0"/>
                <w:color w:val="000000"/>
                <w:kern w:val="0"/>
                <w:sz w:val="24"/>
                <w:szCs w:val="24"/>
                <w:lang w:val="en-US" w:eastAsia="zh-CN"/>
              </w:rPr>
            </w:pPr>
            <w:r>
              <w:rPr>
                <w:rFonts w:hint="eastAsia" w:ascii="方正仿宋_GBK" w:hAnsi="方正仿宋_GBK" w:eastAsia="方正仿宋_GBK" w:cs="方正仿宋_GBK"/>
                <w:i w:val="0"/>
                <w:color w:val="000000"/>
                <w:kern w:val="0"/>
                <w:sz w:val="24"/>
                <w:szCs w:val="24"/>
                <w:lang w:val="en-US" w:eastAsia="zh-CN"/>
              </w:rPr>
              <w:t>100</w:t>
            </w:r>
          </w:p>
        </w:tc>
        <w:tc>
          <w:tcPr>
            <w:tcW w:w="82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仿宋_GBK" w:hAnsi="方正仿宋_GBK" w:eastAsia="方正仿宋_GBK" w:cs="方正仿宋_GBK"/>
                <w:i w:val="0"/>
                <w:color w:val="000000"/>
                <w:kern w:val="0"/>
                <w:sz w:val="24"/>
                <w:szCs w:val="24"/>
                <w:lang w:val="en-US" w:eastAsia="zh-CN"/>
              </w:rPr>
            </w:pPr>
            <w:r>
              <w:rPr>
                <w:rFonts w:hint="eastAsia" w:ascii="方正仿宋_GBK" w:hAnsi="方正仿宋_GBK" w:eastAsia="方正仿宋_GBK" w:cs="方正仿宋_GBK"/>
                <w:i w:val="0"/>
                <w:color w:val="000000"/>
                <w:kern w:val="0"/>
                <w:sz w:val="24"/>
                <w:szCs w:val="24"/>
                <w:lang w:val="en-US" w:eastAsia="zh-CN"/>
              </w:rPr>
              <w:t>10</w:t>
            </w:r>
          </w:p>
        </w:tc>
        <w:tc>
          <w:tcPr>
            <w:tcW w:w="902"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仿宋_GBK" w:hAnsi="方正仿宋_GBK" w:eastAsia="方正仿宋_GBK" w:cs="方正仿宋_GBK"/>
                <w:i w:val="0"/>
                <w:color w:val="000000"/>
                <w:kern w:val="0"/>
                <w:sz w:val="24"/>
                <w:szCs w:val="24"/>
                <w:lang w:val="en-US" w:eastAsia="zh-CN"/>
              </w:rPr>
            </w:pPr>
            <w:r>
              <w:rPr>
                <w:rFonts w:hint="eastAsia" w:ascii="方正仿宋_GBK" w:hAnsi="方正仿宋_GBK" w:eastAsia="方正仿宋_GBK" w:cs="方正仿宋_GBK"/>
                <w:i w:val="0"/>
                <w:color w:val="000000"/>
                <w:kern w:val="0"/>
                <w:sz w:val="24"/>
                <w:szCs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51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当年</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绩效</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目标</w:t>
            </w:r>
          </w:p>
        </w:tc>
        <w:tc>
          <w:tcPr>
            <w:tcW w:w="276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年初绩效目标</w:t>
            </w:r>
          </w:p>
        </w:tc>
        <w:tc>
          <w:tcPr>
            <w:tcW w:w="3248"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全年（调整）绩效目标</w:t>
            </w:r>
          </w:p>
        </w:tc>
        <w:tc>
          <w:tcPr>
            <w:tcW w:w="2445"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01" w:hRule="atLeast"/>
        </w:trPr>
        <w:tc>
          <w:tcPr>
            <w:tcW w:w="51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rPr>
                <w:rFonts w:hint="default" w:ascii="Times New Roman" w:hAnsi="Times New Roman" w:cs="Times New Roman"/>
                <w:sz w:val="20"/>
                <w:szCs w:val="20"/>
              </w:rPr>
            </w:pPr>
          </w:p>
        </w:tc>
        <w:tc>
          <w:tcPr>
            <w:tcW w:w="276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center"/>
              <w:textAlignment w:val="center"/>
              <w:rPr>
                <w:rFonts w:hint="eastAsia" w:ascii="方正仿宋_GBK" w:hAnsi="方正仿宋_GBK" w:eastAsia="方正仿宋_GBK" w:cs="方正仿宋_GBK"/>
                <w:i w:val="0"/>
                <w:color w:val="000000"/>
                <w:kern w:val="0"/>
                <w:sz w:val="24"/>
                <w:szCs w:val="24"/>
                <w:lang w:val="en-US" w:eastAsia="zh-CN"/>
              </w:rPr>
            </w:pPr>
            <w:r>
              <w:rPr>
                <w:rFonts w:hint="eastAsia" w:ascii="方正仿宋_GBK" w:hAnsi="方正仿宋_GBK" w:eastAsia="方正仿宋_GBK" w:cs="方正仿宋_GBK"/>
                <w:i w:val="0"/>
                <w:color w:val="000000"/>
                <w:kern w:val="0"/>
                <w:sz w:val="24"/>
                <w:szCs w:val="24"/>
                <w:lang w:val="en-US" w:eastAsia="zh-CN"/>
              </w:rPr>
              <w:t>/</w:t>
            </w:r>
          </w:p>
        </w:tc>
        <w:tc>
          <w:tcPr>
            <w:tcW w:w="3248"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lang w:eastAsia="zh-CN"/>
              </w:rPr>
              <w:t>衔接推进乡村振兴，吸引企业助力乡村振兴，培养乡村振兴人才。</w:t>
            </w:r>
          </w:p>
        </w:tc>
        <w:tc>
          <w:tcPr>
            <w:tcW w:w="2445"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衔接推进乡村振兴，吸引企业助力乡村振兴，培养乡村振兴人才。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绩效</w:t>
            </w:r>
          </w:p>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w:t>
            </w:r>
          </w:p>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类别</w:t>
            </w:r>
          </w:p>
        </w:tc>
        <w:tc>
          <w:tcPr>
            <w:tcW w:w="8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指标名称</w:t>
            </w:r>
          </w:p>
        </w:tc>
        <w:tc>
          <w:tcPr>
            <w:tcW w:w="153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指标值</w:t>
            </w:r>
          </w:p>
        </w:tc>
        <w:tc>
          <w:tcPr>
            <w:tcW w:w="565"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计量</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单位</w:t>
            </w:r>
          </w:p>
        </w:tc>
        <w:tc>
          <w:tcPr>
            <w:tcW w:w="144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性质</w:t>
            </w:r>
          </w:p>
        </w:tc>
        <w:tc>
          <w:tcPr>
            <w:tcW w:w="1392"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权重</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是否</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调整</w:t>
            </w:r>
          </w:p>
        </w:tc>
        <w:tc>
          <w:tcPr>
            <w:tcW w:w="82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完成值</w:t>
            </w:r>
          </w:p>
        </w:tc>
        <w:tc>
          <w:tcPr>
            <w:tcW w:w="7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指标得分（分）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1</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数量指标</w:t>
            </w:r>
          </w:p>
        </w:tc>
        <w:tc>
          <w:tcPr>
            <w:tcW w:w="8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乡村振兴考察次数</w:t>
            </w:r>
          </w:p>
        </w:tc>
        <w:tc>
          <w:tcPr>
            <w:tcW w:w="153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565" w:type="dxa"/>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次</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w:t>
            </w:r>
          </w:p>
        </w:tc>
        <w:tc>
          <w:tcPr>
            <w:tcW w:w="139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lang w:eastAsia="zh-CN"/>
              </w:rPr>
            </w:pPr>
            <w:r>
              <w:rPr>
                <w:rFonts w:hint="eastAsia" w:ascii="宋体" w:hAnsi="宋体" w:eastAsia="宋体" w:cs="宋体"/>
                <w:i w:val="0"/>
                <w:color w:val="000000"/>
                <w:kern w:val="0"/>
                <w:sz w:val="24"/>
                <w:szCs w:val="24"/>
                <w:lang w:eastAsia="zh-CN"/>
              </w:rPr>
              <w:t>是</w:t>
            </w:r>
          </w:p>
        </w:tc>
        <w:tc>
          <w:tcPr>
            <w:tcW w:w="8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2</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数量指标</w:t>
            </w:r>
          </w:p>
        </w:tc>
        <w:tc>
          <w:tcPr>
            <w:tcW w:w="82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乡村振兴专题培训人次</w:t>
            </w:r>
          </w:p>
        </w:tc>
        <w:tc>
          <w:tcPr>
            <w:tcW w:w="153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200</w:t>
            </w:r>
          </w:p>
        </w:tc>
        <w:tc>
          <w:tcPr>
            <w:tcW w:w="565" w:type="dxa"/>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人次</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w:t>
            </w:r>
          </w:p>
        </w:tc>
        <w:tc>
          <w:tcPr>
            <w:tcW w:w="139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lang w:eastAsia="zh-CN"/>
              </w:rPr>
              <w:t>是</w:t>
            </w:r>
          </w:p>
        </w:tc>
        <w:tc>
          <w:tcPr>
            <w:tcW w:w="8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200</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3</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数量指标</w:t>
            </w:r>
          </w:p>
        </w:tc>
        <w:tc>
          <w:tcPr>
            <w:tcW w:w="82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吸引企业助力乡村振兴</w:t>
            </w:r>
          </w:p>
        </w:tc>
        <w:tc>
          <w:tcPr>
            <w:tcW w:w="153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有所增加</w:t>
            </w:r>
          </w:p>
        </w:tc>
        <w:tc>
          <w:tcPr>
            <w:tcW w:w="565" w:type="dxa"/>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left"/>
              <w:rPr>
                <w:rFonts w:hint="eastAsia" w:ascii="方正仿宋_GBK" w:hAnsi="方正仿宋_GBK" w:eastAsia="方正仿宋_GBK" w:cs="方正仿宋_GBK"/>
                <w:i w:val="0"/>
                <w:color w:val="000000"/>
                <w:kern w:val="0"/>
                <w:sz w:val="24"/>
                <w:szCs w:val="24"/>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default" w:ascii="等线" w:hAnsi="等线" w:eastAsia="等线" w:cs="等线"/>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定性</w:t>
            </w:r>
          </w:p>
        </w:tc>
        <w:tc>
          <w:tcPr>
            <w:tcW w:w="139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lang w:eastAsia="zh-CN"/>
              </w:rPr>
              <w:t>是</w:t>
            </w:r>
          </w:p>
        </w:tc>
        <w:tc>
          <w:tcPr>
            <w:tcW w:w="8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有所增加</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4</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效益指标</w:t>
            </w:r>
          </w:p>
        </w:tc>
        <w:tc>
          <w:tcPr>
            <w:tcW w:w="82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提升乡村振兴人才能力水平</w:t>
            </w:r>
          </w:p>
        </w:tc>
        <w:tc>
          <w:tcPr>
            <w:tcW w:w="153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有所增加</w:t>
            </w:r>
          </w:p>
        </w:tc>
        <w:tc>
          <w:tcPr>
            <w:tcW w:w="565" w:type="dxa"/>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left"/>
              <w:rPr>
                <w:rFonts w:hint="eastAsia" w:ascii="方正仿宋_GBK" w:hAnsi="方正仿宋_GBK" w:eastAsia="方正仿宋_GBK" w:cs="方正仿宋_GBK"/>
                <w:i w:val="0"/>
                <w:color w:val="000000"/>
                <w:kern w:val="0"/>
                <w:sz w:val="24"/>
                <w:szCs w:val="24"/>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default" w:ascii="等线" w:hAnsi="等线" w:eastAsia="等线" w:cs="等线"/>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定性</w:t>
            </w:r>
          </w:p>
        </w:tc>
        <w:tc>
          <w:tcPr>
            <w:tcW w:w="139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10</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lang w:eastAsia="zh-CN"/>
              </w:rPr>
              <w:t>是</w:t>
            </w:r>
          </w:p>
        </w:tc>
        <w:tc>
          <w:tcPr>
            <w:tcW w:w="8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有所增加</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5</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满意度指标</w:t>
            </w:r>
          </w:p>
        </w:tc>
        <w:tc>
          <w:tcPr>
            <w:tcW w:w="82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群众满意度</w:t>
            </w:r>
          </w:p>
        </w:tc>
        <w:tc>
          <w:tcPr>
            <w:tcW w:w="153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90</w:t>
            </w:r>
          </w:p>
        </w:tc>
        <w:tc>
          <w:tcPr>
            <w:tcW w:w="565" w:type="dxa"/>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default" w:ascii="等线" w:hAnsi="等线" w:eastAsia="等线" w:cs="等线"/>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w:t>
            </w:r>
          </w:p>
        </w:tc>
        <w:tc>
          <w:tcPr>
            <w:tcW w:w="139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lang w:eastAsia="zh-CN"/>
              </w:rPr>
              <w:t>是</w:t>
            </w:r>
          </w:p>
        </w:tc>
        <w:tc>
          <w:tcPr>
            <w:tcW w:w="8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90</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10</w:t>
            </w:r>
          </w:p>
        </w:tc>
      </w:tr>
    </w:tbl>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default" w:ascii="方正楷体_GBK" w:hAnsi="方正楷体_GBK" w:eastAsia="方正楷体_GBK" w:cs="方正楷体_GBK"/>
          <w:b/>
          <w:bCs w:val="0"/>
          <w:sz w:val="32"/>
          <w:szCs w:val="32"/>
          <w:shd w:val="clear" w:fill="FFFFFF"/>
        </w:rPr>
      </w:pPr>
      <w:r>
        <w:rPr>
          <w:rStyle w:val="15"/>
          <w:rFonts w:hint="default" w:ascii="Calibri" w:hAnsi="Calibri" w:eastAsia="方正仿宋_GBK" w:cs="Calibri"/>
          <w:b/>
          <w:bCs w:val="0"/>
          <w:kern w:val="0"/>
          <w:sz w:val="32"/>
          <w:szCs w:val="32"/>
          <w:shd w:val="clear" w:fill="FFFFFF"/>
        </w:rPr>
        <w:t>2.</w:t>
      </w:r>
      <w:r>
        <w:rPr>
          <w:rStyle w:val="15"/>
          <w:rFonts w:hint="eastAsia" w:ascii="方正仿宋_GBK" w:hAnsi="方正仿宋_GBK" w:eastAsia="方正仿宋_GBK" w:cs="方正仿宋_GBK"/>
          <w:b/>
          <w:bCs w:val="0"/>
          <w:kern w:val="0"/>
          <w:sz w:val="32"/>
          <w:szCs w:val="32"/>
          <w:shd w:val="clear" w:fill="FFFFFF"/>
        </w:rPr>
        <w:t>绩效自评报告或案例。</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spacing w:val="0"/>
          <w:kern w:val="2"/>
          <w:sz w:val="32"/>
          <w:szCs w:val="32"/>
        </w:rPr>
      </w:pPr>
      <w:r>
        <w:rPr>
          <w:rFonts w:hint="eastAsia" w:ascii="方正仿宋_GBK" w:hAnsi="方正仿宋_GBK" w:eastAsia="方正仿宋_GBK" w:cs="方正仿宋_GBK"/>
          <w:i w:val="0"/>
          <w:iCs w:val="0"/>
          <w:caps w:val="0"/>
          <w:spacing w:val="0"/>
          <w:kern w:val="2"/>
          <w:sz w:val="32"/>
          <w:szCs w:val="32"/>
        </w:rPr>
        <w:t>本单位未委托第三方开展绩效自评。</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jc w:val="both"/>
        <w:textAlignment w:val="auto"/>
        <w:rPr>
          <w:rFonts w:hint="default" w:ascii="Calibri" w:hAnsi="Calibri" w:eastAsia="方正仿宋_GBK" w:cs="方正仿宋_GBK"/>
          <w:b/>
          <w:bCs w:val="0"/>
          <w:kern w:val="0"/>
          <w:sz w:val="32"/>
          <w:szCs w:val="32"/>
          <w:shd w:val="clear" w:fill="FFFFFF"/>
        </w:rPr>
      </w:pPr>
      <w:r>
        <w:rPr>
          <w:rStyle w:val="15"/>
          <w:rFonts w:hint="default" w:ascii="Calibri" w:hAnsi="Calibri" w:eastAsia="方正仿宋_GBK" w:cs="方正仿宋_GBK"/>
          <w:b/>
          <w:bCs w:val="0"/>
          <w:kern w:val="0"/>
          <w:sz w:val="32"/>
          <w:szCs w:val="32"/>
          <w:shd w:val="clear" w:fill="FFFFFF"/>
        </w:rPr>
        <w:t>3.</w:t>
      </w:r>
      <w:r>
        <w:rPr>
          <w:rStyle w:val="15"/>
          <w:rFonts w:hint="eastAsia" w:ascii="方正仿宋_GBK" w:hAnsi="方正仿宋_GBK" w:eastAsia="方正仿宋_GBK" w:cs="方正仿宋_GBK"/>
          <w:b/>
          <w:bCs w:val="0"/>
          <w:kern w:val="0"/>
          <w:sz w:val="32"/>
          <w:szCs w:val="32"/>
          <w:shd w:val="clear" w:fill="FFFFFF"/>
        </w:rPr>
        <w:t>关于绩效自评结果的说明。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本单位绩效自评均已完成相关绩效目标。</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lang w:eastAsia="zh-CN"/>
        </w:rPr>
        <w:t>（三）</w:t>
      </w:r>
      <w:r>
        <w:rPr>
          <w:rStyle w:val="15"/>
          <w:rFonts w:hint="eastAsia" w:ascii="方正楷体_GBK" w:hAnsi="方正楷体_GBK" w:eastAsia="方正楷体_GBK" w:cs="方正楷体_GBK"/>
          <w:b/>
          <w:bCs w:val="0"/>
          <w:sz w:val="32"/>
          <w:szCs w:val="32"/>
          <w:shd w:val="clear" w:fill="FFFFFF"/>
        </w:rPr>
        <w:t>重点绩效评价结果。</w:t>
      </w:r>
    </w:p>
    <w:p>
      <w:pPr>
        <w:pStyle w:val="10"/>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Autospacing="0" w:line="600" w:lineRule="atLeast"/>
        <w:ind w:right="0" w:rightChars="0" w:firstLine="640" w:firstLineChars="200"/>
        <w:jc w:val="both"/>
        <w:textAlignment w:val="auto"/>
        <w:rPr>
          <w:rFonts w:hint="eastAsia" w:ascii="方正黑体_GBK" w:hAnsi="方正黑体_GBK" w:eastAsia="方正黑体_GBK" w:cs="方正黑体_GBK"/>
          <w:i w:val="0"/>
          <w:iCs w:val="0"/>
          <w:caps w:val="0"/>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lang w:val="en-US" w:eastAsia="zh-CN" w:bidi="ar"/>
        </w:rPr>
        <w:t>区财政局未委托第三方对我单位项目开展重点绩效评价。</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黑体_GBK" w:hAnsi="方正黑体_GBK" w:eastAsia="方正黑体_GBK" w:cs="方正黑体_GBK"/>
          <w:b/>
          <w:bCs w:val="0"/>
          <w:sz w:val="32"/>
          <w:szCs w:val="32"/>
          <w:shd w:val="clear" w:fill="FFFFFF"/>
        </w:rPr>
      </w:pPr>
      <w:r>
        <w:rPr>
          <w:rStyle w:val="15"/>
          <w:rFonts w:hint="eastAsia" w:ascii="方正黑体_GBK" w:hAnsi="方正黑体_GBK" w:eastAsia="方正黑体_GBK" w:cs="方正黑体_GBK"/>
          <w:b/>
          <w:bCs w:val="0"/>
          <w:sz w:val="32"/>
          <w:szCs w:val="32"/>
          <w:shd w:val="clear" w:fill="FFFFFF"/>
        </w:rPr>
        <w:t>六、专业名词解释</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kern w:val="2"/>
          <w:sz w:val="32"/>
          <w:szCs w:val="32"/>
        </w:rPr>
        <w:t>指本年度从本级财政</w:t>
      </w:r>
      <w:r>
        <w:rPr>
          <w:rFonts w:hint="eastAsia" w:ascii="方正仿宋_GBK" w:hAnsi="方正仿宋_GBK" w:eastAsia="方正仿宋_GBK" w:cs="方正仿宋_GBK"/>
          <w:i w:val="0"/>
          <w:iCs w:val="0"/>
          <w:caps w:val="0"/>
          <w:color w:val="333333"/>
          <w:spacing w:val="0"/>
          <w:kern w:val="2"/>
          <w:sz w:val="32"/>
          <w:szCs w:val="32"/>
          <w:lang w:eastAsia="zh-CN"/>
        </w:rPr>
        <w:t>部门</w:t>
      </w:r>
      <w:r>
        <w:rPr>
          <w:rFonts w:hint="eastAsia" w:ascii="方正仿宋_GBK" w:hAnsi="方正仿宋_GBK" w:eastAsia="方正仿宋_GBK" w:cs="方正仿宋_GBK"/>
          <w:i w:val="0"/>
          <w:iCs w:val="0"/>
          <w:caps w:val="0"/>
          <w:color w:val="333333"/>
          <w:spacing w:val="0"/>
          <w:kern w:val="2"/>
          <w:sz w:val="32"/>
          <w:szCs w:val="32"/>
        </w:rPr>
        <w:t>取得的财政拨款，包括一般公共预算财政拨款和政府性基金预算财政拨款。</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（二）事业收入：</w:t>
      </w:r>
      <w:r>
        <w:rPr>
          <w:rFonts w:hint="eastAsia" w:ascii="方正仿宋_GBK" w:hAnsi="方正仿宋_GBK" w:eastAsia="方正仿宋_GBK" w:cs="方正仿宋_GBK"/>
          <w:i w:val="0"/>
          <w:iCs w:val="0"/>
          <w:caps w:val="0"/>
          <w:color w:val="333333"/>
          <w:spacing w:val="0"/>
          <w:kern w:val="2"/>
          <w:sz w:val="32"/>
          <w:szCs w:val="32"/>
        </w:rPr>
        <w:t>指事业单位开展专业业务活动及其辅助活动取得的现金流入；事业单位收到的财政专户实际核拨的教育收费等资金在此反映。</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（三）经营收入：</w:t>
      </w:r>
      <w:r>
        <w:rPr>
          <w:rFonts w:hint="eastAsia" w:ascii="方正仿宋_GBK" w:hAnsi="方正仿宋_GBK" w:eastAsia="方正仿宋_GBK" w:cs="方正仿宋_GBK"/>
          <w:i w:val="0"/>
          <w:iCs w:val="0"/>
          <w:caps w:val="0"/>
          <w:color w:val="333333"/>
          <w:spacing w:val="0"/>
          <w:kern w:val="2"/>
          <w:sz w:val="32"/>
          <w:szCs w:val="32"/>
        </w:rPr>
        <w:t>指事业单位在专业业务活动及其辅助活动之外开展非独立核算经营活动取得的现金流入。</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（四）其他收入：</w:t>
      </w:r>
      <w:r>
        <w:rPr>
          <w:rFonts w:hint="eastAsia" w:ascii="方正仿宋_GBK" w:hAnsi="方正仿宋_GBK" w:eastAsia="方正仿宋_GBK" w:cs="方正仿宋_GBK"/>
          <w:i w:val="0"/>
          <w:iCs w:val="0"/>
          <w:caps w:val="0"/>
          <w:color w:val="333333"/>
          <w:spacing w:val="0"/>
          <w:kern w:val="2"/>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单位以外的同级单位取得的经费、从非本级财政单位取得的经费，以及行政单位收到的财政专户管理资金反映在本项内。</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（五）使用非财政拨款结余：</w:t>
      </w:r>
      <w:r>
        <w:rPr>
          <w:rFonts w:hint="eastAsia" w:ascii="方正仿宋_GBK" w:hAnsi="方正仿宋_GBK" w:eastAsia="方正仿宋_GBK" w:cs="方正仿宋_GBK"/>
          <w:i w:val="0"/>
          <w:iCs w:val="0"/>
          <w:caps w:val="0"/>
          <w:color w:val="333333"/>
          <w:spacing w:val="0"/>
          <w:kern w:val="2"/>
          <w:sz w:val="32"/>
          <w:szCs w:val="32"/>
        </w:rPr>
        <w:t>指单位在当年的“财政拨款收入”、“事业收入”、“经营收入”、“其他收入”等不足以安排当年支出的情况下，使用以前年度积累的非财政拨款结余弥补本年度收支缺口的资金。</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（六）年初结转和结余：</w:t>
      </w:r>
      <w:r>
        <w:rPr>
          <w:rFonts w:hint="eastAsia" w:ascii="方正仿宋_GBK" w:hAnsi="方正仿宋_GBK" w:eastAsia="方正仿宋_GBK" w:cs="方正仿宋_GBK"/>
          <w:i w:val="0"/>
          <w:iCs w:val="0"/>
          <w:caps w:val="0"/>
          <w:color w:val="333333"/>
          <w:spacing w:val="0"/>
          <w:kern w:val="2"/>
          <w:sz w:val="32"/>
          <w:szCs w:val="32"/>
        </w:rPr>
        <w:t>指单位上年结转本年使用的基本支出结转、项目支出结转和结余、经营结余。</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（七）结余分配：</w:t>
      </w:r>
      <w:r>
        <w:rPr>
          <w:rFonts w:hint="eastAsia" w:ascii="方正仿宋_GBK" w:hAnsi="方正仿宋_GBK" w:eastAsia="方正仿宋_GBK" w:cs="方正仿宋_GBK"/>
          <w:i w:val="0"/>
          <w:iCs w:val="0"/>
          <w:caps w:val="0"/>
          <w:color w:val="333333"/>
          <w:spacing w:val="0"/>
          <w:kern w:val="2"/>
          <w:sz w:val="32"/>
          <w:szCs w:val="32"/>
        </w:rPr>
        <w:t>指单位按照国家有关规定，缴纳所得税、提取专用基金、转入非财政拨款结余等当年结余的分配情况。</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（八）年末结转和结余：</w:t>
      </w:r>
      <w:r>
        <w:rPr>
          <w:rFonts w:hint="eastAsia" w:ascii="方正仿宋_GBK" w:hAnsi="方正仿宋_GBK" w:eastAsia="方正仿宋_GBK" w:cs="方正仿宋_GBK"/>
          <w:i w:val="0"/>
          <w:iCs w:val="0"/>
          <w:caps w:val="0"/>
          <w:color w:val="333333"/>
          <w:spacing w:val="0"/>
          <w:kern w:val="2"/>
          <w:sz w:val="32"/>
          <w:szCs w:val="32"/>
        </w:rPr>
        <w:t>指单位结转下年的基本支出结转、项目支出结转和结余、经营结余。</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宋体" w:hAnsi="宋体" w:eastAsia="宋体" w:cs="宋体"/>
          <w:kern w:val="0"/>
          <w:sz w:val="24"/>
          <w:szCs w:val="24"/>
        </w:rPr>
      </w:pPr>
      <w:r>
        <w:rPr>
          <w:rStyle w:val="18"/>
          <w:rFonts w:hint="eastAsia" w:ascii="方正楷体_GBK" w:hAnsi="方正楷体_GBK" w:eastAsia="方正楷体_GBK" w:cs="方正楷体_GBK"/>
          <w:b/>
          <w:bCs w:val="0"/>
          <w:sz w:val="32"/>
          <w:szCs w:val="32"/>
          <w:shd w:val="clear" w:fill="FFFFFF"/>
        </w:rPr>
        <w:t>（九）基本支出：</w:t>
      </w:r>
      <w:r>
        <w:rPr>
          <w:rFonts w:hint="eastAsia" w:ascii="方正仿宋_GBK" w:hAnsi="方正仿宋_GBK" w:eastAsia="方正仿宋_GBK" w:cs="方正仿宋_GBK"/>
          <w:i w:val="0"/>
          <w:iCs w:val="0"/>
          <w:caps w:val="0"/>
          <w:color w:val="333333"/>
          <w:spacing w:val="0"/>
          <w:kern w:val="2"/>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（十）项目支出：</w:t>
      </w:r>
      <w:r>
        <w:rPr>
          <w:rFonts w:hint="eastAsia" w:ascii="方正仿宋_GBK" w:hAnsi="方正仿宋_GBK" w:eastAsia="方正仿宋_GBK" w:cs="方正仿宋_GBK"/>
          <w:i w:val="0"/>
          <w:iCs w:val="0"/>
          <w:caps w:val="0"/>
          <w:color w:val="333333"/>
          <w:spacing w:val="0"/>
          <w:kern w:val="2"/>
          <w:sz w:val="32"/>
          <w:szCs w:val="32"/>
        </w:rPr>
        <w:t>指在基本支出之外为完成特定行政任务和事业发展目标所发生的支出。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宋体" w:hAnsi="宋体" w:eastAsia="宋体" w:cs="宋体"/>
          <w:kern w:val="0"/>
          <w:sz w:val="24"/>
          <w:szCs w:val="24"/>
        </w:rPr>
      </w:pPr>
      <w:r>
        <w:rPr>
          <w:rStyle w:val="18"/>
          <w:rFonts w:hint="eastAsia" w:ascii="方正楷体_GBK" w:hAnsi="方正楷体_GBK" w:eastAsia="方正楷体_GBK" w:cs="方正楷体_GBK"/>
          <w:b/>
          <w:bCs w:val="0"/>
          <w:sz w:val="32"/>
          <w:szCs w:val="32"/>
          <w:shd w:val="clear" w:fill="FFFFFF"/>
        </w:rPr>
        <w:t>（十一）经营支出：</w:t>
      </w:r>
      <w:r>
        <w:rPr>
          <w:rFonts w:hint="eastAsia" w:ascii="方正仿宋_GBK" w:hAnsi="方正仿宋_GBK" w:eastAsia="方正仿宋_GBK" w:cs="方正仿宋_GBK"/>
          <w:i w:val="0"/>
          <w:iCs w:val="0"/>
          <w:caps w:val="0"/>
          <w:color w:val="333333"/>
          <w:spacing w:val="0"/>
          <w:kern w:val="2"/>
          <w:sz w:val="32"/>
          <w:szCs w:val="32"/>
        </w:rPr>
        <w:t>指事业单位在专业业务活动及其辅助活动之外开展非独立核算经营活动发生的支出。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（十二）“三公”经费：</w:t>
      </w:r>
      <w:r>
        <w:rPr>
          <w:rFonts w:hint="eastAsia" w:ascii="方正仿宋_GBK" w:hAnsi="方正仿宋_GBK" w:eastAsia="方正仿宋_GBK" w:cs="方正仿宋_GBK"/>
          <w:i w:val="0"/>
          <w:iCs w:val="0"/>
          <w:caps w:val="0"/>
          <w:color w:val="333333"/>
          <w:spacing w:val="0"/>
          <w:kern w:val="2"/>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（十三）机关运行经费：</w:t>
      </w:r>
      <w:r>
        <w:rPr>
          <w:rFonts w:hint="eastAsia" w:ascii="方正仿宋_GBK" w:hAnsi="方正仿宋_GBK" w:eastAsia="方正仿宋_GBK" w:cs="方正仿宋_GBK"/>
          <w:i w:val="0"/>
          <w:iCs w:val="0"/>
          <w:caps w:val="0"/>
          <w:color w:val="333333"/>
          <w:spacing w:val="0"/>
          <w:kern w:val="2"/>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（十四）工资福利支出（支出经济分类科目类级）：</w:t>
      </w:r>
      <w:r>
        <w:rPr>
          <w:rFonts w:hint="eastAsia" w:ascii="方正仿宋_GBK" w:hAnsi="方正仿宋_GBK" w:eastAsia="方正仿宋_GBK" w:cs="方正仿宋_GBK"/>
          <w:i w:val="0"/>
          <w:iCs w:val="0"/>
          <w:caps w:val="0"/>
          <w:color w:val="333333"/>
          <w:spacing w:val="0"/>
          <w:kern w:val="2"/>
          <w:sz w:val="32"/>
          <w:szCs w:val="32"/>
        </w:rPr>
        <w:t>反映单位开支的在职职工和编制外长期聘用人员的各类劳动报酬，以及为上述人员缴纳的各项社会保险费等。</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（十五）商品和服务支出（支出经济分类科目类级）：</w:t>
      </w:r>
      <w:r>
        <w:rPr>
          <w:rFonts w:hint="eastAsia" w:ascii="方正仿宋_GBK" w:hAnsi="方正仿宋_GBK" w:eastAsia="方正仿宋_GBK" w:cs="方正仿宋_GBK"/>
          <w:i w:val="0"/>
          <w:iCs w:val="0"/>
          <w:caps w:val="0"/>
          <w:color w:val="333333"/>
          <w:spacing w:val="0"/>
          <w:kern w:val="2"/>
          <w:sz w:val="32"/>
          <w:szCs w:val="32"/>
        </w:rPr>
        <w:t>反映单位购买商品和服务的支出（不包括用于购置固定资产的支出、战略性和应急储备支出）。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（十六）对个人和家庭的补助（支出经济分类科目类级）：</w:t>
      </w:r>
      <w:r>
        <w:rPr>
          <w:rFonts w:hint="eastAsia" w:ascii="方正仿宋_GBK" w:hAnsi="方正仿宋_GBK" w:eastAsia="方正仿宋_GBK" w:cs="方正仿宋_GBK"/>
          <w:i w:val="0"/>
          <w:iCs w:val="0"/>
          <w:caps w:val="0"/>
          <w:color w:val="333333"/>
          <w:spacing w:val="0"/>
          <w:kern w:val="2"/>
          <w:sz w:val="32"/>
          <w:szCs w:val="32"/>
        </w:rPr>
        <w:t>反映用于对个人和家庭的补助支出。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（十七）其他资本性支出（支出经济分类科目类级）：</w:t>
      </w:r>
      <w:r>
        <w:rPr>
          <w:rFonts w:hint="eastAsia" w:ascii="方正仿宋_GBK" w:hAnsi="方正仿宋_GBK" w:eastAsia="方正仿宋_GBK" w:cs="方正仿宋_GBK"/>
          <w:i w:val="0"/>
          <w:iCs w:val="0"/>
          <w:caps w:val="0"/>
          <w:color w:val="333333"/>
          <w:spacing w:val="0"/>
          <w:kern w:val="2"/>
          <w:sz w:val="32"/>
          <w:szCs w:val="32"/>
        </w:rPr>
        <w:t>反映非各级发展与改革</w:t>
      </w:r>
      <w:r>
        <w:rPr>
          <w:rFonts w:hint="eastAsia" w:ascii="方正仿宋_GBK" w:hAnsi="方正仿宋_GBK" w:eastAsia="方正仿宋_GBK" w:cs="方正仿宋_GBK"/>
          <w:i w:val="0"/>
          <w:iCs w:val="0"/>
          <w:caps w:val="0"/>
          <w:color w:val="333333"/>
          <w:spacing w:val="0"/>
          <w:kern w:val="2"/>
          <w:sz w:val="32"/>
          <w:szCs w:val="32"/>
          <w:lang w:eastAsia="zh-CN"/>
        </w:rPr>
        <w:t>部门</w:t>
      </w:r>
      <w:r>
        <w:rPr>
          <w:rFonts w:hint="eastAsia" w:ascii="方正仿宋_GBK" w:hAnsi="方正仿宋_GBK" w:eastAsia="方正仿宋_GBK" w:cs="方正仿宋_GBK"/>
          <w:i w:val="0"/>
          <w:iCs w:val="0"/>
          <w:caps w:val="0"/>
          <w:color w:val="333333"/>
          <w:spacing w:val="0"/>
          <w:kern w:val="2"/>
          <w:sz w:val="32"/>
          <w:szCs w:val="32"/>
        </w:rPr>
        <w:t>集中安排的用于购置固定资产、战略性和应急性储备、土地和无形资产，以及构建基础设施、大型修缮和财政支持企业更新改造所发生的支出。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黑体_GBK" w:hAnsi="方正黑体_GBK" w:eastAsia="方正黑体_GBK" w:cs="方正黑体_GBK"/>
          <w:b/>
          <w:bCs w:val="0"/>
          <w:kern w:val="0"/>
          <w:sz w:val="32"/>
          <w:szCs w:val="32"/>
          <w:shd w:val="clear" w:fill="FFFFFF"/>
        </w:rPr>
      </w:pPr>
      <w:r>
        <w:rPr>
          <w:rStyle w:val="18"/>
          <w:rFonts w:hint="eastAsia" w:ascii="方正黑体_GBK" w:hAnsi="方正黑体_GBK" w:eastAsia="方正黑体_GBK" w:cs="方正黑体_GBK"/>
          <w:b/>
          <w:bCs w:val="0"/>
          <w:sz w:val="32"/>
          <w:szCs w:val="32"/>
          <w:shd w:val="clear" w:fill="FFFFFF"/>
        </w:rPr>
        <w:t>七、决算公开联系方式及信息反馈渠道</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本单位决算公开信息反馈和联系方式：</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eastAsia" w:ascii="Times New Roman" w:hAnsi="Times New Roman" w:eastAsia="方正仿宋_GBK" w:cs="Times New Roman"/>
          <w:i w:val="0"/>
          <w:iCs w:val="0"/>
          <w:caps w:val="0"/>
          <w:color w:val="333333"/>
          <w:spacing w:val="0"/>
          <w:kern w:val="2"/>
          <w:sz w:val="32"/>
          <w:szCs w:val="32"/>
          <w:lang w:eastAsia="zh-CN"/>
        </w:rPr>
      </w:pPr>
      <w:r>
        <w:rPr>
          <w:rFonts w:hint="eastAsia" w:ascii="方正仿宋_GBK" w:hAnsi="方正仿宋_GBK" w:eastAsia="方正仿宋_GBK" w:cs="方正仿宋_GBK"/>
          <w:i w:val="0"/>
          <w:iCs w:val="0"/>
          <w:caps w:val="0"/>
          <w:color w:val="333333"/>
          <w:spacing w:val="0"/>
          <w:kern w:val="2"/>
          <w:sz w:val="32"/>
          <w:szCs w:val="32"/>
        </w:rPr>
        <w:t>彭鹏</w:t>
      </w:r>
      <w:r>
        <w:rPr>
          <w:rFonts w:hint="default" w:ascii="Times New Roman" w:hAnsi="Times New Roman" w:eastAsia="方正仿宋_GBK" w:cs="Times New Roman"/>
          <w:i w:val="0"/>
          <w:iCs w:val="0"/>
          <w:caps w:val="0"/>
          <w:color w:val="333333"/>
          <w:spacing w:val="0"/>
          <w:kern w:val="2"/>
          <w:sz w:val="32"/>
          <w:szCs w:val="32"/>
        </w:rPr>
        <w:t>023-48288361</w:t>
      </w: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1"/>
        <w:gridCol w:w="801"/>
        <w:gridCol w:w="3102"/>
        <w:gridCol w:w="1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01"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公开单位：重庆市万盛经济技术开发区农产品质量安全与市场管理中心</w:t>
            </w:r>
          </w:p>
        </w:tc>
        <w:tc>
          <w:tcPr>
            <w:tcW w:w="7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87"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收入</w:t>
            </w:r>
          </w:p>
        </w:tc>
        <w:tc>
          <w:tcPr>
            <w:tcW w:w="2612" w:type="pct"/>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4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w:t>
            </w:r>
          </w:p>
        </w:tc>
        <w:tc>
          <w:tcPr>
            <w:tcW w:w="7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46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115.88</w:t>
            </w: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7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7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7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7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46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115.88</w:t>
            </w: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7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46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115.88</w:t>
            </w: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7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备注：本表反映单位本年度取得的各项收入情况。</w:t>
            </w:r>
          </w:p>
        </w:tc>
      </w:tr>
    </w:tbl>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8"/>
        <w:gridCol w:w="3396"/>
        <w:gridCol w:w="1266"/>
        <w:gridCol w:w="640"/>
        <w:gridCol w:w="358"/>
        <w:gridCol w:w="358"/>
        <w:gridCol w:w="500"/>
        <w:gridCol w:w="358"/>
        <w:gridCol w:w="358"/>
        <w:gridCol w:w="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109"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公开单位：重庆市万盛经济技术开发区农产品质量安全与市场管理中心</w:t>
            </w:r>
          </w:p>
        </w:tc>
        <w:tc>
          <w:tcPr>
            <w:tcW w:w="2890" w:type="pct"/>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468"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468"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财政拨款收入</w:t>
            </w:r>
          </w:p>
        </w:tc>
        <w:tc>
          <w:tcPr>
            <w:tcW w:w="397"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上级补助收入</w:t>
            </w:r>
          </w:p>
        </w:tc>
        <w:tc>
          <w:tcPr>
            <w:tcW w:w="830" w:type="pct"/>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事业收入</w:t>
            </w:r>
          </w:p>
        </w:tc>
        <w:tc>
          <w:tcPr>
            <w:tcW w:w="397"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经营收入</w:t>
            </w:r>
          </w:p>
        </w:tc>
        <w:tc>
          <w:tcPr>
            <w:tcW w:w="397"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附属单位上缴收入</w:t>
            </w:r>
          </w:p>
        </w:tc>
        <w:tc>
          <w:tcPr>
            <w:tcW w:w="39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29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46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7"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433"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其中：教育收费</w:t>
            </w:r>
          </w:p>
        </w:tc>
        <w:tc>
          <w:tcPr>
            <w:tcW w:w="39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298" w:type="pct"/>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46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3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298" w:type="pct"/>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46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8"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3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115.88</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115.88</w:t>
            </w: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9.66</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9.66</w:t>
            </w: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9.66</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9.66</w:t>
            </w: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w:t>
            </w: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4.63</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4.63</w:t>
            </w: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4.63</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4.63</w:t>
            </w: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事业单位医疗</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2101199</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其他行政事业单位医疗支出</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96.76</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96.76</w:t>
            </w: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农业农村</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96.76</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96.76</w:t>
            </w: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2130104</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事业运行</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86.76</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86.76</w:t>
            </w: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2130122</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农业生产发展</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4.83</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4.83</w:t>
            </w: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4.83</w:t>
            </w:r>
          </w:p>
        </w:tc>
        <w:tc>
          <w:tcPr>
            <w:tcW w:w="4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4.83</w:t>
            </w: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298"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w:t>
            </w:r>
          </w:p>
        </w:tc>
        <w:tc>
          <w:tcPr>
            <w:tcW w:w="46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w:t>
            </w: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备注：本表反映单位本年度取得的各项收入情况。</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5"/>
        <w:gridCol w:w="3726"/>
        <w:gridCol w:w="1378"/>
        <w:gridCol w:w="684"/>
        <w:gridCol w:w="609"/>
        <w:gridCol w:w="373"/>
        <w:gridCol w:w="373"/>
        <w:gridCol w:w="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497"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公开单位：重庆市万盛经济技术开发区农产品质量安全与市场管理中心</w:t>
            </w:r>
          </w:p>
        </w:tc>
        <w:tc>
          <w:tcPr>
            <w:tcW w:w="2502"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41"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555"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555"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534"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c>
          <w:tcPr>
            <w:tcW w:w="47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上缴上级支出</w:t>
            </w:r>
          </w:p>
        </w:tc>
        <w:tc>
          <w:tcPr>
            <w:tcW w:w="47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经营支出</w:t>
            </w:r>
          </w:p>
        </w:tc>
        <w:tc>
          <w:tcPr>
            <w:tcW w:w="47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53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55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5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34"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537" w:type="pct"/>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55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5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34"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537" w:type="pct"/>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55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5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34"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41"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5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115.88</w:t>
            </w:r>
          </w:p>
        </w:tc>
        <w:tc>
          <w:tcPr>
            <w:tcW w:w="5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105.88</w:t>
            </w:r>
          </w:p>
        </w:tc>
        <w:tc>
          <w:tcPr>
            <w:tcW w:w="53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53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9.66</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9.66</w:t>
            </w:r>
          </w:p>
        </w:tc>
        <w:tc>
          <w:tcPr>
            <w:tcW w:w="534"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53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9.66</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9.66</w:t>
            </w:r>
          </w:p>
        </w:tc>
        <w:tc>
          <w:tcPr>
            <w:tcW w:w="534"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53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5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w:t>
            </w:r>
          </w:p>
        </w:tc>
        <w:tc>
          <w:tcPr>
            <w:tcW w:w="5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w:t>
            </w:r>
          </w:p>
        </w:tc>
        <w:tc>
          <w:tcPr>
            <w:tcW w:w="53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53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5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5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53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53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4.63</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4.63</w:t>
            </w:r>
          </w:p>
        </w:tc>
        <w:tc>
          <w:tcPr>
            <w:tcW w:w="534"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53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4.63</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4.63</w:t>
            </w:r>
          </w:p>
        </w:tc>
        <w:tc>
          <w:tcPr>
            <w:tcW w:w="534"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53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事业单位医疗</w:t>
            </w:r>
          </w:p>
        </w:tc>
        <w:tc>
          <w:tcPr>
            <w:tcW w:w="5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5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53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2101199</w:t>
            </w:r>
          </w:p>
        </w:tc>
        <w:tc>
          <w:tcPr>
            <w:tcW w:w="153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其他行政事业单位医疗支出</w:t>
            </w:r>
          </w:p>
        </w:tc>
        <w:tc>
          <w:tcPr>
            <w:tcW w:w="5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5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53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153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96.76</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86.76</w:t>
            </w:r>
          </w:p>
        </w:tc>
        <w:tc>
          <w:tcPr>
            <w:tcW w:w="53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10.00</w:t>
            </w: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w:t>
            </w:r>
          </w:p>
        </w:tc>
        <w:tc>
          <w:tcPr>
            <w:tcW w:w="153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农业农村</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96.76</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86.76</w:t>
            </w:r>
          </w:p>
        </w:tc>
        <w:tc>
          <w:tcPr>
            <w:tcW w:w="53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10.00</w:t>
            </w: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2130104</w:t>
            </w:r>
          </w:p>
        </w:tc>
        <w:tc>
          <w:tcPr>
            <w:tcW w:w="153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事业运行</w:t>
            </w:r>
          </w:p>
        </w:tc>
        <w:tc>
          <w:tcPr>
            <w:tcW w:w="5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86.76</w:t>
            </w:r>
          </w:p>
        </w:tc>
        <w:tc>
          <w:tcPr>
            <w:tcW w:w="5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86.76</w:t>
            </w:r>
          </w:p>
        </w:tc>
        <w:tc>
          <w:tcPr>
            <w:tcW w:w="53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2130122</w:t>
            </w:r>
          </w:p>
        </w:tc>
        <w:tc>
          <w:tcPr>
            <w:tcW w:w="153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农业生产发展</w:t>
            </w:r>
          </w:p>
        </w:tc>
        <w:tc>
          <w:tcPr>
            <w:tcW w:w="5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55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3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53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4.83</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4.83</w:t>
            </w:r>
          </w:p>
        </w:tc>
        <w:tc>
          <w:tcPr>
            <w:tcW w:w="534"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53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4.83</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4.83</w:t>
            </w:r>
          </w:p>
        </w:tc>
        <w:tc>
          <w:tcPr>
            <w:tcW w:w="534"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53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5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w:t>
            </w:r>
          </w:p>
        </w:tc>
        <w:tc>
          <w:tcPr>
            <w:tcW w:w="5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w:t>
            </w:r>
          </w:p>
        </w:tc>
        <w:tc>
          <w:tcPr>
            <w:tcW w:w="53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备注：本表反映单位本年度取得的各项收入情况。</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85"/>
        <w:gridCol w:w="974"/>
        <w:gridCol w:w="2256"/>
        <w:gridCol w:w="624"/>
        <w:gridCol w:w="909"/>
        <w:gridCol w:w="788"/>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75"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公开单位：重庆市万盛经济技术开发区农产品质量安全与市场管理中心</w:t>
            </w:r>
          </w:p>
        </w:tc>
        <w:tc>
          <w:tcPr>
            <w:tcW w:w="1824"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3"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收入</w:t>
            </w:r>
          </w:p>
        </w:tc>
        <w:tc>
          <w:tcPr>
            <w:tcW w:w="3156" w:type="pct"/>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91"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552"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133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w:t>
            </w:r>
          </w:p>
        </w:tc>
        <w:tc>
          <w:tcPr>
            <w:tcW w:w="1824" w:type="pct"/>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91"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52"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33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55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一般公共预算财政拨款</w:t>
            </w:r>
          </w:p>
        </w:tc>
        <w:tc>
          <w:tcPr>
            <w:tcW w:w="47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政府性基金预算财政拨款</w:t>
            </w:r>
          </w:p>
        </w:tc>
        <w:tc>
          <w:tcPr>
            <w:tcW w:w="47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115.88</w:t>
            </w: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9.66</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9.66</w:t>
            </w: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w:t>
            </w: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96.76</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96.76</w:t>
            </w: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w:t>
            </w: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115.88</w:t>
            </w: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115.88</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115.88</w:t>
            </w: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115.88</w:t>
            </w: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115.88</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115.88</w:t>
            </w: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备注：本表反映单位本年度一般公共预算财政拨款、政府性基金预算财政拨款及国有资本经营预算财政拨款的总收支和年末结转结余情况。</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6"/>
        <w:gridCol w:w="3257"/>
        <w:gridCol w:w="2265"/>
        <w:gridCol w:w="1079"/>
        <w:gridCol w:w="1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09"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公开单位：重庆市万盛经济技术开发区农产品质量安全与市场管理中心</w:t>
            </w:r>
          </w:p>
        </w:tc>
        <w:tc>
          <w:tcPr>
            <w:tcW w:w="179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79" w:type="pct"/>
            <w:gridSpan w:val="2"/>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2920" w:type="pct"/>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6"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633"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112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24"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866"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46"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63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12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24"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86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46"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63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129"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24"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86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79" w:type="pct"/>
            <w:gridSpan w:val="2"/>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1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115.88</w:t>
            </w:r>
          </w:p>
        </w:tc>
        <w:tc>
          <w:tcPr>
            <w:tcW w:w="9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105.88</w:t>
            </w:r>
          </w:p>
        </w:tc>
        <w:tc>
          <w:tcPr>
            <w:tcW w:w="86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6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社会保障和就业支出</w:t>
            </w:r>
          </w:p>
        </w:tc>
        <w:tc>
          <w:tcPr>
            <w:tcW w:w="11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9.66</w:t>
            </w:r>
          </w:p>
        </w:tc>
        <w:tc>
          <w:tcPr>
            <w:tcW w:w="9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9.66</w:t>
            </w:r>
          </w:p>
        </w:tc>
        <w:tc>
          <w:tcPr>
            <w:tcW w:w="86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6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行政事业单位养老支出</w:t>
            </w:r>
          </w:p>
        </w:tc>
        <w:tc>
          <w:tcPr>
            <w:tcW w:w="11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9.66</w:t>
            </w:r>
          </w:p>
        </w:tc>
        <w:tc>
          <w:tcPr>
            <w:tcW w:w="9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9.66</w:t>
            </w:r>
          </w:p>
        </w:tc>
        <w:tc>
          <w:tcPr>
            <w:tcW w:w="86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633"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1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w:t>
            </w:r>
          </w:p>
        </w:tc>
        <w:tc>
          <w:tcPr>
            <w:tcW w:w="9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w:t>
            </w:r>
          </w:p>
        </w:tc>
        <w:tc>
          <w:tcPr>
            <w:tcW w:w="8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633"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11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9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8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6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1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4.63</w:t>
            </w:r>
          </w:p>
        </w:tc>
        <w:tc>
          <w:tcPr>
            <w:tcW w:w="9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4.63</w:t>
            </w:r>
          </w:p>
        </w:tc>
        <w:tc>
          <w:tcPr>
            <w:tcW w:w="86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6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1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4.63</w:t>
            </w:r>
          </w:p>
        </w:tc>
        <w:tc>
          <w:tcPr>
            <w:tcW w:w="9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4.63</w:t>
            </w:r>
          </w:p>
        </w:tc>
        <w:tc>
          <w:tcPr>
            <w:tcW w:w="86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633"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事业单位医疗</w:t>
            </w:r>
          </w:p>
        </w:tc>
        <w:tc>
          <w:tcPr>
            <w:tcW w:w="11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9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8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2101199</w:t>
            </w:r>
          </w:p>
        </w:tc>
        <w:tc>
          <w:tcPr>
            <w:tcW w:w="1633"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其他行政事业单位医疗支出</w:t>
            </w:r>
          </w:p>
        </w:tc>
        <w:tc>
          <w:tcPr>
            <w:tcW w:w="11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9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8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16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11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96.76</w:t>
            </w:r>
          </w:p>
        </w:tc>
        <w:tc>
          <w:tcPr>
            <w:tcW w:w="9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86.76</w:t>
            </w:r>
          </w:p>
        </w:tc>
        <w:tc>
          <w:tcPr>
            <w:tcW w:w="8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w:t>
            </w:r>
          </w:p>
        </w:tc>
        <w:tc>
          <w:tcPr>
            <w:tcW w:w="16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农业农村</w:t>
            </w:r>
          </w:p>
        </w:tc>
        <w:tc>
          <w:tcPr>
            <w:tcW w:w="11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96.76</w:t>
            </w:r>
          </w:p>
        </w:tc>
        <w:tc>
          <w:tcPr>
            <w:tcW w:w="9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86.76</w:t>
            </w:r>
          </w:p>
        </w:tc>
        <w:tc>
          <w:tcPr>
            <w:tcW w:w="8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2130104</w:t>
            </w:r>
          </w:p>
        </w:tc>
        <w:tc>
          <w:tcPr>
            <w:tcW w:w="1633"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事业运行</w:t>
            </w:r>
          </w:p>
        </w:tc>
        <w:tc>
          <w:tcPr>
            <w:tcW w:w="11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86.76</w:t>
            </w:r>
          </w:p>
        </w:tc>
        <w:tc>
          <w:tcPr>
            <w:tcW w:w="9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86.76</w:t>
            </w:r>
          </w:p>
        </w:tc>
        <w:tc>
          <w:tcPr>
            <w:tcW w:w="8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2130122</w:t>
            </w:r>
          </w:p>
        </w:tc>
        <w:tc>
          <w:tcPr>
            <w:tcW w:w="1633"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农业生产发展</w:t>
            </w:r>
          </w:p>
        </w:tc>
        <w:tc>
          <w:tcPr>
            <w:tcW w:w="11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9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6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6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1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4.83</w:t>
            </w:r>
          </w:p>
        </w:tc>
        <w:tc>
          <w:tcPr>
            <w:tcW w:w="9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4.83</w:t>
            </w:r>
          </w:p>
        </w:tc>
        <w:tc>
          <w:tcPr>
            <w:tcW w:w="86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6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1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4.83</w:t>
            </w:r>
          </w:p>
        </w:tc>
        <w:tc>
          <w:tcPr>
            <w:tcW w:w="9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4.83</w:t>
            </w:r>
          </w:p>
        </w:tc>
        <w:tc>
          <w:tcPr>
            <w:tcW w:w="866"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633"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112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w:t>
            </w:r>
          </w:p>
        </w:tc>
        <w:tc>
          <w:tcPr>
            <w:tcW w:w="9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w:t>
            </w:r>
          </w:p>
        </w:tc>
        <w:tc>
          <w:tcPr>
            <w:tcW w:w="8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备注：本表反映单位本年度一般公共预算财政拨款支出情况。</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7"/>
        <w:gridCol w:w="2254"/>
        <w:gridCol w:w="968"/>
        <w:gridCol w:w="455"/>
        <w:gridCol w:w="1076"/>
        <w:gridCol w:w="455"/>
        <w:gridCol w:w="455"/>
        <w:gridCol w:w="1936"/>
        <w:gridCol w:w="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66"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公开单位：重庆市万盛经济技术开发区农产品质量安全与市场管理中心</w:t>
            </w:r>
          </w:p>
        </w:tc>
        <w:tc>
          <w:tcPr>
            <w:tcW w:w="3333"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66" w:type="pct"/>
            <w:gridSpan w:val="3"/>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人员经费</w:t>
            </w:r>
          </w:p>
        </w:tc>
        <w:tc>
          <w:tcPr>
            <w:tcW w:w="3333" w:type="pct"/>
            <w:gridSpan w:val="6"/>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经济分类科目编码</w:t>
            </w:r>
          </w:p>
        </w:tc>
        <w:tc>
          <w:tcPr>
            <w:tcW w:w="106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经济分类科目（按“款”级经济分类科目）</w:t>
            </w:r>
          </w:p>
        </w:tc>
        <w:tc>
          <w:tcPr>
            <w:tcW w:w="423"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c>
          <w:tcPr>
            <w:tcW w:w="18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经济分类科目编码</w:t>
            </w:r>
          </w:p>
        </w:tc>
        <w:tc>
          <w:tcPr>
            <w:tcW w:w="106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经济分类科目（按“款”级经济分类科目）</w:t>
            </w:r>
          </w:p>
        </w:tc>
        <w:tc>
          <w:tcPr>
            <w:tcW w:w="423"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c>
          <w:tcPr>
            <w:tcW w:w="18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经济分类科目编码</w:t>
            </w:r>
          </w:p>
        </w:tc>
        <w:tc>
          <w:tcPr>
            <w:tcW w:w="106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经济分类科目（按“款”级功能分类科目）</w:t>
            </w:r>
          </w:p>
        </w:tc>
        <w:tc>
          <w:tcPr>
            <w:tcW w:w="424"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1"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06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2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8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06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2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8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06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24"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91.70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14.17</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基本工资</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22.17</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0.35</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房屋建筑物购建</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津贴补贴</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印刷费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办公设备购置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奖金</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咨询费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专用设备购置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伙食补助费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手续费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基础设施建设</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绩效工资</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大型修缮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信息网络及软件购置更新</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职业年金缴费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邮电费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物资储备</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职工基本医疗保险缴费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取暖费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土地补偿</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公务员医疗补助缴费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物业管理费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安置补助</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其他社会保障缴费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差旅费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地上附着物和青苗补偿</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拆迁补偿</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维修（护）费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其他工资福利支出</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租赁费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其他交通工具购置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0.01</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文物和陈列品购置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离休费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无形资产购置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其他资本性支出</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退职（役）费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专用材料费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对企业补助</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抚恤金</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被装购置费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资本金注入</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生活补助</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专用燃料费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政府投资基金股权投资</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救济费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费用补贴</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医疗费补助</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委托业务费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利息补贴</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助学金</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工会经费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其他对企业补助</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奖励金</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0.01</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福利费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0.58</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个人农业生产补贴</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国家赔偿费用支出</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代缴社会保险费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其他交通费用</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对民间非营利组织和群众性自治组织补贴</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其他个人和家庭的补助支出</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税金及附加费用</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经常性赠与</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资本性赠与</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国内债务付息</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国外债务付息</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国内债务发行费用</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国外债务发行费用</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2"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人员经费合计</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91.71</w:t>
            </w:r>
          </w:p>
        </w:tc>
        <w:tc>
          <w:tcPr>
            <w:tcW w:w="2908" w:type="pct"/>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公用经费合计</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注：本表反映单位本年度一般公共预算财政拨款基本支出明细情况。</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6"/>
        <w:gridCol w:w="2910"/>
        <w:gridCol w:w="1493"/>
        <w:gridCol w:w="668"/>
        <w:gridCol w:w="668"/>
        <w:gridCol w:w="668"/>
        <w:gridCol w:w="668"/>
        <w:gridCol w:w="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92"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公开单位：重庆市万盛经济技术开发区农产品质量安全与市场管理中心</w:t>
            </w:r>
          </w:p>
        </w:tc>
        <w:tc>
          <w:tcPr>
            <w:tcW w:w="2807"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66"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年初结转和结余</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w:t>
            </w:r>
          </w:p>
        </w:tc>
        <w:tc>
          <w:tcPr>
            <w:tcW w:w="1684" w:type="pct"/>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w:t>
            </w:r>
          </w:p>
        </w:tc>
        <w:tc>
          <w:tcPr>
            <w:tcW w:w="562"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4"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66"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6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备注：1、本表反映单位本年度政府性基金预算财政拨款收入支出及结转和结余情况。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2、本单位无政府性基金收入，也没有使用政府性基金安排的支出，故本表无数据。</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8"/>
        <w:gridCol w:w="2776"/>
        <w:gridCol w:w="1737"/>
        <w:gridCol w:w="1740"/>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18"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公开单位：重庆市万盛经济技术开发区农产品质量安全与市场管理中心</w:t>
            </w:r>
          </w:p>
        </w:tc>
        <w:tc>
          <w:tcPr>
            <w:tcW w:w="9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57"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2942" w:type="pct"/>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85"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57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科目名称</w:t>
            </w:r>
          </w:p>
        </w:tc>
        <w:tc>
          <w:tcPr>
            <w:tcW w:w="980"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80"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98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57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80"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80"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8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57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80"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80"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8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57"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8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9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备注：1、本表反映单位本年度国有资本经营预算财政拨款支出情况。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2、本单位无国有资本经营预算财政拨款支出，故本表无数据。</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29"/>
        <w:gridCol w:w="865"/>
        <w:gridCol w:w="865"/>
        <w:gridCol w:w="606"/>
        <w:gridCol w:w="3060"/>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机构运行信息表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82"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公开单位：重庆市万盛经济技术开发区农产品质量安全与市场管理中心</w:t>
            </w:r>
          </w:p>
        </w:tc>
        <w:tc>
          <w:tcPr>
            <w:tcW w:w="221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47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年初预算数</w:t>
            </w:r>
          </w:p>
        </w:tc>
        <w:tc>
          <w:tcPr>
            <w:tcW w:w="47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全年预算数</w:t>
            </w:r>
          </w:p>
        </w:tc>
        <w:tc>
          <w:tcPr>
            <w:tcW w:w="32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32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一、“三公”经费支出</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四、机关运行经费</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（一）支出合计</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32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（一）行政单位</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1．因公出国（境）费</w:t>
            </w:r>
          </w:p>
        </w:tc>
        <w:tc>
          <w:tcPr>
            <w:tcW w:w="4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（二）参照公务员法管理事业单位</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2．公务用车购置及运行维护费</w:t>
            </w:r>
          </w:p>
        </w:tc>
        <w:tc>
          <w:tcPr>
            <w:tcW w:w="4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五、资产信息</w:t>
            </w:r>
          </w:p>
        </w:tc>
        <w:tc>
          <w:tcPr>
            <w:tcW w:w="32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（1）公务用车购置费</w:t>
            </w:r>
          </w:p>
        </w:tc>
        <w:tc>
          <w:tcPr>
            <w:tcW w:w="4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（一）车辆数合计（辆）</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（2）公务用车运行维护费</w:t>
            </w:r>
          </w:p>
        </w:tc>
        <w:tc>
          <w:tcPr>
            <w:tcW w:w="4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1．副部（省）级及以上领导用车</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3．公务接待费</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32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2．主要领导干部用车</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（1）国内接待费</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3．机要通信用车</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其中：外事接待费</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4．应急保障用车</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（2）国（境）外接待费</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5．执法执勤用车</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（二）相关统计数</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6．特种专业技术用车</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1．因公出国（境）团组数（个）</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7．离退休干部用车</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2．因公出国（境）人次数（人）</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8．其他用车</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3．公务用车购置数（辆）</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（二）单价100万元（含）以上设备（不含车辆）</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4．公务用车保有量（辆）</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六、政府采购支出信息</w:t>
            </w:r>
          </w:p>
        </w:tc>
        <w:tc>
          <w:tcPr>
            <w:tcW w:w="32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5．国内公务接待批次（个）</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（一）政府采购支出合计</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其中：外事接待批次（个）</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1．政府采购货物支出</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6．国内公务接待人次（人）</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2．政府采购工程支出</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其中：外事接待人次（人）</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3．政府采购服务支出</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7．国（境）外公务接待批次（个）</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（二）政府采购授予中小企业合同金额</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8．国（境）外公务接待人次（人）</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其中：授予小微企业合同金额</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二、会议费</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三、培训费</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w:t>
            </w:r>
          </w:p>
        </w:tc>
        <w:tc>
          <w:tcPr>
            <w:tcW w:w="1894"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2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表反应单位本年度“三公”经费支出预决算情况。其中：年初预算数为“三公”经费年初单位预算批复数，全年预算数为“三公”经费全年预算数，反应按照规定程序调整后的预算数；决算数是包括当年一般公共预算财政拨款、政府性基金预算财政拨款和以前年度结转资金安排的实际支出。</w:t>
            </w:r>
          </w:p>
        </w:tc>
      </w:tr>
    </w:tbl>
    <w:p>
      <w:pPr>
        <w:pStyle w:val="10"/>
        <w:keepNext w:val="0"/>
        <w:keepLines w:val="0"/>
        <w:widowControl/>
        <w:suppressLineNumbers w:val="0"/>
        <w:spacing w:before="0" w:beforeAutospacing="0"/>
        <w:ind w:left="0"/>
        <w:jc w:val="both"/>
      </w:pP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OTZkNDZkZDYwMDUzZTQyN2E1YTZmMWVjMjMxMDkifQ=="/>
  </w:docVars>
  <w:rsids>
    <w:rsidRoot w:val="00000000"/>
    <w:rsid w:val="07913DCC"/>
    <w:rsid w:val="095215E7"/>
    <w:rsid w:val="0E1907DC"/>
    <w:rsid w:val="0FD51400"/>
    <w:rsid w:val="13E8366A"/>
    <w:rsid w:val="1B5C6D26"/>
    <w:rsid w:val="22275DA6"/>
    <w:rsid w:val="23460DA5"/>
    <w:rsid w:val="30F1217C"/>
    <w:rsid w:val="37543D54"/>
    <w:rsid w:val="3C736035"/>
    <w:rsid w:val="42C43C0D"/>
    <w:rsid w:val="4A625033"/>
    <w:rsid w:val="52190688"/>
    <w:rsid w:val="59052A3B"/>
    <w:rsid w:val="5DB96CBC"/>
    <w:rsid w:val="649235D8"/>
    <w:rsid w:val="65841B51"/>
    <w:rsid w:val="66653D03"/>
    <w:rsid w:val="67B40A7D"/>
    <w:rsid w:val="68EF6598"/>
    <w:rsid w:val="6B582AC6"/>
    <w:rsid w:val="6C4C07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heme="minorEastAsia" w:hAnsiTheme="minorEastAsia" w:eastAsiaTheme="minorEastAsia" w:cstheme="minorEastAsia"/>
      <w:kern w:val="0"/>
      <w:sz w:val="24"/>
      <w:szCs w:val="24"/>
      <w:lang w:val="en-US" w:eastAsia="zh-CN" w:bidi="ar"/>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before="0" w:beforeAutospacing="0" w:after="0" w:afterAutospacing="0"/>
      <w:ind w:left="0" w:right="0" w:firstLine="648" w:firstLineChars="200"/>
      <w:jc w:val="left"/>
    </w:pPr>
    <w:rPr>
      <w:rFonts w:hint="eastAsia" w:ascii="方正黑体_GBK" w:hAnsi="Courier New" w:eastAsia="方正仿宋_GBK" w:cs="Times New Roman"/>
      <w:kern w:val="0"/>
      <w:sz w:val="32"/>
      <w:szCs w:val="32"/>
      <w:lang w:val="en-US" w:eastAsia="zh-CN" w:bidi="ar"/>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paragraph" w:customStyle="1" w:styleId="14">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5">
    <w:name w:val="15"/>
    <w:basedOn w:val="12"/>
    <w:qFormat/>
    <w:uiPriority w:val="0"/>
    <w:rPr>
      <w:rFonts w:hint="default" w:ascii="Times New Roman" w:hAnsi="Times New Roman" w:cs="Times New Roman"/>
      <w:b/>
    </w:rPr>
  </w:style>
  <w:style w:type="paragraph" w:customStyle="1" w:styleId="16">
    <w:name w:val="普通(网站) Char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7">
    <w:name w:val="List Paragraph"/>
    <w:basedOn w:val="1"/>
    <w:qFormat/>
    <w:uiPriority w:val="34"/>
    <w:pPr>
      <w:spacing w:before="0" w:beforeAutospacing="0" w:after="0" w:afterAutospacing="0"/>
      <w:ind w:left="0" w:right="0" w:firstLine="420" w:firstLineChars="200"/>
      <w:jc w:val="left"/>
    </w:pPr>
    <w:rPr>
      <w:rFonts w:hint="eastAsia" w:ascii="宋体" w:hAnsi="宋体" w:eastAsia="宋体" w:cs="宋体"/>
      <w:kern w:val="0"/>
      <w:sz w:val="24"/>
      <w:szCs w:val="24"/>
      <w:lang w:val="en-US" w:eastAsia="zh-CN" w:bidi="ar"/>
    </w:rPr>
  </w:style>
  <w:style w:type="character" w:customStyle="1" w:styleId="18">
    <w:name w:val="16"/>
    <w:basedOn w:val="12"/>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24</Pages>
  <Words>8700</Words>
  <Characters>10259</Characters>
  <TotalTime>1</TotalTime>
  <ScaleCrop>false</ScaleCrop>
  <LinksUpToDate>false</LinksUpToDate>
  <CharactersWithSpaces>10260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2023-10-18T08:24:00Z</dcterms:created>
  <dc:creator>Administrator</dc:creator>
  <cp:lastModifiedBy>彭鹏</cp:lastModifiedBy>
  <dcterms:modified xsi:type="dcterms:W3CDTF">2023-10-31T01:34:26Z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9AB845D19F514C59A2E14EF668F96F0E_13</vt:lpwstr>
  </property>
</Properties>
</file>