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exact"/>
          <w:jc w:val="center"/>
        </w:trPr>
        <w:tc>
          <w:tcPr>
            <w:tcW w:w="8820" w:type="dxa"/>
            <w:vAlign w:val="top"/>
          </w:tcPr>
          <w:p>
            <w:pPr>
              <w:wordWrap/>
              <w:adjustRightInd/>
              <w:snapToGrid/>
              <w:spacing w:beforeAutospacing="0" w:afterAutospacing="0" w:line="594" w:lineRule="exact"/>
              <w:textAlignment w:val="auto"/>
              <w:outlineLvl w:val="9"/>
              <w:rPr>
                <w:rFonts w:hint="default" w:ascii="Times New Roman" w:hAnsi="Times New Roman" w:eastAsia="方正仿宋_GBK" w:cs="Times New Roman"/>
                <w:b/>
                <w:color w:val="FF0000"/>
                <w:sz w:val="33"/>
                <w:szCs w:val="33"/>
              </w:rPr>
            </w:pPr>
          </w:p>
          <w:p>
            <w:pPr>
              <w:wordWrap/>
              <w:adjustRightInd/>
              <w:snapToGrid/>
              <w:spacing w:beforeAutospacing="0" w:afterAutospacing="0" w:line="594" w:lineRule="exact"/>
              <w:textAlignment w:val="auto"/>
              <w:outlineLvl w:val="9"/>
              <w:rPr>
                <w:rFonts w:hint="default" w:ascii="Times New Roman" w:hAnsi="Times New Roman" w:eastAsia="方正仿宋_GBK" w:cs="Times New Roman"/>
                <w:b/>
                <w:color w:val="FF0000"/>
                <w:sz w:val="33"/>
                <w:szCs w:val="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20" w:type="dxa"/>
            <w:vAlign w:val="top"/>
          </w:tcPr>
          <w:p>
            <w:pPr>
              <w:wordWrap/>
              <w:adjustRightInd/>
              <w:snapToGrid/>
              <w:spacing w:beforeAutospacing="0" w:afterAutospacing="0" w:line="594" w:lineRule="exact"/>
              <w:textAlignment w:val="auto"/>
              <w:outlineLvl w:val="9"/>
              <w:rPr>
                <w:rFonts w:hint="default" w:ascii="Times New Roman" w:hAnsi="Times New Roman" w:eastAsia="方正仿宋_GBK" w:cs="Times New Roman"/>
                <w:sz w:val="33"/>
                <w:szCs w:val="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820" w:type="dxa"/>
            <w:vAlign w:val="top"/>
          </w:tcPr>
          <w:p>
            <w:pPr>
              <w:wordWrap/>
              <w:adjustRightInd/>
              <w:snapToGrid/>
              <w:spacing w:beforeAutospacing="0" w:afterAutospacing="0" w:line="594" w:lineRule="exact"/>
              <w:textAlignment w:val="auto"/>
              <w:outlineLvl w:val="9"/>
              <w:rPr>
                <w:rFonts w:hint="default" w:ascii="Times New Roman" w:hAnsi="Times New Roman" w:eastAsia="方正仿宋_GBK" w:cs="Times New Roman"/>
                <w:sz w:val="33"/>
                <w:szCs w:val="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9" w:hRule="exact"/>
          <w:jc w:val="center"/>
        </w:trPr>
        <w:tc>
          <w:tcPr>
            <w:tcW w:w="8820" w:type="dxa"/>
            <w:vAlign w:val="center"/>
          </w:tcPr>
          <w:p>
            <w:pPr>
              <w:wordWrap/>
              <w:adjustRightInd/>
              <w:snapToGrid/>
              <w:spacing w:beforeAutospacing="0" w:afterAutospacing="0" w:line="720" w:lineRule="auto"/>
              <w:jc w:val="center"/>
              <w:textAlignment w:val="auto"/>
              <w:outlineLvl w:val="9"/>
              <w:rPr>
                <w:rFonts w:hint="default" w:ascii="Times New Roman" w:hAnsi="Times New Roman" w:eastAsia="方正仿宋_GBK" w:cs="Times New Roman"/>
                <w:b/>
                <w:color w:val="FF0000"/>
                <w:w w:val="45"/>
                <w:sz w:val="33"/>
                <w:szCs w:val="33"/>
              </w:rPr>
            </w:pPr>
            <w:r>
              <w:rPr>
                <w:rFonts w:hint="default" w:ascii="Times New Roman" w:hAnsi="Times New Roman" w:eastAsia="方正小标宋_GBK" w:cs="Times New Roman"/>
                <w:color w:val="FF0000"/>
                <w:kern w:val="2"/>
                <w:sz w:val="44"/>
                <w:szCs w:val="118"/>
                <w:lang w:val="en-US" w:eastAsia="zh-CN" w:bidi="ar-SA"/>
              </w:rPr>
              <w:pict>
                <v:shape id="_x0000_i1025" o:spt="136" type="#_x0000_t136" style="height:48.75pt;width:426.0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重庆市万盛经济技术开发区民政局文件" style="font-family:方正小标宋_GBK;font-size:36pt;font-weight:bold;v-text-align:center;"/>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20" w:type="dxa"/>
            <w:vAlign w:val="top"/>
          </w:tcPr>
          <w:p>
            <w:pPr>
              <w:tabs>
                <w:tab w:val="left" w:pos="8448"/>
              </w:tabs>
              <w:wordWrap/>
              <w:adjustRightInd/>
              <w:snapToGrid/>
              <w:spacing w:beforeAutospacing="0" w:afterAutospacing="0" w:line="594" w:lineRule="exact"/>
              <w:jc w:val="center"/>
              <w:textAlignment w:val="auto"/>
              <w:outlineLvl w:val="9"/>
              <w:rPr>
                <w:rFonts w:hint="default" w:ascii="Times New Roman" w:hAnsi="Times New Roman" w:eastAsia="方正仿宋_GBK" w:cs="Times New Roman"/>
                <w:kern w:val="0"/>
                <w:sz w:val="33"/>
                <w:szCs w:val="3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8820" w:type="dxa"/>
            <w:vAlign w:val="center"/>
          </w:tcPr>
          <w:p>
            <w:pPr>
              <w:wordWrap/>
              <w:adjustRightInd/>
              <w:snapToGrid/>
              <w:spacing w:beforeAutospacing="0" w:afterAutospacing="0" w:line="594" w:lineRule="exact"/>
              <w:jc w:val="center"/>
              <w:textAlignment w:val="auto"/>
              <w:outlineLvl w:val="9"/>
              <w:rPr>
                <w:rFonts w:hint="default" w:ascii="Times New Roman" w:hAnsi="Times New Roman" w:eastAsia="方正仿宋_GBK" w:cs="Times New Roman"/>
                <w:color w:val="FF0000"/>
                <w:sz w:val="33"/>
                <w:szCs w:val="33"/>
              </w:rPr>
            </w:pPr>
            <w:r>
              <w:rPr>
                <w:rFonts w:hint="default" w:ascii="Times New Roman" w:hAnsi="Times New Roman" w:eastAsia="方正仿宋_GBK" w:cs="Times New Roman"/>
                <w:color w:val="FF0000"/>
                <w:kern w:val="2"/>
                <w:sz w:val="33"/>
                <w:szCs w:val="33"/>
                <w:lang w:val="en-US" w:eastAsia="zh-CN" w:bidi="ar-SA"/>
              </w:rPr>
              <w:pict>
                <v:line id="直接连接符 2" o:spid="_x0000_s1028" o:spt="20" style="position:absolute;left:0pt;margin-left:-4.35pt;margin-top:5.55pt;height:0.1pt;width:440.15pt;z-index:251659264;mso-width-relative:page;mso-height-relative:page;" fillcolor="#FFFFFF" filled="f" o:preferrelative="t" stroked="t" coordsize="21600,21600">
                  <v:path arrowok="t"/>
                  <v:fill on="f" color2="#FFFFFF" focussize="0,0"/>
                  <v:stroke weight="2.04992125984252pt" color="#FF0000" color2="#FFFFFF" miterlimit="2"/>
                  <v:imagedata gain="65536f" blacklevel="0f" gamma="0" o:title=""/>
                  <o:lock v:ext="edit" position="f" selection="f" grouping="f" rotation="f" cropping="f" text="f" aspectratio="f"/>
                </v:lin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8820" w:type="dxa"/>
            <w:vAlign w:val="center"/>
          </w:tcPr>
          <w:p>
            <w:pPr>
              <w:wordWrap/>
              <w:adjustRightInd/>
              <w:snapToGrid/>
              <w:spacing w:beforeAutospacing="0" w:afterAutospacing="0" w:line="594" w:lineRule="exact"/>
              <w:jc w:val="center"/>
              <w:textAlignment w:val="auto"/>
              <w:outlineLvl w:val="9"/>
              <w:rPr>
                <w:rFonts w:hint="default" w:ascii="Times New Roman" w:hAnsi="Times New Roman" w:eastAsia="方正仿宋_GBK" w:cs="Times New Roman"/>
                <w:color w:val="FF0000"/>
                <w:sz w:val="33"/>
                <w:szCs w:val="33"/>
              </w:rPr>
            </w:pPr>
          </w:p>
        </w:tc>
      </w:tr>
    </w:tbl>
    <w:p>
      <w:pPr>
        <w:widowControl w:val="0"/>
        <w:wordWrap/>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重庆市万盛经开区民政局</w:t>
      </w:r>
    </w:p>
    <w:p>
      <w:pPr>
        <w:widowControl w:val="0"/>
        <w:wordWrap/>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关于社会组织202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年年度检查的催告通知</w:t>
      </w:r>
    </w:p>
    <w:p>
      <w:pPr>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各社会团体，各民办非企业单位，各业务（行业）主管部门：</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根据国务院《社会团体登记管理条例》、《民办非企业单位登记管理暂行条例》的有关规定，我局已于202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年4月开始社会组织年度检查工作，按照要求，202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年6月30日为各社会组织完成网上填报和业务主管单位初审后向我局报送纸质文本材料的截止时限，届时网上年检系统将自动关闭，逾期</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不再受理本次年检。截止到202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日，还未完成年检的社会团体有</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其中，未填写报告的有</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个；未完成年检的民办非企业</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lang w:eastAsia="zh-CN"/>
        </w:rPr>
        <w:t>有</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个，其中，未填写年检报告的有</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个。为确保本次社会组织年检任务</w:t>
      </w:r>
      <w:r>
        <w:rPr>
          <w:rFonts w:hint="eastAsia" w:ascii="Times New Roman" w:hAnsi="Times New Roman" w:eastAsia="方正仿宋_GBK" w:cs="Times New Roman"/>
          <w:sz w:val="32"/>
          <w:szCs w:val="32"/>
          <w:lang w:eastAsia="zh-CN"/>
        </w:rPr>
        <w:t>按时</w:t>
      </w:r>
      <w:r>
        <w:rPr>
          <w:rFonts w:hint="default" w:ascii="Times New Roman" w:hAnsi="Times New Roman" w:eastAsia="方正仿宋_GBK" w:cs="Times New Roman"/>
          <w:sz w:val="32"/>
          <w:szCs w:val="32"/>
        </w:rPr>
        <w:t>完成，现将相关要求通知如下：</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请各业务（行业）主管部门高度重视，及时通知所主管的社会组织参加年检，特别是还没有启动年检工作的社会组织一定要催办、督促到位。连续两年不参加年检或年检不合格的社会组织，将予以撤销，同时将信用信息情况报送相关部门进行公布，将影响法定代表人个人信用。</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二、对连续不参加年检、不开展业务活动、无法取得联系的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僵尸型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组织，各业务（行业）主管部门要加强督促和指导，督促名存实亡的社会组织办理注销程序；采取措施对内部混乱的社会组织进行整改；对效能不高的社会组织进行激活。要进一步优化社会组织结构，净化社会组织发展环境，防范化解社会组织风险，促进社会组织高质量发展。</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三、各社会组织负责人或者具体经办人员可</w:t>
      </w:r>
      <w:r>
        <w:rPr>
          <w:rFonts w:hint="eastAsia" w:ascii="Times New Roman" w:hAnsi="Times New Roman" w:eastAsia="方正仿宋_GBK" w:cs="Times New Roman"/>
          <w:sz w:val="32"/>
          <w:szCs w:val="32"/>
          <w:lang w:eastAsia="zh-CN"/>
        </w:rPr>
        <w:t>扫码</w:t>
      </w:r>
      <w:r>
        <w:rPr>
          <w:rFonts w:hint="default" w:ascii="Times New Roman" w:hAnsi="Times New Roman" w:eastAsia="方正仿宋_GBK" w:cs="Times New Roman"/>
          <w:sz w:val="32"/>
          <w:szCs w:val="32"/>
        </w:rPr>
        <w:t>加入万盛社会组织</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lang w:eastAsia="zh-CN"/>
        </w:rPr>
        <w:t>微信</w:t>
      </w:r>
      <w:r>
        <w:rPr>
          <w:rFonts w:hint="default" w:ascii="Times New Roman" w:hAnsi="Times New Roman" w:eastAsia="方正仿宋_GBK" w:cs="Times New Roman"/>
          <w:sz w:val="32"/>
          <w:szCs w:val="32"/>
        </w:rPr>
        <w:t>群，进群请备注社会组织名称与工作人员姓名，联系人：陶明芬，联系电话：023-48289257，15023109900。</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附件：1．未完成202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年年度检查的社会组织名单</w:t>
      </w:r>
    </w:p>
    <w:p>
      <w:pPr>
        <w:widowControl w:val="0"/>
        <w:numPr>
          <w:ilvl w:val="0"/>
          <w:numId w:val="1"/>
        </w:numPr>
        <w:wordWrap/>
        <w:adjustRightInd/>
        <w:snapToGrid/>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社会组织异常名单</w:t>
      </w:r>
    </w:p>
    <w:p>
      <w:pPr>
        <w:widowControl w:val="0"/>
        <w:numPr>
          <w:ilvl w:val="0"/>
          <w:numId w:val="1"/>
        </w:numPr>
        <w:wordWrap/>
        <w:adjustRightInd/>
        <w:snapToGrid/>
        <w:spacing w:line="594"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万盛社会组织工作微信群二维码</w:t>
      </w: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eastAsia" w:ascii="Times New Roman" w:hAnsi="Times New Roman" w:eastAsia="方正仿宋_GBK" w:cs="Times New Roman"/>
          <w:sz w:val="32"/>
          <w:szCs w:val="32"/>
          <w:lang w:eastAsia="zh-CN"/>
        </w:rPr>
      </w:pPr>
      <w:r>
        <w:rPr>
          <w:sz w:val="32"/>
        </w:rPr>
        <w:pict>
          <v:rect id="KGD_66696CB8$01$29$00011" o:spid="_x0000_s1034" o:spt="1" alt="nwkOiId/bBbOAe61rgYT4vXM3UaFFF0tl2W9B2ekj1Z7kYnHXrUHbs1gN35c90qvy1twKePVsaMVb58Ff3gN0xz9VIa6c2Bx412GA16Vi1p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f0IxxqqScHmO+VQSX/GROGfg/i8MgltlWzg698TXnyJynE5mGdHat4PdGjUri7HO4sqeDY8Q1zWvGo0i7hFOPFsRnvof3y0CtAJwSxmS+Zu3ZZkArOaVpxSCR9oSn5qRiaCXyC3J2hrtfn1wfvhK45UD1xrQeapf8GZpA7zIGaB4FkzJQnkhVcOroKv2D3+GBDeKmLC8JK7/wjbpOh+W3/+kuFa7zE6oY2Ny+23/LWOIlJU9c1R29zmKHNAAs6pdko7HoH+kCRIAcXbQTaWj/4ZlJrKrYy5pKv2AsWCcyUGU+LgXfatkbjxPc1BfXDqbr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rVPEtR83Phdhmy9UvwC+jQkSLJmxWnJ06GHgSuOKoPxdKb0DX1Keg7O1YvDv+lWigtRa5x8HZ81y4d+3QnScF4S6TAqO+m7Fgi/dK/eAo3HxHnCW4emKohrtfjTKGRO7uiB7/PEcAFsucqh2RBv+zbWLtymoIKCJdmAm8NMbj+rIGP9Kzs9uPV9BQWUZ2OLsBRd0jDrfVtESySePM5o7DQoPrceUjQx5ojQWsRIdNopaBpSErP66hwJ9cPEUeMxck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64384;mso-width-relative:page;mso-height-relative:page;" fillcolor="#FFFFFF" filled="t" stroked="t" coordsize="21600,21600">
            <v:path/>
            <v:fill on="t" focussize="0,0"/>
            <v:stroke color="#000000"/>
            <v:imagedata o:title=""/>
            <o:lock v:ext="edit" aspectratio="f"/>
          </v:rect>
        </w:pict>
      </w:r>
      <w:r>
        <w:rPr>
          <w:sz w:val="32"/>
        </w:rPr>
        <w:pict>
          <v:rect id="KGD_KG_Seal_12" o:spid="_x0000_s1033" o:spt="1" alt="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style="position:absolute;left:0pt;margin-left:-89.35pt;margin-top:-94.9pt;height:5pt;width:5pt;visibility:hidden;z-index:251663360;mso-width-relative:page;mso-height-relative:page;" fillcolor="#FFFFFF" filled="t" stroked="t" coordsize="21600,21600">
            <v:path/>
            <v:fill on="t" focussize="0,0"/>
            <v:stroke color="#000000"/>
            <v:imagedata o:title=""/>
            <o:lock v:ext="edit" aspectratio="f"/>
          </v:rect>
        </w:pict>
      </w:r>
      <w:r>
        <w:rPr>
          <w:sz w:val="32"/>
        </w:rPr>
        <w:pict>
          <v:rect id="KGD_KG_Seal_11" o:spid="_x0000_s1032" o:spt="1" alt="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style="position:absolute;left:0pt;margin-left:-89.35pt;margin-top:-94.9pt;height:5pt;width:5pt;visibility:hidden;z-index:251662336;mso-width-relative:page;mso-height-relative:page;" fillcolor="#FFFFFF" filled="t" stroked="t" coordsize="21600,21600">
            <v:path/>
            <v:fill on="t" focussize="0,0"/>
            <v:stroke color="#000000"/>
            <v:imagedata o:title=""/>
            <o:lock v:ext="edit" aspectratio="f"/>
          </v:rect>
        </w:pict>
      </w:r>
      <w:r>
        <w:rPr>
          <w:sz w:val="32"/>
        </w:rPr>
        <w:pict>
          <v:rect id="KGD_Gobal1" o:spid="_x0000_s1031" o:spt="1" alt="lskY7P30+39SSS2ze3CC/OOQH174rTHo5k0NR9SdeokjxKsaAuY5ejEZR9puD0hJuBLXfbm0feigW2OJtLYhwxrl5MYFSXa7ttK+ZBj84h3Td6CURIt2haLH6LsPjZMPP46JkPBxR48mStX3P00Rc59iHzCb2S7N+TGEv8FRRhT2KWWJOLZkh+89bzeflYvh+EP01eJiZ8xn+TZ4eCBXhnXWoDK+ZUza1aLKdqwuVD1rwsG3NP8yzZVSeCo40S9l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rWSWxKnOmuNZyD3KOiyuRx8onFOUK+F7QSagkbKQaCuZSxtZ2S7C3EbiqdhZtOlV02OeqS5NDsMLtuorAas7wj5je1Dd3viEdsR175Sjqt0ZdpcgnEFw9xS39saHQ5+Dmcle+94GKcFeoj7i/lr5gkb3uaMANxXkQzLp3TvbSLiiu+/DSrTbM3xARo49zWVsPggBPxPijKiI/YcOSbm6FA==" style="position:absolute;left:0pt;margin-left:-89.35pt;margin-top:-94.9pt;height:5pt;width:5pt;visibility:hidden;z-index:251661312;mso-width-relative:page;mso-height-relative:page;" fillcolor="#FFFFFF" filled="t" stroked="t" coordsize="21600,21600">
            <v:path/>
            <v:fill on="t" focussize="0,0"/>
            <v:stroke color="#000000"/>
            <v:imagedata o:title=""/>
            <o:lock v:ext="edit" aspectratio="f"/>
          </v:rect>
        </w:pict>
      </w:r>
      <w:r>
        <w:rPr>
          <w:rFonts w:hint="eastAsia" w:ascii="Times New Roman" w:hAnsi="Times New Roman" w:eastAsia="方正仿宋_GBK" w:cs="Times New Roman"/>
          <w:sz w:val="32"/>
          <w:szCs w:val="32"/>
          <w:lang w:eastAsia="zh-CN"/>
        </w:rPr>
        <w:t>（此页无正文）</w:t>
      </w:r>
    </w:p>
    <w:p>
      <w:pPr>
        <w:widowControl w:val="0"/>
        <w:wordWrap w:val="0"/>
        <w:adjustRightInd/>
        <w:snapToGrid/>
        <w:spacing w:line="594" w:lineRule="exact"/>
        <w:jc w:val="right"/>
        <w:textAlignment w:val="auto"/>
        <w:rPr>
          <w:rFonts w:hint="default" w:ascii="Times New Roman" w:hAnsi="Times New Roman" w:eastAsia="方正仿宋_GBK" w:cs="Times New Roman"/>
          <w:sz w:val="32"/>
          <w:szCs w:val="32"/>
        </w:rPr>
      </w:pPr>
    </w:p>
    <w:p>
      <w:pPr>
        <w:widowControl w:val="0"/>
        <w:wordWrap w:val="0"/>
        <w:adjustRightInd/>
        <w:snapToGrid/>
        <w:spacing w:line="594" w:lineRule="exact"/>
        <w:jc w:val="right"/>
        <w:textAlignment w:val="auto"/>
        <w:rPr>
          <w:rFonts w:hint="default" w:ascii="Times New Roman" w:hAnsi="Times New Roman" w:eastAsia="方正仿宋_GBK" w:cs="Times New Roman"/>
          <w:sz w:val="32"/>
          <w:szCs w:val="32"/>
        </w:rPr>
      </w:pPr>
    </w:p>
    <w:p>
      <w:pPr>
        <w:pStyle w:val="2"/>
        <w:wordWrap/>
        <w:rPr>
          <w:rFonts w:hint="default"/>
        </w:rPr>
      </w:pPr>
    </w:p>
    <w:p>
      <w:pPr>
        <w:widowControl w:val="0"/>
        <w:wordWrap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sz w:val="32"/>
        </w:rPr>
        <w:pict>
          <v:rect id="KG_Shd_3" o:spid="_x0000_s1030" o:spt="1" style="position:absolute;left:0pt;margin-left:-297.65pt;margin-top:-420.95pt;height:1683.8pt;width:1190.6pt;z-index:251665408;mso-width-relative:page;mso-height-relative:page;" fillcolor="#FFFFFF" filled="t" stroked="t" coordsize="21600,21600">
            <v:path/>
            <v:fill on="t" opacity="0f" focussize="0,0"/>
            <v:stroke color="#FFFFFF" opacity="0f"/>
            <v:imagedata o:title=""/>
            <o:lock v:ext="edit" aspectratio="f"/>
          </v:rect>
        </w:pict>
      </w:r>
      <w:r>
        <w:rPr>
          <w:rFonts w:hint="default" w:ascii="Times New Roman" w:hAnsi="Times New Roman" w:eastAsia="方正仿宋_GBK" w:cs="Times New Roman"/>
          <w:sz w:val="32"/>
          <w:szCs w:val="32"/>
        </w:rPr>
        <w:t>万盛经开</w:t>
      </w:r>
      <w:bookmarkStart w:id="0" w:name="_GoBack"/>
      <w:bookmarkEnd w:id="0"/>
      <w:r>
        <w:rPr>
          <w:sz w:val="32"/>
        </w:rPr>
        <w:drawing>
          <wp:anchor distT="0" distB="0" distL="114300" distR="114300" simplePos="0" relativeHeight="251657216" behindDoc="1" locked="1" layoutInCell="1" allowOverlap="1">
            <wp:simplePos x="0" y="0"/>
            <wp:positionH relativeFrom="page">
              <wp:posOffset>4734560</wp:posOffset>
            </wp:positionH>
            <wp:positionV relativeFrom="page">
              <wp:posOffset>1905635</wp:posOffset>
            </wp:positionV>
            <wp:extent cx="1522730" cy="1533525"/>
            <wp:effectExtent l="0" t="0" r="1270" b="9525"/>
            <wp:wrapNone/>
            <wp:docPr id="2" name="KG_66696CB8$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696CB8$01$29$0001$N$000300" descr="Seal"/>
                    <pic:cNvPicPr>
                      <a:picLocks noChangeAspect="1"/>
                    </pic:cNvPicPr>
                  </pic:nvPicPr>
                  <pic:blipFill>
                    <a:blip r:embed="rId5"/>
                    <a:stretch>
                      <a:fillRect/>
                    </a:stretch>
                  </pic:blipFill>
                  <pic:spPr>
                    <a:xfrm>
                      <a:off x="0" y="0"/>
                      <a:ext cx="1522730" cy="1533525"/>
                    </a:xfrm>
                    <a:prstGeom prst="rect">
                      <a:avLst/>
                    </a:prstGeom>
                  </pic:spPr>
                </pic:pic>
              </a:graphicData>
            </a:graphic>
          </wp:anchor>
        </w:drawing>
      </w:r>
      <w:r>
        <w:rPr>
          <w:rFonts w:hint="default" w:ascii="Times New Roman" w:hAnsi="Times New Roman" w:eastAsia="方正仿宋_GBK" w:cs="Times New Roman"/>
          <w:sz w:val="32"/>
          <w:szCs w:val="32"/>
        </w:rPr>
        <w:t>区民政局</w:t>
      </w:r>
      <w:r>
        <w:rPr>
          <w:rFonts w:hint="eastAsia" w:ascii="Times New Roman" w:hAnsi="Times New Roman" w:eastAsia="方正仿宋_GBK" w:cs="Times New Roman"/>
          <w:sz w:val="32"/>
          <w:szCs w:val="32"/>
          <w:lang w:val="en-US" w:eastAsia="zh-CN"/>
        </w:rPr>
        <w:t xml:space="preserve">    </w:t>
      </w:r>
    </w:p>
    <w:p>
      <w:pPr>
        <w:widowControl w:val="0"/>
        <w:wordWrap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widowControl w:val="0"/>
        <w:wordWrap/>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default" w:ascii="Times New Roman" w:hAnsi="Times New Roman" w:eastAsia="方正仿宋_GBK" w:cs="Times New Roman"/>
          <w:sz w:val="32"/>
          <w:szCs w:val="32"/>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eastAsia="zh-CN"/>
        </w:rPr>
      </w:pPr>
    </w:p>
    <w:p>
      <w:pPr>
        <w:widowControl w:val="0"/>
        <w:wordWrap/>
        <w:adjustRightInd/>
        <w:snapToGrid/>
        <w:spacing w:line="594"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widowControl w:val="0"/>
        <w:wordWrap/>
        <w:adjustRightInd/>
        <w:snapToGrid/>
        <w:spacing w:line="600" w:lineRule="exact"/>
        <w:jc w:val="center"/>
        <w:textAlignment w:val="auto"/>
        <w:rPr>
          <w:rFonts w:hint="eastAsia" w:ascii="方正黑体_GBK" w:hAnsi="方正黑体_GBK" w:eastAsia="方正黑体_GBK" w:cs="方正黑体_GBK"/>
          <w:sz w:val="44"/>
          <w:szCs w:val="44"/>
          <w:lang w:val="en-US" w:eastAsia="zh-CN"/>
        </w:rPr>
      </w:pPr>
    </w:p>
    <w:p>
      <w:pPr>
        <w:widowControl w:val="0"/>
        <w:wordWrap/>
        <w:adjustRightInd/>
        <w:snapToGrid/>
        <w:spacing w:line="60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未完成2023年年度检查的社会组织名单</w:t>
      </w:r>
    </w:p>
    <w:tbl>
      <w:tblPr>
        <w:tblStyle w:val="5"/>
        <w:tblpPr w:leftFromText="180" w:rightFromText="180" w:vertAnchor="text" w:horzAnchor="page" w:tblpXSpec="center" w:tblpY="583"/>
        <w:tblOverlap w:val="never"/>
        <w:tblW w:w="11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185"/>
        <w:gridCol w:w="4110"/>
        <w:gridCol w:w="178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rPr>
              <w:t>序号</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rPr>
              <w:t>类别</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rPr>
              <w:t>社会组织名称</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rPr>
              <w:t>业务主管单位</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rPr>
              <w:t>年检状态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重庆市万盛经济技术开发区志愿者协会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文明办</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重庆市万盛经济技术开发区音乐家协会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重庆市万盛经济技术开发区民间文艺家协会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重庆市万盛经济技术开发区金桥吹打协会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重庆市万盛经济技术开发区朗诵协会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重庆市万盛经济技术开发区舞蹈家协会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7</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重庆市万盛经济技术开发区光彩事业促进会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党工委统战部</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8</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重庆市万盛经开区新的社会阶层专业人士联合会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党工委统战部</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9</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重庆市万盛经开区党外知识分子联谊会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党工委统战部</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10</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重庆市万盛经济技术开发区基督教三自爱国运动委员会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民宗侨办</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11</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重庆市万盛经济技术开发区佛教协会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民宗侨办</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12</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重庆市万盛经济技术开发区林业科学技术协会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规划自然资源局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13</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万盛经开区水利学会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水利局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14</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重庆万盛有机猕猴桃产业发展协会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科技局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15</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重庆市万盛区优质稻专业技术协会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科协</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16</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万盛经开区土猪养殖专业技术协会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科协</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17</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重庆市万盛经济技术开发区电子商务协会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商务局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18</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重庆市万盛经济技术开发区文化市场行业管理协会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文化旅游局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19</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重庆市万盛经济技术开发区旅游行业协会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文化旅游局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20</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重庆市万盛经济技术开发区旅游联合会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文化旅游局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21</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重庆市万盛经济技术开发区刘子如纪念地研究会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文化旅游局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22</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重庆市万盛经开区安全生产协会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应急局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23</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重庆市万盛经济技术开发区体育总会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24</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重庆市万盛经开区游泳协会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25</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重庆市万盛经济技术开发区社会体育指导员协会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26</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重庆市万盛经开区国际象棋协会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27</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重庆市万盛经济技术开发区足球协会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28</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重庆市万盛经开区篮球协会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29</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重庆市万盛经济技术开发区建筑与房地产业协会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30</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重庆市万盛经济技术开发区食品生产协会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31</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重庆市万盛经济技术开发区东林街道商会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32</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重庆市万盛经济技术开发区关坝商会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33</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重庆市万盛经济技术开发区丛林商会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34</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重庆市万盛经济技术开发区金桥商会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35</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重庆市万盛经济技术开发区万盛街道商会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36</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重庆市万盛经济技术开发区石林商会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37</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重庆市万盛经济技术开发区万东商会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38</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重庆市万盛经济技术开发区工程机械商会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工商联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39</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重庆市万盛经济技术开发区民营医药协会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市场监管局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40</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重庆市万盛经济技术开发区青年志愿者协会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团区委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41</w:t>
            </w:r>
          </w:p>
        </w:tc>
        <w:tc>
          <w:tcPr>
            <w:tcW w:w="1185"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社会团体</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重庆市万盛经济技术开发区雨露志愿者协会</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直接登记</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重庆市万盛经济技术开发区红艳幼儿园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重庆市万盛经济技术开发区塔山晶晶幼儿园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重庆市万盛经济技术开发区腰子口星星幼儿园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重庆市万盛经济技术开发区世纪娃幼儿园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46</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万盛经开区新东方幼儿园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47</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重庆市万盛经济技术开发区贝贝幼儿园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48</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重庆市万盛经济技术开发区希园幼儿园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教育局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49</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重庆市万盛经济技术开发区玻璃产业技术创新研究院</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科技局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万盛经开区中小企业公共服务中心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经济信息局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重庆市万盛经济技术开发区万盛龙凤陵园</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民政局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重庆市万盛经济技术开发区万盛龙源殡仪服务中心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民政局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重庆市万盛经济技术开发区家立方社会工作服务中心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民政局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重庆市万盛经济技术开发区阳光社会工作服务中心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民政局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重庆市万盛经开区黑山镇康养服务中心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民政局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56</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重庆市万盛经开区正大信鸽运动俱乐部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57</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重庆市万盛经济技术开发区青少年体育俱乐部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58</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重庆市万盛经开区黑山谷青少年体育俱乐部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59</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重庆市万盛羽球飞扬青少年体育俱乐部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重庆市万盛经开区足球俱乐部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重庆市万盛经济技术开发区青少年游泳俱乐部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重庆市万盛经开区起航篮球俱乐部</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体育发展中心</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63</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重庆市万盛经开区万东镇稻草援助中心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万东镇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64</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重庆市万盛经济技术开发区金桥镇敬老院</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金桥镇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重庆市万盛经开区石林镇稻草援助中心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石林镇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66</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重庆市万盛经济技术开发区石林镇敬老院</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石林镇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67</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重庆市万盛经济技术开发区黑山镇敬老院</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黑山镇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未填写年检报告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nil"/>
            </w:tcBorders>
            <w:vAlign w:val="center"/>
          </w:tcPr>
          <w:p>
            <w:pPr>
              <w:widowControl/>
              <w:wordWrap/>
              <w:adjustRightInd/>
              <w:snapToGrid/>
              <w:spacing w:line="300" w:lineRule="exact"/>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68</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民办非企业单位</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重庆市万盛经济技术开发区益康残疾人托养服务中心</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直接登记</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rPr>
              <w:t>提交年检报告未通过初审</w:t>
            </w:r>
          </w:p>
        </w:tc>
      </w:tr>
    </w:tbl>
    <w:p>
      <w:pPr>
        <w:widowControl w:val="0"/>
        <w:wordWrap/>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widowControl w:val="0"/>
        <w:wordWrap/>
        <w:adjustRightInd/>
        <w:snapToGrid/>
        <w:spacing w:line="594" w:lineRule="exact"/>
        <w:jc w:val="center"/>
        <w:textAlignment w:val="auto"/>
        <w:rPr>
          <w:rFonts w:hint="eastAsia" w:ascii="方正黑体_GBK" w:hAnsi="方正黑体_GBK" w:eastAsia="方正黑体_GBK" w:cs="方正黑体_GBK"/>
          <w:sz w:val="44"/>
          <w:szCs w:val="44"/>
        </w:rPr>
      </w:pPr>
    </w:p>
    <w:p>
      <w:pPr>
        <w:widowControl w:val="0"/>
        <w:wordWrap/>
        <w:adjustRightInd/>
        <w:snapToGrid/>
        <w:spacing w:line="60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44"/>
          <w:szCs w:val="44"/>
        </w:rPr>
        <w:t>社会组织异常名单</w:t>
      </w:r>
    </w:p>
    <w:p>
      <w:pPr>
        <w:widowControl w:val="0"/>
        <w:wordWrap/>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p>
    <w:tbl>
      <w:tblPr>
        <w:tblStyle w:val="5"/>
        <w:tblW w:w="110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616"/>
        <w:gridCol w:w="2944"/>
        <w:gridCol w:w="1950"/>
        <w:gridCol w:w="2073"/>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序号</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类别</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社会组织名称</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业务主管单位</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状态</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重庆市万盛经济技术开发区光彩事业促进会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党工委统战部</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万盛经开区水利学会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水利局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3</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重庆万盛有机猕猴桃产业发展协会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科技局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4</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重庆市万盛区优质稻专业技术协会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科协</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5</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万盛经开区土猪养殖专业技术协会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科协</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重庆市万盛经开区安全生产协会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应急局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7</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社会团体</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重庆市万盛经济技术开发区食品生产协会</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工商联</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重庆市万盛经济技术开发区红艳幼儿园</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教育局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重庆市万盛经济技术开发区腰子口星星幼儿园</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教育局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重庆市万盛经济技术开发区世纪娃幼儿园</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教育局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11</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万盛经开区新东方幼儿园</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教育局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12</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重庆市万盛经济技术开发区玻璃产业技术创新研究院</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科技局</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13</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民办非企业单位</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重庆市万盛经济技术开发区青少年游泳俱乐部</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rPr>
              <w:t>体育发展中心</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sz w:val="20"/>
                <w:szCs w:val="20"/>
                <w:u w:val="none"/>
              </w:rPr>
              <w:t>两年以上未年检</w:t>
            </w: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0"/>
                <w:szCs w:val="20"/>
                <w:u w:val="none"/>
              </w:rPr>
            </w:pPr>
          </w:p>
        </w:tc>
      </w:tr>
    </w:tbl>
    <w:p>
      <w:pPr>
        <w:widowControl w:val="0"/>
        <w:wordWrap/>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widowControl w:val="0"/>
        <w:wordWrap/>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widowControl w:val="0"/>
        <w:wordWrap/>
        <w:adjustRightInd/>
        <w:snapToGrid/>
        <w:spacing w:before="313" w:beforeLines="100" w:after="313" w:afterLines="100" w:line="600" w:lineRule="exact"/>
        <w:jc w:val="center"/>
        <w:textAlignment w:val="auto"/>
        <w:rPr>
          <w:rFonts w:hint="eastAsia" w:ascii="方正黑体_GBK" w:hAnsi="方正黑体_GBK" w:eastAsia="方正黑体_GBK" w:cs="方正黑体_GBK"/>
          <w:sz w:val="44"/>
          <w:szCs w:val="44"/>
          <w:lang w:val="en-US" w:eastAsia="zh-CN"/>
        </w:rPr>
      </w:pPr>
      <w:r>
        <w:rPr>
          <w:rFonts w:hint="default" w:ascii="方正黑体_GBK" w:hAnsi="方正黑体_GBK" w:eastAsia="方正黑体_GBK" w:cs="方正黑体_GBK"/>
          <w:sz w:val="44"/>
          <w:szCs w:val="44"/>
          <w:lang w:val="en-US" w:eastAsia="zh-CN"/>
        </w:rPr>
        <w:drawing>
          <wp:anchor distT="0" distB="0" distL="114300" distR="114300" simplePos="0" relativeHeight="251660288" behindDoc="0" locked="0" layoutInCell="1" allowOverlap="1">
            <wp:simplePos x="0" y="0"/>
            <wp:positionH relativeFrom="column">
              <wp:posOffset>174625</wp:posOffset>
            </wp:positionH>
            <wp:positionV relativeFrom="paragraph">
              <wp:posOffset>1016635</wp:posOffset>
            </wp:positionV>
            <wp:extent cx="5608320" cy="5507355"/>
            <wp:effectExtent l="0" t="0" r="0" b="0"/>
            <wp:wrapSquare wrapText="bothSides"/>
            <wp:docPr id="1" name="图片 1" descr="mmqrcode171817290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qrcode1718172904084"/>
                    <pic:cNvPicPr>
                      <a:picLocks noChangeAspect="1"/>
                    </pic:cNvPicPr>
                  </pic:nvPicPr>
                  <pic:blipFill>
                    <a:blip r:embed="rId6"/>
                    <a:srcRect t="29841"/>
                    <a:stretch>
                      <a:fillRect/>
                    </a:stretch>
                  </pic:blipFill>
                  <pic:spPr>
                    <a:xfrm>
                      <a:off x="0" y="0"/>
                      <a:ext cx="5608320" cy="5507355"/>
                    </a:xfrm>
                    <a:prstGeom prst="rect">
                      <a:avLst/>
                    </a:prstGeom>
                  </pic:spPr>
                </pic:pic>
              </a:graphicData>
            </a:graphic>
          </wp:anchor>
        </w:drawing>
      </w:r>
      <w:r>
        <w:rPr>
          <w:rFonts w:hint="eastAsia" w:ascii="方正黑体_GBK" w:hAnsi="方正黑体_GBK" w:eastAsia="方正黑体_GBK" w:cs="方正黑体_GBK"/>
          <w:sz w:val="44"/>
          <w:szCs w:val="44"/>
          <w:lang w:val="en-US" w:eastAsia="zh-CN"/>
        </w:rPr>
        <w:t>万盛社会组织工作微信群二维码</w:t>
      </w:r>
    </w:p>
    <w:p>
      <w:pPr>
        <w:widowControl w:val="0"/>
        <w:wordWrap/>
        <w:adjustRightInd/>
        <w:snapToGrid/>
        <w:spacing w:line="594" w:lineRule="exact"/>
        <w:jc w:val="both"/>
        <w:textAlignment w:val="auto"/>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p>
      <w:pPr>
        <w:rPr>
          <w:rFonts w:hint="default" w:ascii="方正黑体_GBK" w:hAnsi="方正黑体_GBK" w:eastAsia="方正黑体_GBK" w:cs="方正黑体_GBK"/>
          <w:sz w:val="44"/>
          <w:szCs w:val="44"/>
          <w:lang w:val="en-US" w:eastAsia="zh-CN"/>
        </w:rPr>
      </w:pPr>
    </w:p>
    <w:p>
      <w:pPr>
        <w:pStyle w:val="2"/>
        <w:rPr>
          <w:rFonts w:hint="default" w:ascii="方正黑体_GBK" w:hAnsi="方正黑体_GBK" w:eastAsia="方正黑体_GBK" w:cs="方正黑体_GBK"/>
          <w:sz w:val="44"/>
          <w:szCs w:val="44"/>
          <w:lang w:val="en-US" w:eastAsia="zh-CN"/>
        </w:rPr>
      </w:pPr>
    </w:p>
    <w:tbl>
      <w:tblPr>
        <w:tblStyle w:val="5"/>
        <w:tblpPr w:leftFromText="180" w:rightFromText="180" w:vertAnchor="text" w:horzAnchor="page" w:tblpX="1554" w:tblpY="773"/>
        <w:tblOverlap w:val="never"/>
        <w:tblW w:w="8951" w:type="dxa"/>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951"/>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90" w:hRule="atLeast"/>
          <w:jc w:val="center"/>
        </w:trPr>
        <w:tc>
          <w:tcPr>
            <w:tcW w:w="8951" w:type="dxa"/>
            <w:tcBorders>
              <w:tl2br w:val="nil"/>
              <w:tr2bl w:val="nil"/>
            </w:tcBorders>
            <w:vAlign w:val="top"/>
          </w:tcPr>
          <w:p>
            <w:pPr>
              <w:widowControl w:val="0"/>
              <w:wordWrap/>
              <w:spacing w:line="594" w:lineRule="exact"/>
              <w:ind w:left="0" w:leftChars="0" w:firstLine="280" w:firstLineChars="1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重庆市万盛经开区民政局办公室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印发</w:t>
            </w:r>
          </w:p>
        </w:tc>
      </w:tr>
    </w:tbl>
    <w:p>
      <w:pPr>
        <w:pStyle w:val="2"/>
        <w:rPr>
          <w:rFonts w:hint="default"/>
          <w:lang w:val="en-US" w:eastAsia="zh-CN"/>
        </w:rPr>
      </w:pPr>
    </w:p>
    <w:sectPr>
      <w:footerReference r:id="rId3" w:type="default"/>
      <w:pgSz w:w="11906" w:h="16838"/>
      <w:pgMar w:top="2098" w:right="1474" w:bottom="1984" w:left="1587"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A3AE0"/>
    <w:multiLevelType w:val="singleLevel"/>
    <w:tmpl w:val="4F6A3AE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readOnly" w:enforcement="1" w:cryptProviderType="rsaFull" w:cryptAlgorithmClass="hash" w:cryptAlgorithmType="typeAny" w:cryptAlgorithmSid="4" w:cryptSpinCount="0" w:hash="5KRN0wB9ptfCk3fZYcEnI+paIXs=" w:salt="h6TjAY99WJpFBCYu5Nj4o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ZmMGQ1MWViZTM2ZjhhNGJjNjBmYjMyNDBhOTcwYjkifQ=="/>
    <w:docVar w:name="DocumentID" w:val="{BF615ECF-D1CB-408F-B30C-B4CC7FD2EB79}"/>
    <w:docVar w:name="DocumentName" w:val="关于社会组织2023年年度检查的催告通知"/>
    <w:docVar w:name="KSO_WPS_MARK_KEY" w:val="86ba1cda-8750-494c-877b-ce3d3873c119"/>
  </w:docVars>
  <w:rsids>
    <w:rsidRoot w:val="10D15424"/>
    <w:rsid w:val="05A96300"/>
    <w:rsid w:val="07DE6168"/>
    <w:rsid w:val="09436A8B"/>
    <w:rsid w:val="10D15424"/>
    <w:rsid w:val="15B10A0C"/>
    <w:rsid w:val="1D7414B2"/>
    <w:rsid w:val="2DBC3E98"/>
    <w:rsid w:val="3A053765"/>
    <w:rsid w:val="3A80103E"/>
    <w:rsid w:val="54FB1595"/>
    <w:rsid w:val="5502581B"/>
    <w:rsid w:val="58C46BDD"/>
    <w:rsid w:val="5D1551BE"/>
    <w:rsid w:val="617F52FC"/>
    <w:rsid w:val="63657CCF"/>
    <w:rsid w:val="650224CC"/>
    <w:rsid w:val="6A1D27B8"/>
    <w:rsid w:val="6ACF3DC7"/>
    <w:rsid w:val="6B3A7059"/>
    <w:rsid w:val="76F16E91"/>
    <w:rsid w:val="7A5A69CD"/>
    <w:rsid w:val="7EB46F5F"/>
    <w:rsid w:val="7F751FF9"/>
    <w:rsid w:val="AA5F72B3"/>
    <w:rsid w:val="FAB6A14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3680</Words>
  <Characters>3796</Characters>
  <Lines>0</Lines>
  <Paragraphs>0</Paragraphs>
  <TotalTime>7</TotalTime>
  <ScaleCrop>false</ScaleCrop>
  <LinksUpToDate>false</LinksUpToDate>
  <CharactersWithSpaces>3815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2024-06-11T19:43:00Z</dcterms:created>
  <dc:creator>水沐</dc:creator>
  <cp:lastModifiedBy>gyb1</cp:lastModifiedBy>
  <cp:lastPrinted>2024-06-12T06:19:00Z</cp:lastPrinted>
  <dcterms:modified xsi:type="dcterms:W3CDTF">2024-06-12T09:39:09Z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CBC72A23C6354E568F14B7A13884AFA3_11</vt:lpwstr>
  </property>
</Properties>
</file>