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E" w:rsidRDefault="00997FFE" w:rsidP="00997FFE">
      <w:pPr>
        <w:spacing w:before="117" w:line="224" w:lineRule="auto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997FFE" w:rsidRDefault="00997FFE" w:rsidP="00997FFE">
      <w:pPr>
        <w:spacing w:before="125" w:line="221" w:lineRule="auto"/>
        <w:ind w:right="1235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pacing w:val="1"/>
          <w:sz w:val="36"/>
          <w:szCs w:val="36"/>
        </w:rPr>
        <w:t>未经登记从事养老服务经营活动的服务场所风险摸底</w:t>
      </w:r>
      <w:r>
        <w:rPr>
          <w:rFonts w:ascii="Times New Roman" w:eastAsia="方正小标宋_GBK" w:hAnsi="Times New Roman" w:cs="Times New Roman"/>
          <w:spacing w:val="-23"/>
          <w:sz w:val="36"/>
          <w:szCs w:val="36"/>
        </w:rPr>
        <w:t>排查情况统计表</w:t>
      </w:r>
    </w:p>
    <w:tbl>
      <w:tblPr>
        <w:tblStyle w:val="TableNormal"/>
        <w:tblW w:w="14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862"/>
        <w:gridCol w:w="825"/>
        <w:gridCol w:w="600"/>
        <w:gridCol w:w="1305"/>
        <w:gridCol w:w="630"/>
        <w:gridCol w:w="854"/>
        <w:gridCol w:w="520"/>
        <w:gridCol w:w="1209"/>
        <w:gridCol w:w="1029"/>
        <w:gridCol w:w="948"/>
        <w:gridCol w:w="1110"/>
        <w:gridCol w:w="975"/>
        <w:gridCol w:w="1035"/>
        <w:gridCol w:w="945"/>
        <w:gridCol w:w="870"/>
      </w:tblGrid>
      <w:tr w:rsidR="00997FFE" w:rsidTr="003531DE">
        <w:trPr>
          <w:cantSplit/>
          <w:trHeight w:val="1276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8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24"/>
                <w:szCs w:val="24"/>
              </w:rPr>
              <w:t>服务场所名称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对外宣传</w:t>
            </w:r>
            <w:r>
              <w:rPr>
                <w:rFonts w:ascii="Times New Roman" w:eastAsia="方正仿宋_GBK" w:hAnsi="Times New Roman" w:cs="Times New Roman"/>
                <w:spacing w:val="7"/>
                <w:sz w:val="24"/>
                <w:szCs w:val="24"/>
              </w:rPr>
              <w:t>性质</w:t>
            </w:r>
          </w:p>
        </w:tc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position w:val="4"/>
                <w:sz w:val="24"/>
                <w:szCs w:val="24"/>
              </w:rPr>
              <w:t>兴办</w:t>
            </w:r>
          </w:p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主体</w:t>
            </w: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是否设有分公司、服务网点等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position w:val="5"/>
                <w:sz w:val="24"/>
                <w:szCs w:val="24"/>
              </w:rPr>
              <w:t>床位</w:t>
            </w:r>
          </w:p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数量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收住老年人数量</w:t>
            </w: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5"/>
                <w:position w:val="4"/>
                <w:sz w:val="24"/>
                <w:szCs w:val="24"/>
              </w:rPr>
              <w:t>营销</w:t>
            </w:r>
          </w:p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方式</w:t>
            </w: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position w:val="3"/>
                <w:sz w:val="24"/>
                <w:szCs w:val="24"/>
              </w:rPr>
              <w:t>是否收取</w:t>
            </w:r>
          </w:p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大额预付费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6"/>
                <w:sz w:val="24"/>
                <w:szCs w:val="24"/>
              </w:rPr>
              <w:t>收费名目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24"/>
                <w:szCs w:val="24"/>
              </w:rPr>
              <w:t>收费标</w:t>
            </w:r>
            <w:r>
              <w:rPr>
                <w:rFonts w:ascii="Times New Roman" w:eastAsia="方正仿宋_GBK" w:hAnsi="Times New Roman" w:cs="Times New Roman"/>
                <w:spacing w:val="3"/>
                <w:sz w:val="24"/>
                <w:szCs w:val="24"/>
              </w:rPr>
              <w:t>准、优惠</w:t>
            </w: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条件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预付</w:t>
            </w:r>
            <w:proofErr w:type="gramStart"/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费涉</w:t>
            </w:r>
            <w:r>
              <w:rPr>
                <w:rFonts w:ascii="Times New Roman" w:eastAsia="方正仿宋_GBK" w:hAnsi="Times New Roman" w:cs="Times New Roman"/>
                <w:spacing w:val="14"/>
                <w:w w:val="102"/>
                <w:sz w:val="24"/>
                <w:szCs w:val="24"/>
              </w:rPr>
              <w:t>及</w:t>
            </w:r>
            <w:proofErr w:type="gramEnd"/>
            <w:r>
              <w:rPr>
                <w:rFonts w:ascii="Times New Roman" w:eastAsia="方正仿宋_GBK" w:hAnsi="Times New Roman" w:cs="Times New Roman"/>
                <w:spacing w:val="14"/>
                <w:w w:val="102"/>
                <w:sz w:val="24"/>
                <w:szCs w:val="24"/>
              </w:rPr>
              <w:t>人数、</w:t>
            </w:r>
            <w:r>
              <w:rPr>
                <w:rFonts w:ascii="Times New Roman" w:eastAsia="方正仿宋_GBK" w:hAnsi="Times New Roman" w:cs="Times New Roman"/>
                <w:spacing w:val="-3"/>
                <w:sz w:val="24"/>
                <w:szCs w:val="24"/>
              </w:rPr>
              <w:t>资金总额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预付费资金使用情况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24"/>
                <w:szCs w:val="24"/>
              </w:rPr>
              <w:t>诉讼及投诉举报情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信用惩戒情况</w:t>
            </w: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24"/>
                <w:szCs w:val="24"/>
              </w:rPr>
              <w:t>摸</w:t>
            </w: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排</w:t>
            </w:r>
          </w:p>
          <w:p w:rsidR="00997FFE" w:rsidRDefault="00997FFE" w:rsidP="003531DE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24"/>
                <w:szCs w:val="24"/>
              </w:rPr>
              <w:t>单位</w:t>
            </w:r>
          </w:p>
        </w:tc>
      </w:tr>
      <w:tr w:rsidR="00997FFE" w:rsidTr="003531DE">
        <w:trPr>
          <w:trHeight w:val="434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97FFE" w:rsidTr="003531DE">
        <w:trPr>
          <w:trHeight w:val="435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997FFE" w:rsidTr="003531DE">
        <w:trPr>
          <w:trHeight w:val="424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997FFE" w:rsidTr="003531DE">
        <w:trPr>
          <w:trHeight w:val="425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997FFE" w:rsidTr="003531DE">
        <w:trPr>
          <w:trHeight w:val="2857"/>
          <w:jc w:val="center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997FFE" w:rsidRDefault="00997FFE" w:rsidP="003531DE">
            <w:pPr>
              <w:spacing w:before="164" w:line="205" w:lineRule="auto"/>
              <w:ind w:firstLine="1348"/>
              <w:rPr>
                <w:rFonts w:ascii="Times New Roman" w:eastAsia="宋体" w:hAnsi="Times New Roman" w:cs="Times New Roman"/>
                <w:sz w:val="29"/>
                <w:szCs w:val="29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29"/>
                <w:szCs w:val="29"/>
              </w:rPr>
              <w:t>说明</w:t>
            </w:r>
          </w:p>
        </w:tc>
        <w:tc>
          <w:tcPr>
            <w:tcW w:w="13717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:rsidR="00997FFE" w:rsidRDefault="00997FFE" w:rsidP="003531DE">
            <w:pPr>
              <w:spacing w:line="240" w:lineRule="exact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1.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服务场所名称：未经登记但从事养老服务经营活动的服务场所，对外宣传使用的名称；</w:t>
            </w:r>
          </w:p>
          <w:p w:rsidR="00997FFE" w:rsidRDefault="00997FFE" w:rsidP="003531DE">
            <w:pPr>
              <w:spacing w:line="240" w:lineRule="exact"/>
              <w:rPr>
                <w:rFonts w:ascii="Times New Roman" w:eastAsia="宋体" w:hAnsi="Times New Roman" w:cs="Times New Roman"/>
                <w:spacing w:val="29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对外宣传性质：非营利性的事业单位、非营利性的民办非企业单位、营利性的企业（通过服务场所对外发放的宣传资料、张贴的宣传海报等方式，了解其对外宣传是非营利性的，还是营利性的）；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3.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兴办主体：个人（具体到姓名、身份证，用于信息比对）、企业、社会组织（具体到名称、统一社会信用代码，用于信息比对）；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营销方式：线上营销、线下营销（包括但不限于</w:t>
            </w:r>
            <w:proofErr w:type="gramStart"/>
            <w:r>
              <w:rPr>
                <w:rFonts w:ascii="Times New Roman" w:eastAsia="宋体" w:hAnsi="Times New Roman" w:cs="Times New Roman"/>
                <w:sz w:val="14"/>
                <w:szCs w:val="14"/>
              </w:rPr>
              <w:t>骋</w:t>
            </w:r>
            <w:proofErr w:type="gramEnd"/>
            <w:r>
              <w:rPr>
                <w:rFonts w:ascii="Times New Roman" w:eastAsia="宋体" w:hAnsi="Times New Roman" w:cs="Times New Roman"/>
                <w:sz w:val="14"/>
                <w:szCs w:val="14"/>
              </w:rPr>
              <w:t>请营销团队、招聘业务员、召开推介会、发放宣传单等）；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5.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是否收取大额预付费：一次性收取老年人当月应缴费用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倍以上的为大额预付费；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6.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收费名目：包括但不限于床位费、护理费、押金、会员费、贵宾卡等：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7.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收费标准及优惠条件：载明不同档位的收费标准，优惠条件包括但不限于折扣、返还利息、增值服务、其他投资回报等；</w:t>
            </w:r>
          </w:p>
          <w:p w:rsidR="00997FFE" w:rsidRDefault="00997FFE" w:rsidP="003531DE">
            <w:pPr>
              <w:spacing w:line="240" w:lineRule="exact"/>
              <w:ind w:firstLine="11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8.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预付</w:t>
            </w:r>
            <w:proofErr w:type="gramStart"/>
            <w:r>
              <w:rPr>
                <w:rFonts w:ascii="Times New Roman" w:eastAsia="宋体" w:hAnsi="Times New Roman" w:cs="Times New Roman"/>
                <w:sz w:val="14"/>
                <w:szCs w:val="14"/>
              </w:rPr>
              <w:t>费涉及</w:t>
            </w:r>
            <w:proofErr w:type="gramEnd"/>
            <w:r>
              <w:rPr>
                <w:rFonts w:ascii="Times New Roman" w:eastAsia="宋体" w:hAnsi="Times New Roman" w:cs="Times New Roman"/>
                <w:sz w:val="14"/>
                <w:szCs w:val="14"/>
              </w:rPr>
              <w:t>人数、资金总额：养老服务机构累计向多少老年人收取预付费、累计收取资金的总额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.</w:t>
            </w:r>
          </w:p>
          <w:p w:rsidR="00997FFE" w:rsidRDefault="00997FFE" w:rsidP="003531DE">
            <w:pPr>
              <w:spacing w:line="240" w:lineRule="exact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9.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预付费资金使用、管理情况：资金使用情况包括但不限于发展支持本机构、弥补本机构建设投资不足、投资其他领域等；资金管理情况包括但不限于专款专户、第三方存管等；</w:t>
            </w:r>
          </w:p>
          <w:p w:rsidR="00997FFE" w:rsidRDefault="00997FFE" w:rsidP="003531DE">
            <w:pPr>
              <w:spacing w:line="240" w:lineRule="exact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14"/>
                <w:szCs w:val="14"/>
              </w:rPr>
              <w:t>10.</w:t>
            </w:r>
            <w:r>
              <w:rPr>
                <w:rFonts w:ascii="Times New Roman" w:eastAsia="宋体" w:hAnsi="Times New Roman" w:cs="Times New Roman"/>
                <w:spacing w:val="-4"/>
                <w:sz w:val="14"/>
                <w:szCs w:val="14"/>
              </w:rPr>
              <w:t>诉讼及投诉举报情况：投资人、举办者、主要负责人有没有因为经济类犯罪被提起</w:t>
            </w:r>
            <w:proofErr w:type="gramStart"/>
            <w:r>
              <w:rPr>
                <w:rFonts w:ascii="Times New Roman" w:eastAsia="宋体" w:hAnsi="Times New Roman" w:cs="Times New Roman"/>
                <w:spacing w:val="-4"/>
                <w:sz w:val="14"/>
                <w:szCs w:val="14"/>
              </w:rPr>
              <w:t>过诉是讼</w:t>
            </w:r>
            <w:proofErr w:type="gramEnd"/>
            <w:r>
              <w:rPr>
                <w:rFonts w:ascii="Times New Roman" w:eastAsia="宋体" w:hAnsi="Times New Roman" w:cs="Times New Roman"/>
                <w:spacing w:val="-4"/>
                <w:sz w:val="14"/>
                <w:szCs w:val="14"/>
              </w:rPr>
              <w:t>否接到过投诉举报；</w:t>
            </w:r>
          </w:p>
          <w:p w:rsidR="00997FFE" w:rsidRDefault="00997FFE" w:rsidP="003531DE">
            <w:pPr>
              <w:spacing w:line="240" w:lineRule="exact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11.</w:t>
            </w:r>
            <w:r>
              <w:rPr>
                <w:rFonts w:ascii="Times New Roman" w:eastAsia="宋体" w:hAnsi="Times New Roman" w:cs="Times New Roman"/>
                <w:sz w:val="14"/>
                <w:szCs w:val="14"/>
              </w:rPr>
              <w:t>信用惩戒情况：投资人、举办者、主要负责人是否被纳入过养老服务市场失信联合惩戒对象名单（企业经营异常名录或者严重违法失信名单、社会组织活动异常名录或者严重违法失信名单）。</w:t>
            </w:r>
          </w:p>
        </w:tc>
      </w:tr>
    </w:tbl>
    <w:p w:rsidR="00997FFE" w:rsidRDefault="00997FFE" w:rsidP="00997FFE">
      <w:pPr>
        <w:spacing w:before="76" w:line="193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pacing w:val="2"/>
          <w:sz w:val="28"/>
          <w:szCs w:val="28"/>
        </w:rPr>
        <w:t>主要负责人：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>分管负责人：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>填报人：</w:t>
      </w:r>
      <w:r>
        <w:rPr>
          <w:rFonts w:ascii="Times New Roman" w:eastAsia="仿宋" w:hAnsi="Times New Roman" w:cs="Times New Roman" w:hint="eastAsia"/>
          <w:spacing w:val="2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/>
          <w:spacing w:val="-13"/>
          <w:w w:val="98"/>
          <w:sz w:val="28"/>
          <w:szCs w:val="28"/>
        </w:rPr>
        <w:t>联系电话（手机）：</w:t>
      </w:r>
    </w:p>
    <w:p w:rsidR="00997FFE" w:rsidRDefault="00997FFE" w:rsidP="00997FFE">
      <w:pPr>
        <w:rPr>
          <w:rFonts w:ascii="Times New Roman" w:hAnsi="Times New Roman" w:cs="Times New Roman"/>
        </w:rPr>
        <w:sectPr w:rsidR="00997FFE">
          <w:pgSz w:w="16832" w:h="11900" w:orient="landscape"/>
          <w:pgMar w:top="1474" w:right="1984" w:bottom="1587" w:left="2098" w:header="0" w:footer="1610" w:gutter="0"/>
          <w:cols w:space="720"/>
          <w:docGrid w:linePitch="1"/>
        </w:sectPr>
      </w:pPr>
    </w:p>
    <w:p w:rsidR="00420E54" w:rsidRPr="00997FFE" w:rsidRDefault="00420E54"/>
    <w:sectPr w:rsidR="00420E54" w:rsidRPr="00997FFE" w:rsidSect="00997F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FFE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87"/>
    <w:rsid w:val="001166C1"/>
    <w:rsid w:val="001217C9"/>
    <w:rsid w:val="00124D5F"/>
    <w:rsid w:val="00124E78"/>
    <w:rsid w:val="00127AB9"/>
    <w:rsid w:val="00130403"/>
    <w:rsid w:val="00130CA8"/>
    <w:rsid w:val="001325F7"/>
    <w:rsid w:val="00137807"/>
    <w:rsid w:val="0013782C"/>
    <w:rsid w:val="00147C2C"/>
    <w:rsid w:val="00151773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15C0"/>
    <w:rsid w:val="001A43FB"/>
    <w:rsid w:val="001A58C2"/>
    <w:rsid w:val="001A5E45"/>
    <w:rsid w:val="001A67B7"/>
    <w:rsid w:val="001A6FC8"/>
    <w:rsid w:val="001B35A0"/>
    <w:rsid w:val="001B3A20"/>
    <w:rsid w:val="001B4B9B"/>
    <w:rsid w:val="001C20C2"/>
    <w:rsid w:val="001C29BF"/>
    <w:rsid w:val="001C3484"/>
    <w:rsid w:val="001C37BB"/>
    <w:rsid w:val="001C6C2A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67A9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3921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3F6418"/>
    <w:rsid w:val="00401175"/>
    <w:rsid w:val="004124E6"/>
    <w:rsid w:val="00415502"/>
    <w:rsid w:val="004203AF"/>
    <w:rsid w:val="004208FE"/>
    <w:rsid w:val="00420E54"/>
    <w:rsid w:val="0042224A"/>
    <w:rsid w:val="0042641F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36C9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E73AA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3DF6"/>
    <w:rsid w:val="0071687F"/>
    <w:rsid w:val="00722B2E"/>
    <w:rsid w:val="00725084"/>
    <w:rsid w:val="00733E77"/>
    <w:rsid w:val="007362D7"/>
    <w:rsid w:val="00736DE2"/>
    <w:rsid w:val="007451AD"/>
    <w:rsid w:val="00750572"/>
    <w:rsid w:val="00751377"/>
    <w:rsid w:val="007641C6"/>
    <w:rsid w:val="00765B79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E4336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5544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06"/>
    <w:rsid w:val="0093204E"/>
    <w:rsid w:val="00937A1A"/>
    <w:rsid w:val="0094195A"/>
    <w:rsid w:val="009419F6"/>
    <w:rsid w:val="00945B60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97FFE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B6BF3"/>
    <w:rsid w:val="009C1D85"/>
    <w:rsid w:val="009C23C2"/>
    <w:rsid w:val="009C4343"/>
    <w:rsid w:val="009C6EFF"/>
    <w:rsid w:val="009D4326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0A7D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21C0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9573B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CAD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02E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5151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2A6B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E3AB6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6BC5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E7166"/>
    <w:rsid w:val="00EF2B25"/>
    <w:rsid w:val="00EF2E8B"/>
    <w:rsid w:val="00EF7A1F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29E5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997FF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2022-02-23T02:33:00Z</dcterms:created>
  <dcterms:modified xsi:type="dcterms:W3CDTF">2022-02-23T02:33:00Z</dcterms:modified>
</cp:coreProperties>
</file>