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7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36"/>
        <w:gridCol w:w="1118"/>
        <w:gridCol w:w="3064"/>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4" w:hRule="atLeast"/>
          <w:jc w:val="center"/>
        </w:trPr>
        <w:tc>
          <w:tcPr>
            <w:tcW w:w="8738" w:type="dxa"/>
            <w:gridSpan w:val="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2"/>
                <w:szCs w:val="22"/>
                <w:u w:val="none"/>
              </w:rPr>
            </w:pPr>
            <w:r>
              <w:rPr>
                <w:rFonts w:hint="eastAsia" w:ascii="黑体" w:hAnsi="宋体" w:eastAsia="黑体" w:cs="黑体"/>
                <w:i w:val="0"/>
                <w:iCs w:val="0"/>
                <w:color w:val="000000"/>
                <w:kern w:val="0"/>
                <w:sz w:val="44"/>
                <w:szCs w:val="44"/>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8738" w:type="dxa"/>
            <w:gridSpan w:val="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rPr>
              <w:t xml:space="preserve">                                              </w:t>
            </w:r>
            <w:r>
              <w:rPr>
                <w:rFonts w:hint="eastAsia" w:cs="宋体"/>
                <w:i w:val="0"/>
                <w:color w:val="000000"/>
                <w:kern w:val="0"/>
                <w:sz w:val="24"/>
                <w:szCs w:val="24"/>
                <w:u w:val="none"/>
                <w:lang w:val="en-US" w:eastAsia="zh-CN"/>
              </w:rPr>
              <w:t xml:space="preserve">            </w:t>
            </w:r>
            <w:r>
              <w:rPr>
                <w:rFonts w:hint="eastAsia" w:ascii="宋体" w:hAnsi="宋体" w:eastAsia="宋体" w:cs="宋体"/>
                <w:i w:val="0"/>
                <w:color w:val="000000"/>
                <w:kern w:val="0"/>
                <w:sz w:val="24"/>
                <w:szCs w:val="24"/>
                <w:u w:val="none"/>
                <w:lang w:val="en-US" w:eastAsia="zh-CN"/>
              </w:rPr>
              <w:t xml:space="preserve">  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8738" w:type="dxa"/>
            <w:gridSpan w:val="4"/>
            <w:tcBorders>
              <w:top w:val="nil"/>
              <w:left w:val="nil"/>
              <w:bottom w:val="single" w:color="808080" w:sz="4" w:space="0"/>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公开部门：重庆市万盛经济技术开发区图书馆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1" w:hRule="atLeast"/>
          <w:jc w:val="center"/>
        </w:trPr>
        <w:tc>
          <w:tcPr>
            <w:tcW w:w="4354"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rPr>
              <w:t>收入</w:t>
            </w:r>
          </w:p>
        </w:tc>
        <w:tc>
          <w:tcPr>
            <w:tcW w:w="438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rPr>
              <w:t>项目</w:t>
            </w:r>
          </w:p>
        </w:tc>
        <w:tc>
          <w:tcPr>
            <w:tcW w:w="1118"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rPr>
              <w:t>决算数</w:t>
            </w:r>
          </w:p>
        </w:tc>
        <w:tc>
          <w:tcPr>
            <w:tcW w:w="3064"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rPr>
              <w:t>功能分类科目</w:t>
            </w:r>
          </w:p>
        </w:tc>
        <w:tc>
          <w:tcPr>
            <w:tcW w:w="132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一、一般公共预算财政拨款收入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228.45</w:t>
            </w: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一、一般公共服务支出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二、政府性基金预算财政拨款收入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二、外交支出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三、国有资本经营预算财政拨款收入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三、国防支出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四、上级补助收入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四、公共安全支出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五、事业收入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五、教育支出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六、经营收入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六、科学技术支出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七、附属单位上缴收入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七、文化旅游体育与传媒支出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206.30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八、其他收入</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八、社会保障和就业支出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九、卫生健康支出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十、节能环保支出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十一、城乡社区支出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十二、农林水支出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十三、交通运输支出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十四、资源勘探信息等支出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十五、商业服务业等支出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十六、金融支出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十七、援助其他地区支出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十八、自然资源海洋气象等支出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十九、住房保障支出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二十、粮油物资储备支出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二十一、国有资本经营预算支出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二十二、灾害防治及应急管理支出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5"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二十三、其他支出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二十四、债务还本支出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二十五、债务付息支出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18"/>
                <w:szCs w:val="18"/>
                <w:highlight w:val="none"/>
                <w:u w:val="none"/>
              </w:rPr>
            </w:pP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二十六、抗疫特别国债安排的支出</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本年收入合计</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228.45</w:t>
            </w: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本年支出合计</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228.45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使用非财政拨款结余</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结余分配</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年初结转和结余</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年末结转和结余</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323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总计</w:t>
            </w:r>
          </w:p>
        </w:tc>
        <w:tc>
          <w:tcPr>
            <w:tcW w:w="11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228.45</w:t>
            </w:r>
          </w:p>
        </w:tc>
        <w:tc>
          <w:tcPr>
            <w:tcW w:w="306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rPr>
              <w:t>总计</w:t>
            </w:r>
          </w:p>
        </w:tc>
        <w:tc>
          <w:tcPr>
            <w:tcW w:w="1320"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rPr>
              <w:t>228.45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jc w:val="center"/>
        </w:trPr>
        <w:tc>
          <w:tcPr>
            <w:tcW w:w="8738" w:type="dxa"/>
            <w:gridSpan w:val="4"/>
            <w:tcBorders>
              <w:top w:val="nil"/>
              <w:left w:val="nil"/>
              <w:bottom w:val="nil"/>
              <w:right w:val="nil"/>
            </w:tcBorders>
            <w:shd w:val="clear" w:color="auto" w:fill="FFFFFF"/>
            <w:tcMar>
              <w:top w:w="15" w:type="dxa"/>
              <w:left w:w="15" w:type="dxa"/>
              <w:right w:w="15" w:type="dxa"/>
            </w:tcMar>
            <w:vAlign w:val="center"/>
          </w:tcPr>
          <w:p>
            <w:pPr>
              <w:widowControl/>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 xml:space="preserve">备注：本表反映部门本年度的总收支和年末结转结余等情况。 </w:t>
            </w:r>
          </w:p>
        </w:tc>
      </w:tr>
    </w:tbl>
    <w:p>
      <w:pPr>
        <w:widowControl/>
        <w:jc w:val="both"/>
        <w:textAlignment w:val="center"/>
        <w:rPr>
          <w:rFonts w:hint="eastAsia" w:ascii="宋体" w:hAnsi="宋体" w:eastAsia="宋体" w:cs="宋体"/>
          <w:i w:val="0"/>
          <w:iCs w:val="0"/>
          <w:color w:val="000000"/>
          <w:kern w:val="0"/>
          <w:sz w:val="22"/>
          <w:szCs w:val="22"/>
          <w:u w:val="none"/>
          <w:lang w:val="en-US" w:eastAsia="zh-CN"/>
        </w:rPr>
        <w:sectPr>
          <w:footerReference r:id="rId3" w:type="default"/>
          <w:pgSz w:w="11915" w:h="16851"/>
          <w:pgMar w:top="1701" w:right="1474" w:bottom="1701" w:left="1587" w:header="851" w:footer="1474" w:gutter="0"/>
          <w:pgNumType w:fmt="decimal"/>
          <w:cols w:space="0" w:num="1"/>
          <w:rtlGutter w:val="0"/>
          <w:docGrid w:type="lines" w:linePitch="343" w:charSpace="0"/>
        </w:sectPr>
      </w:pPr>
    </w:p>
    <w:tbl>
      <w:tblPr>
        <w:tblStyle w:val="8"/>
        <w:tblW w:w="139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8"/>
        <w:gridCol w:w="3615"/>
        <w:gridCol w:w="1110"/>
        <w:gridCol w:w="1110"/>
        <w:gridCol w:w="1050"/>
        <w:gridCol w:w="915"/>
        <w:gridCol w:w="1590"/>
        <w:gridCol w:w="930"/>
        <w:gridCol w:w="1390"/>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974" w:type="dxa"/>
            <w:gridSpan w:val="10"/>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974" w:type="dxa"/>
            <w:gridSpan w:val="10"/>
            <w:tcBorders>
              <w:top w:val="nil"/>
              <w:left w:val="nil"/>
              <w:bottom w:val="nil"/>
              <w:right w:val="nil"/>
            </w:tcBorders>
            <w:vAlign w:val="center"/>
          </w:tcPr>
          <w:p>
            <w:pPr>
              <w:widowControl/>
              <w:ind w:firstLine="6240" w:firstLineChars="260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w:t>
            </w:r>
            <w:r>
              <w:rPr>
                <w:rStyle w:val="9"/>
                <w:lang w:val="en-US" w:eastAsia="zh-CN"/>
              </w:rPr>
              <w:t xml:space="preserve">                    </w:t>
            </w:r>
            <w:r>
              <w:rPr>
                <w:rStyle w:val="9"/>
                <w:rFonts w:hint="eastAsia"/>
                <w:lang w:val="en-US" w:eastAsia="zh-CN"/>
              </w:rPr>
              <w:t xml:space="preserve">                               </w:t>
            </w:r>
            <w:r>
              <w:rPr>
                <w:rStyle w:val="9"/>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974"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公开部门：重庆市万盛经济技术开发区图书馆 </w:t>
            </w:r>
            <w:r>
              <w:rPr>
                <w:rStyle w:val="9"/>
                <w:lang w:val="en-US" w:eastAsia="zh-CN"/>
              </w:rPr>
              <w:t xml:space="preserve">             </w:t>
            </w:r>
            <w:r>
              <w:rPr>
                <w:rFonts w:hint="eastAsia" w:ascii="宋体" w:hAnsi="宋体" w:eastAsia="宋体" w:cs="宋体"/>
                <w:i w:val="0"/>
                <w:iCs w:val="0"/>
                <w:color w:val="000000"/>
                <w:kern w:val="0"/>
                <w:sz w:val="24"/>
                <w:szCs w:val="24"/>
                <w:u w:val="none"/>
                <w:lang w:val="en-US" w:eastAsia="zh-CN"/>
              </w:rPr>
              <w:t>2021年度</w:t>
            </w:r>
            <w:r>
              <w:rPr>
                <w:rStyle w:val="9"/>
                <w:lang w:val="en-US" w:eastAsia="zh-CN"/>
              </w:rPr>
              <w:t xml:space="preserve">   </w:t>
            </w:r>
            <w:r>
              <w:rPr>
                <w:rStyle w:val="9"/>
                <w:rFonts w:hint="eastAsia"/>
                <w:lang w:val="en-US" w:eastAsia="zh-CN"/>
              </w:rPr>
              <w:t xml:space="preserve">                                </w:t>
            </w:r>
            <w:r>
              <w:rPr>
                <w:rStyle w:val="9"/>
                <w:lang w:val="en-US" w:eastAsia="zh-CN"/>
              </w:rPr>
              <w:t xml:space="preserve"> </w:t>
            </w:r>
            <w:r>
              <w:rPr>
                <w:rStyle w:val="9"/>
                <w:rFonts w:hint="eastAsia"/>
                <w:lang w:val="en-US" w:eastAsia="zh-CN"/>
              </w:rPr>
              <w:t xml:space="preserve">    </w:t>
            </w:r>
            <w:r>
              <w:rPr>
                <w:rStyle w:val="9"/>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78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本年收入合计</w:t>
            </w:r>
          </w:p>
        </w:tc>
        <w:tc>
          <w:tcPr>
            <w:tcW w:w="11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财政拨款收入</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上级补助收入</w:t>
            </w:r>
          </w:p>
        </w:tc>
        <w:tc>
          <w:tcPr>
            <w:tcW w:w="250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事业收入</w:t>
            </w:r>
          </w:p>
        </w:tc>
        <w:tc>
          <w:tcPr>
            <w:tcW w:w="9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经营收入</w:t>
            </w:r>
          </w:p>
        </w:tc>
        <w:tc>
          <w:tcPr>
            <w:tcW w:w="13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附属单位上缴收入</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功能分类科目编码</w:t>
            </w:r>
          </w:p>
        </w:tc>
        <w:tc>
          <w:tcPr>
            <w:tcW w:w="36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项目（按“项”级功能分类科目）</w:t>
            </w: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250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3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小计</w:t>
            </w:r>
          </w:p>
        </w:tc>
        <w:tc>
          <w:tcPr>
            <w:tcW w:w="15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其中：教育收费</w:t>
            </w: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3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5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783" w:type="dxa"/>
            <w:gridSpan w:val="2"/>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文化旅游体育与传媒支出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206.3</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206.3</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20701</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文化和旅游</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185.2</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185.2</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2070104</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Style w:val="10"/>
                <w:lang w:val="en-US" w:eastAsia="zh-CN"/>
              </w:rPr>
              <w:t>图书馆</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134.2</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134.2</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2070199</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Style w:val="10"/>
                <w:lang w:val="en-US" w:eastAsia="zh-CN"/>
              </w:rPr>
              <w:t>其他文化和旅游支出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20799</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其他文化旅游体育与传媒支出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21.1</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21.1</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2079999</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Style w:val="10"/>
                <w:lang w:val="en-US" w:eastAsia="zh-CN"/>
              </w:rPr>
              <w:t>其他文化旅游体育与传媒支出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21.1</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21.1</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208</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社会保障和就业支出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20805</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行政事业单位养老支出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Style w:val="10"/>
                <w:lang w:val="en-US" w:eastAsia="zh-CN"/>
              </w:rPr>
              <w:t>机关事业单位基本养老保险缴费支出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7.16</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7.16</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2080506</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Style w:val="10"/>
                <w:lang w:val="en-US" w:eastAsia="zh-CN"/>
              </w:rPr>
              <w:t>机关事业单位职业年金缴费支出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210</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卫生健康支出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21011</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行政事业单位医疗</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2101102</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Style w:val="10"/>
                <w:lang w:val="en-US" w:eastAsia="zh-CN"/>
              </w:rPr>
              <w:t>事业单位医疗</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221</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住房保障支出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22102</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住房改革支出</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168"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2210201</w:t>
            </w:r>
          </w:p>
        </w:tc>
        <w:tc>
          <w:tcPr>
            <w:tcW w:w="36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Style w:val="10"/>
                <w:lang w:val="en-US" w:eastAsia="zh-CN"/>
              </w:rPr>
              <w:t>住房公积金</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11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05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15"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5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93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39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96"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974"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备注：本表反映部门本年度取得的各项收入情况。</w:t>
            </w:r>
          </w:p>
        </w:tc>
      </w:tr>
    </w:tbl>
    <w:p>
      <w:pPr>
        <w:pStyle w:val="5"/>
        <w:sectPr>
          <w:pgSz w:w="16851" w:h="11915" w:orient="landscape"/>
          <w:pgMar w:top="1134" w:right="1440" w:bottom="1134" w:left="1440" w:header="851" w:footer="992" w:gutter="0"/>
          <w:pgNumType w:fmt="decimal"/>
          <w:cols w:space="720" w:num="1"/>
          <w:rtlGutter w:val="0"/>
          <w:docGrid w:type="lines" w:linePitch="332" w:charSpace="0"/>
        </w:sectPr>
      </w:pPr>
    </w:p>
    <w:tbl>
      <w:tblPr>
        <w:tblStyle w:val="8"/>
        <w:tblW w:w="133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3"/>
        <w:gridCol w:w="3616"/>
        <w:gridCol w:w="1421"/>
        <w:gridCol w:w="1020"/>
        <w:gridCol w:w="1020"/>
        <w:gridCol w:w="1421"/>
        <w:gridCol w:w="1020"/>
        <w:gridCol w:w="2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jc w:val="center"/>
        </w:trPr>
        <w:tc>
          <w:tcPr>
            <w:tcW w:w="13365" w:type="dxa"/>
            <w:gridSpan w:val="8"/>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365" w:type="dxa"/>
            <w:gridSpan w:val="8"/>
            <w:tcBorders>
              <w:top w:val="nil"/>
              <w:left w:val="nil"/>
              <w:bottom w:val="nil"/>
              <w:right w:val="nil"/>
            </w:tcBorders>
            <w:vAlign w:val="center"/>
          </w:tcPr>
          <w:p>
            <w:pPr>
              <w:ind w:firstLine="6240" w:firstLineChars="2600"/>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365"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公开部门：重庆市万盛经济技术开发区图书馆              2021年度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w:t>
            </w:r>
            <w:r>
              <w:rPr>
                <w:rFonts w:hint="eastAsia" w:cs="宋体"/>
                <w:b/>
                <w:bCs/>
                <w:i w:val="0"/>
                <w:iCs w:val="0"/>
                <w:color w:val="000000"/>
                <w:kern w:val="0"/>
                <w:sz w:val="20"/>
                <w:szCs w:val="20"/>
                <w:u w:val="none"/>
                <w:lang w:val="en-US" w:eastAsia="zh-CN"/>
              </w:rPr>
              <w:t xml:space="preserve">      </w:t>
            </w:r>
            <w:r>
              <w:rPr>
                <w:rFonts w:hint="eastAsia" w:ascii="宋体" w:hAnsi="宋体" w:eastAsia="宋体" w:cs="宋体"/>
                <w:b/>
                <w:bCs/>
                <w:i w:val="0"/>
                <w:iCs w:val="0"/>
                <w:color w:val="000000"/>
                <w:kern w:val="0"/>
                <w:sz w:val="20"/>
                <w:szCs w:val="20"/>
                <w:u w:val="none"/>
                <w:lang w:val="en-US" w:eastAsia="zh-CN"/>
              </w:rPr>
              <w:t>目</w:t>
            </w:r>
          </w:p>
        </w:tc>
        <w:tc>
          <w:tcPr>
            <w:tcW w:w="14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本年支出合计</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项目支出</w:t>
            </w:r>
          </w:p>
        </w:tc>
        <w:tc>
          <w:tcPr>
            <w:tcW w:w="14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上缴上级支出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经营支出</w:t>
            </w:r>
          </w:p>
        </w:tc>
        <w:tc>
          <w:tcPr>
            <w:tcW w:w="20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8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功能分类科目编码</w:t>
            </w:r>
          </w:p>
        </w:tc>
        <w:tc>
          <w:tcPr>
            <w:tcW w:w="36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项目（按“项”级功能分类科目）</w:t>
            </w: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8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36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8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36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20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86.35</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142.1</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文化旅游体育与传媒支出</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206.3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64.2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142.1</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20701</w:t>
            </w:r>
          </w:p>
        </w:tc>
        <w:tc>
          <w:tcPr>
            <w:tcW w:w="36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文化和旅游</w:t>
            </w:r>
          </w:p>
        </w:tc>
        <w:tc>
          <w:tcPr>
            <w:tcW w:w="142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185.2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64.2</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121</w:t>
            </w:r>
          </w:p>
        </w:tc>
        <w:tc>
          <w:tcPr>
            <w:tcW w:w="142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2070104</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图书馆</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134.2</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64.2</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w:t>
            </w: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2070199</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其他文化和旅游支出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20799</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其他文化旅游体育与传媒支出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21.1</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21.1</w:t>
            </w: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2079999</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其他文化旅游体育与传媒支出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21.1</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21.1</w:t>
            </w: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208</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社会保障和就业支出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20805</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行政事业单位养老支出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7.16</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7.16</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2080506</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机关事业单位职业年金缴费支出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210</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卫生健康支出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21011</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行政事业单位医疗</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2101102</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事业单位医疗</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221</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住房保障支出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22102</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住房改革支出</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23"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2210201</w:t>
            </w:r>
          </w:p>
        </w:tc>
        <w:tc>
          <w:tcPr>
            <w:tcW w:w="3616"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1421"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0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42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24"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365"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备注：本表反映部门本年度各项支出情况。</w:t>
            </w:r>
          </w:p>
        </w:tc>
      </w:tr>
    </w:tbl>
    <w:p>
      <w:pPr>
        <w:pStyle w:val="5"/>
        <w:sectPr>
          <w:pgSz w:w="16851" w:h="11915" w:orient="landscape"/>
          <w:pgMar w:top="1134" w:right="1440" w:bottom="1134" w:left="1440" w:header="851" w:footer="992" w:gutter="0"/>
          <w:pgNumType w:fmt="decimal"/>
          <w:cols w:space="720" w:num="1"/>
          <w:rtlGutter w:val="0"/>
          <w:docGrid w:type="lines" w:linePitch="332" w:charSpace="0"/>
        </w:sectPr>
      </w:pPr>
    </w:p>
    <w:tbl>
      <w:tblPr>
        <w:tblStyle w:val="8"/>
        <w:tblW w:w="1382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70"/>
        <w:gridCol w:w="1381"/>
        <w:gridCol w:w="3130"/>
        <w:gridCol w:w="1239"/>
        <w:gridCol w:w="1585"/>
        <w:gridCol w:w="1740"/>
        <w:gridCol w:w="1248"/>
        <w:gridCol w:w="395"/>
        <w:gridCol w:w="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792" w:hRule="atLeast"/>
          <w:jc w:val="center"/>
        </w:trPr>
        <w:tc>
          <w:tcPr>
            <w:tcW w:w="13788" w:type="dxa"/>
            <w:gridSpan w:val="8"/>
            <w:tcBorders>
              <w:top w:val="nil"/>
              <w:left w:val="nil"/>
              <w:bottom w:val="nil"/>
              <w:right w:val="nil"/>
            </w:tcBorders>
            <w:vAlign w:val="center"/>
          </w:tcPr>
          <w:p>
            <w:pPr>
              <w:widowControl/>
              <w:wordWrap/>
              <w:adjustRightInd/>
              <w:snapToGrid/>
              <w:spacing w:line="600" w:lineRule="exact"/>
              <w:ind w:left="0" w:leftChars="0" w:right="0" w:firstLine="0" w:firstLineChars="0"/>
              <w:jc w:val="center"/>
              <w:textAlignment w:val="center"/>
              <w:outlineLvl w:val="9"/>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13788" w:type="dxa"/>
            <w:gridSpan w:val="8"/>
            <w:tcBorders>
              <w:top w:val="nil"/>
              <w:left w:val="nil"/>
              <w:bottom w:val="nil"/>
              <w:right w:val="nil"/>
            </w:tcBorders>
            <w:vAlign w:val="center"/>
          </w:tcPr>
          <w:p>
            <w:pPr>
              <w:widowControl/>
              <w:wordWrap/>
              <w:adjustRightInd/>
              <w:snapToGrid/>
              <w:spacing w:line="320" w:lineRule="exact"/>
              <w:ind w:left="0" w:leftChars="0" w:right="0" w:firstLine="0" w:firstLineChars="0"/>
              <w:jc w:val="righ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13788" w:type="dxa"/>
            <w:gridSpan w:val="8"/>
            <w:tcBorders>
              <w:top w:val="nil"/>
              <w:left w:val="nil"/>
              <w:bottom w:val="nil"/>
              <w:right w:val="nil"/>
            </w:tcBorders>
            <w:vAlign w:val="center"/>
          </w:tcPr>
          <w:p>
            <w:pPr>
              <w:widowControl/>
              <w:wordWrap/>
              <w:adjustRightInd/>
              <w:snapToGrid/>
              <w:spacing w:line="320" w:lineRule="exact"/>
              <w:ind w:left="0" w:leftChars="0" w:right="0" w:firstLine="0" w:firstLineChars="0"/>
              <w:jc w:val="left"/>
              <w:textAlignment w:val="center"/>
              <w:outlineLvl w:val="9"/>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公开部门：重庆市万盛经济技术开发区图书馆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2021年度</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4451"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 xml:space="preserve">收 </w:t>
            </w:r>
            <w:r>
              <w:rPr>
                <w:rStyle w:val="11"/>
                <w:sz w:val="20"/>
                <w:szCs w:val="20"/>
                <w:lang w:val="en-US" w:eastAsia="zh-CN"/>
              </w:rPr>
              <w:t xml:space="preserve">    入</w:t>
            </w:r>
          </w:p>
        </w:tc>
        <w:tc>
          <w:tcPr>
            <w:tcW w:w="9337"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 xml:space="preserve">支 </w:t>
            </w:r>
            <w:r>
              <w:rPr>
                <w:rStyle w:val="11"/>
                <w:sz w:val="20"/>
                <w:szCs w:val="20"/>
                <w:lang w:val="en-US" w:eastAsia="zh-CN"/>
              </w:rPr>
              <w:t xml:space="preserve">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 xml:space="preserve">项 </w:t>
            </w:r>
            <w:r>
              <w:rPr>
                <w:rStyle w:val="11"/>
                <w:sz w:val="20"/>
                <w:szCs w:val="20"/>
                <w:lang w:val="en-US" w:eastAsia="zh-CN"/>
              </w:rPr>
              <w:t xml:space="preserve">   目</w:t>
            </w:r>
          </w:p>
        </w:tc>
        <w:tc>
          <w:tcPr>
            <w:tcW w:w="1381"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决算数</w:t>
            </w:r>
          </w:p>
        </w:tc>
        <w:tc>
          <w:tcPr>
            <w:tcW w:w="3130"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功能分类科目</w:t>
            </w:r>
          </w:p>
        </w:tc>
        <w:tc>
          <w:tcPr>
            <w:tcW w:w="620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宋体" w:hAnsi="宋体" w:eastAsia="宋体" w:cs="宋体"/>
                <w:b/>
                <w:bCs/>
                <w:i w:val="0"/>
                <w:iCs w:val="0"/>
                <w:color w:val="000000"/>
                <w:sz w:val="20"/>
                <w:szCs w:val="20"/>
                <w:u w:val="none"/>
              </w:rPr>
            </w:pPr>
          </w:p>
        </w:tc>
        <w:tc>
          <w:tcPr>
            <w:tcW w:w="1381"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宋体" w:hAnsi="宋体" w:eastAsia="宋体" w:cs="宋体"/>
                <w:b/>
                <w:bCs/>
                <w:i w:val="0"/>
                <w:iCs w:val="0"/>
                <w:color w:val="000000"/>
                <w:sz w:val="20"/>
                <w:szCs w:val="20"/>
                <w:u w:val="none"/>
              </w:rPr>
            </w:pPr>
          </w:p>
        </w:tc>
        <w:tc>
          <w:tcPr>
            <w:tcW w:w="3130" w:type="dxa"/>
            <w:vMerge w:val="continue"/>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outlineLvl w:val="9"/>
              <w:rPr>
                <w:rFonts w:hint="eastAsia" w:ascii="宋体" w:hAnsi="宋体" w:eastAsia="宋体" w:cs="宋体"/>
                <w:b/>
                <w:bCs/>
                <w:i w:val="0"/>
                <w:iCs w:val="0"/>
                <w:color w:val="000000"/>
                <w:sz w:val="20"/>
                <w:szCs w:val="20"/>
                <w:u w:val="none"/>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小计</w:t>
            </w:r>
          </w:p>
        </w:tc>
        <w:tc>
          <w:tcPr>
            <w:tcW w:w="158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一般公共预算财政拨款</w:t>
            </w:r>
          </w:p>
        </w:tc>
        <w:tc>
          <w:tcPr>
            <w:tcW w:w="174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政府性基金预算财政拨款</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一、一般公共预算财政拨款</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一、一般公共服务支出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二、政府性基金预算财政拨款</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二、外交支出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三、国有资本经营预算财政拨款</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三、国防支出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四、公共安全支出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五、教育支出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六、科学技术支出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七、文化旅游体育与传媒支出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206.3</w:t>
            </w: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206.3</w:t>
            </w: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八、社会保障和就业支出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10.74</w:t>
            </w: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10.74</w:t>
            </w: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九、卫生健康支出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十、节能环保支出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十一、城乡社区支出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十二、农林水支出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十三、交通运输支出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十四、资源勘探工业信息等支出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十五、商业服务业等支出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十六、金融支出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十七、援助其他地区支出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十八、自然资源海洋气象等支出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7" w:type="dxa"/>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十九、住房保障支出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43" w:type="dxa"/>
            <w:gridSpan w:val="2"/>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二十、粮油物资储备支出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二十一、国有资本经营预算支出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二十二、灾害防治及应急管理支出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二十三、其他支出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二十四、债务还本支出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本年收入合计</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二十五、债务付息支出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年初财政拨款结转和结余</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二十六、抗疫特别国债安排的支出</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一、一般公共预算财政拨款</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本年支出合计</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二、政府性基金预算财政拨款</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年末财政拨款结转和结余</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三、国有资本经营预算财政拨款</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3070" w:type="dxa"/>
            <w:tcBorders>
              <w:top w:val="nil"/>
              <w:left w:val="single" w:color="000000" w:sz="8" w:space="0"/>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1381"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313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总计</w:t>
            </w:r>
          </w:p>
        </w:tc>
        <w:tc>
          <w:tcPr>
            <w:tcW w:w="1239"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585"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740" w:type="dxa"/>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680" w:type="dxa"/>
            <w:gridSpan w:val="3"/>
            <w:tcBorders>
              <w:top w:val="nil"/>
              <w:left w:val="nil"/>
              <w:bottom w:val="single" w:color="000000" w:sz="8" w:space="0"/>
              <w:right w:val="single" w:color="000000" w:sz="8" w:space="0"/>
            </w:tcBorders>
            <w:vAlign w:val="center"/>
          </w:tcPr>
          <w:p>
            <w:pPr>
              <w:widowControl/>
              <w:wordWrap/>
              <w:adjustRightInd/>
              <w:snapToGrid/>
              <w:spacing w:line="24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0" w:hRule="atLeast"/>
          <w:jc w:val="center"/>
        </w:trPr>
        <w:tc>
          <w:tcPr>
            <w:tcW w:w="13393" w:type="dxa"/>
            <w:gridSpan w:val="7"/>
            <w:tcBorders>
              <w:top w:val="nil"/>
              <w:left w:val="nil"/>
              <w:bottom w:val="nil"/>
              <w:right w:val="nil"/>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备注：本表反映部门本年度一般公共预算财政拨款、政府性基金预算财政拨款及国有资本经营预算财政拨款的总收支和年末结转结余情况。</w:t>
            </w:r>
          </w:p>
        </w:tc>
        <w:tc>
          <w:tcPr>
            <w:tcW w:w="432" w:type="dxa"/>
            <w:gridSpan w:val="2"/>
            <w:tcBorders>
              <w:top w:val="nil"/>
              <w:left w:val="nil"/>
              <w:bottom w:val="nil"/>
              <w:right w:val="nil"/>
            </w:tcBorders>
            <w:vAlign w:val="center"/>
          </w:tcPr>
          <w:p>
            <w:pPr>
              <w:widowControl/>
              <w:wordWrap/>
              <w:adjustRightInd/>
              <w:snapToGrid/>
              <w:spacing w:line="32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r>
    </w:tbl>
    <w:p>
      <w:pPr>
        <w:sectPr>
          <w:pgSz w:w="16851" w:h="11915" w:orient="landscape"/>
          <w:pgMar w:top="454" w:right="1440" w:bottom="454" w:left="1440" w:header="851" w:footer="454" w:gutter="0"/>
          <w:pgNumType w:fmt="decimal"/>
          <w:cols w:space="0" w:num="1"/>
          <w:rtlGutter w:val="0"/>
          <w:docGrid w:type="lines" w:linePitch="336" w:charSpace="0"/>
        </w:sectPr>
      </w:pPr>
    </w:p>
    <w:tbl>
      <w:tblPr>
        <w:tblStyle w:val="8"/>
        <w:tblW w:w="86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0"/>
        <w:gridCol w:w="324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640" w:type="dxa"/>
            <w:gridSpan w:val="5"/>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640" w:type="dxa"/>
            <w:gridSpan w:val="5"/>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640"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公开部门：重庆市万盛经济技术开发区图书馆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w:t>
            </w:r>
          </w:p>
        </w:tc>
        <w:tc>
          <w:tcPr>
            <w:tcW w:w="324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2160" w:type="dxa"/>
            <w:vMerge w:val="restart"/>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功能分类科目编码</w:t>
            </w:r>
          </w:p>
        </w:tc>
        <w:tc>
          <w:tcPr>
            <w:tcW w:w="3240"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项目（按“项”级功能分类科目）</w:t>
            </w:r>
          </w:p>
        </w:tc>
        <w:tc>
          <w:tcPr>
            <w:tcW w:w="1080"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1080"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基本支出</w:t>
            </w:r>
          </w:p>
        </w:tc>
        <w:tc>
          <w:tcPr>
            <w:tcW w:w="1080"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2160" w:type="dxa"/>
            <w:vMerge w:val="continue"/>
            <w:tcBorders>
              <w:top w:val="nil"/>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324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2160" w:type="dxa"/>
            <w:vMerge w:val="continue"/>
            <w:tcBorders>
              <w:top w:val="nil"/>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324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08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5400" w:type="dxa"/>
            <w:gridSpan w:val="2"/>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228.45</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86.35</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文化旅游体育与传媒支出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206.3</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64.2</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20701</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文化和旅游</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185.2</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64.2</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2070104</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图书馆</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134.2</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64.2</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2070199</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其他文化和旅游支出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20799</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其他文化旅游体育与传媒支出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21.1</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2079999</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其他文化旅游体育与传媒支出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21.1</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208</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社会保障和就业支出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20805</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行政事业单位养老支出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10.74</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2080505</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机关事业单位基本养老保险缴费支出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7.16</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7.16</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2080506</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机关事业单位职业年金缴费支出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210</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卫生健康支出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21011</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行政事业单位医疗</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6.04</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2101102</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事业单位医疗</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6.04</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221</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住房保障支出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22102</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住房改革支出</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5.37</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2160"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2210201</w:t>
            </w:r>
          </w:p>
        </w:tc>
        <w:tc>
          <w:tcPr>
            <w:tcW w:w="3240"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08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08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640"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备注：本表反映部门本年度一般公共预算财政拨款支出情况。</w:t>
            </w:r>
          </w:p>
        </w:tc>
      </w:tr>
    </w:tbl>
    <w:p>
      <w:pPr>
        <w:pStyle w:val="5"/>
        <w:sectPr>
          <w:pgSz w:w="11915" w:h="16851"/>
          <w:pgMar w:top="1440" w:right="1800" w:bottom="1440" w:left="1800" w:header="851" w:footer="992" w:gutter="0"/>
          <w:pgNumType w:fmt="decimal"/>
          <w:cols w:space="720" w:num="1"/>
          <w:docGrid w:type="lines" w:linePitch="312" w:charSpace="0"/>
        </w:sectPr>
      </w:pPr>
    </w:p>
    <w:tbl>
      <w:tblPr>
        <w:tblStyle w:val="8"/>
        <w:tblW w:w="145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1"/>
        <w:gridCol w:w="2824"/>
        <w:gridCol w:w="836"/>
        <w:gridCol w:w="1234"/>
        <w:gridCol w:w="11"/>
        <w:gridCol w:w="2660"/>
        <w:gridCol w:w="920"/>
        <w:gridCol w:w="1215"/>
        <w:gridCol w:w="2330"/>
        <w:gridCol w:w="840"/>
        <w:gridCol w:w="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5" w:type="dxa"/>
          <w:trHeight w:val="591" w:hRule="atLeast"/>
          <w:jc w:val="center"/>
        </w:trPr>
        <w:tc>
          <w:tcPr>
            <w:tcW w:w="14071" w:type="dxa"/>
            <w:gridSpan w:val="10"/>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5" w:type="dxa"/>
          <w:trHeight w:val="23" w:hRule="atLeast"/>
          <w:jc w:val="center"/>
        </w:trPr>
        <w:tc>
          <w:tcPr>
            <w:tcW w:w="14071" w:type="dxa"/>
            <w:gridSpan w:val="10"/>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525" w:type="dxa"/>
          <w:trHeight w:val="23" w:hRule="atLeast"/>
          <w:jc w:val="center"/>
        </w:trPr>
        <w:tc>
          <w:tcPr>
            <w:tcW w:w="14071" w:type="dxa"/>
            <w:gridSpan w:val="10"/>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公开部门：重庆市万盛经济技术开发区图书馆                           </w:t>
            </w:r>
            <w:r>
              <w:rPr>
                <w:rFonts w:hint="eastAsia" w:cs="宋体"/>
                <w:i w:val="0"/>
                <w:iCs w:val="0"/>
                <w:color w:val="000000"/>
                <w:kern w:val="0"/>
                <w:sz w:val="24"/>
                <w:szCs w:val="24"/>
                <w:u w:val="none"/>
                <w:lang w:val="en-US" w:eastAsia="zh-CN"/>
              </w:rPr>
              <w:t xml:space="preserve">2021年度     </w:t>
            </w:r>
            <w:r>
              <w:rPr>
                <w:rFonts w:hint="eastAsia" w:ascii="宋体" w:hAnsi="宋体" w:eastAsia="宋体" w:cs="宋体"/>
                <w:i w:val="0"/>
                <w:iCs w:val="0"/>
                <w:color w:val="000000"/>
                <w:kern w:val="0"/>
                <w:sz w:val="24"/>
                <w:szCs w:val="24"/>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8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人员经费</w:t>
            </w:r>
          </w:p>
        </w:tc>
        <w:tc>
          <w:tcPr>
            <w:tcW w:w="973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01" w:type="dxa"/>
            <w:vMerge w:val="restart"/>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经济分类科目编码</w:t>
            </w:r>
          </w:p>
        </w:tc>
        <w:tc>
          <w:tcPr>
            <w:tcW w:w="2824"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经济分类科目（按“款”级功能分类科目）</w:t>
            </w:r>
          </w:p>
        </w:tc>
        <w:tc>
          <w:tcPr>
            <w:tcW w:w="836"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金额</w:t>
            </w:r>
          </w:p>
        </w:tc>
        <w:tc>
          <w:tcPr>
            <w:tcW w:w="1245" w:type="dxa"/>
            <w:gridSpan w:val="2"/>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经济分类科目编码</w:t>
            </w:r>
          </w:p>
        </w:tc>
        <w:tc>
          <w:tcPr>
            <w:tcW w:w="2660"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经济分类科目（按“款”级功能分类科目）</w:t>
            </w:r>
          </w:p>
        </w:tc>
        <w:tc>
          <w:tcPr>
            <w:tcW w:w="920"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金额</w:t>
            </w:r>
          </w:p>
        </w:tc>
        <w:tc>
          <w:tcPr>
            <w:tcW w:w="1215"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经济分类科目编码</w:t>
            </w:r>
          </w:p>
        </w:tc>
        <w:tc>
          <w:tcPr>
            <w:tcW w:w="2330"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经济分类科目（按“款”级功能分类科目）</w:t>
            </w:r>
          </w:p>
        </w:tc>
        <w:tc>
          <w:tcPr>
            <w:tcW w:w="1365" w:type="dxa"/>
            <w:gridSpan w:val="2"/>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01" w:type="dxa"/>
            <w:vMerge w:val="continue"/>
            <w:tcBorders>
              <w:top w:val="nil"/>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2824"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836"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245" w:type="dxa"/>
            <w:gridSpan w:val="2"/>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266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92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215"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2330"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365" w:type="dxa"/>
            <w:gridSpan w:val="2"/>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工资福利支出</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57.66</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商品和服务支出</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27.01</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资本性支出</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30101</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基本工资</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17.93</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30201</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办公费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2.84</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31001</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房屋建筑物购建</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30102</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津贴补贴</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0.88</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30202</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印刷费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31002</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办公设备购置</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30103</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奖金</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30203</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咨询费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31003</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专用设备购置</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30106</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伙食补助费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30204</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手续费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31005</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基础设施建设</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30107</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绩效工资</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16.69</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30205</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水费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31006</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大型修缮</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30108</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Fonts w:hint="eastAsia" w:ascii="宋体" w:hAnsi="宋体" w:eastAsia="宋体" w:cs="宋体"/>
                <w:i w:val="0"/>
                <w:iCs w:val="0"/>
                <w:color w:val="000000"/>
                <w:kern w:val="0"/>
                <w:sz w:val="18"/>
                <w:szCs w:val="18"/>
                <w:u w:val="none"/>
                <w:lang w:val="en-US" w:eastAsia="zh-CN"/>
              </w:rPr>
              <w:t>机关事业单位基本养老保险费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7.16</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30206</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电费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31007</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Fonts w:hint="eastAsia" w:ascii="宋体" w:hAnsi="宋体" w:eastAsia="宋体" w:cs="宋体"/>
                <w:i w:val="0"/>
                <w:iCs w:val="0"/>
                <w:color w:val="000000"/>
                <w:kern w:val="0"/>
                <w:sz w:val="18"/>
                <w:szCs w:val="18"/>
                <w:u w:val="none"/>
                <w:lang w:val="en-US" w:eastAsia="zh-CN"/>
              </w:rPr>
              <w:t>信息网络及软件购置更新</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30109</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职业年金缴费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3.58</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30207</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邮电费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1.46</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31008</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物资储备</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30110</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职工基本医疗保险缴费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5.44</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30208</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取暖费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31009</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土地补偿</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30111</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公务员医疗补助缴费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30209</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物业管理费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31010</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安置补助</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30112</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其他社会保障缴费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0.61</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30211</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差旅费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5.59</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31011</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地上附着物和青苗补偿</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30113</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住房公积金</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5.37</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30212</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因公出国（境）费用</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31012</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拆迁补偿</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30114</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医疗费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30213</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维修（护）费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0.21</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31013</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公务用车购置</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30199</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其他工资福利支出</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30214</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租赁费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31019</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其他交通工具购置</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对个人和家庭的补助</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1.68</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30215</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会议费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0.04</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31021</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文物和陈列品购置</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30301</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离休费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30216</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培训费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31022</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无形资产购置</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30302</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退休费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30217</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公务接待费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0.12</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31099</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其他资本性支出</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30303</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退职（役）费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30218</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专用材料费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0.3</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对企业补助</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30304</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抚恤金</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1.08</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30224</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被装购置费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31201</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资本金注入</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30305</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生活补助</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30225</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专用燃料费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31203</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政府投资基金股权投资</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30306</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救济费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30226</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劳务费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31204</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费用补贴</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30307</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医疗费补助</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0.6</w:t>
            </w: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30227</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委托业务费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31205</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利息补贴</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30308</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助学金</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30228</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工会经费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4.44</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31299</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其他对企业补助</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30309</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奖励金</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30229</w:t>
            </w:r>
          </w:p>
        </w:tc>
        <w:tc>
          <w:tcPr>
            <w:tcW w:w="266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福利费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其他支出</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30310</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个人农业生产补贴</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30231</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公务用车运行维护费</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4.28</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39906</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赠与</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30311</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代缴社会保险费</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30239</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其他交通费用</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39907</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国家赔偿费用支出</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30399</w:t>
            </w: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Fonts w:hint="eastAsia" w:ascii="宋体" w:hAnsi="宋体" w:eastAsia="宋体" w:cs="宋体"/>
                <w:i w:val="0"/>
                <w:iCs w:val="0"/>
                <w:color w:val="000000"/>
                <w:kern w:val="0"/>
                <w:sz w:val="18"/>
                <w:szCs w:val="18"/>
                <w:u w:val="none"/>
                <w:lang w:val="en-US" w:eastAsia="zh-CN"/>
              </w:rPr>
              <w:t>其他个人和家庭的补助支出</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30240</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税金及附加费用</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39908</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w:t>
            </w:r>
            <w:r>
              <w:rPr>
                <w:rFonts w:hint="eastAsia" w:ascii="宋体" w:hAnsi="宋体" w:eastAsia="宋体" w:cs="宋体"/>
                <w:i w:val="0"/>
                <w:iCs w:val="0"/>
                <w:color w:val="000000"/>
                <w:kern w:val="0"/>
                <w:sz w:val="16"/>
                <w:szCs w:val="16"/>
                <w:u w:val="none"/>
                <w:lang w:val="en-US" w:eastAsia="zh-CN"/>
              </w:rPr>
              <w:t xml:space="preserve"> 对民间非营利组织和群众性自治组织补贴</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30299</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其他商品和服务支出</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7.73</w:t>
            </w: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39999</w:t>
            </w: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其他支出</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债务利息及费用支出</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30701</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国内债务付息</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30702</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国外债务付息</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30703</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国内债务发行费用</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01" w:type="dxa"/>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82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34"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30704</w:t>
            </w:r>
          </w:p>
        </w:tc>
        <w:tc>
          <w:tcPr>
            <w:tcW w:w="2671"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国外债务发行费用</w:t>
            </w:r>
          </w:p>
        </w:tc>
        <w:tc>
          <w:tcPr>
            <w:tcW w:w="92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c>
          <w:tcPr>
            <w:tcW w:w="1215"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2330"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left"/>
              <w:outlineLvl w:val="9"/>
              <w:rPr>
                <w:rFonts w:hint="eastAsia" w:ascii="宋体" w:hAnsi="宋体" w:eastAsia="宋体" w:cs="宋体"/>
                <w:i w:val="0"/>
                <w:iCs w:val="0"/>
                <w:color w:val="000000"/>
                <w:sz w:val="20"/>
                <w:szCs w:val="20"/>
                <w:u w:val="none"/>
              </w:rPr>
            </w:pP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025" w:type="dxa"/>
            <w:gridSpan w:val="2"/>
            <w:tcBorders>
              <w:top w:val="nil"/>
              <w:left w:val="single" w:color="000000" w:sz="8" w:space="0"/>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人员经费合计</w:t>
            </w:r>
          </w:p>
        </w:tc>
        <w:tc>
          <w:tcPr>
            <w:tcW w:w="836" w:type="dxa"/>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59.34</w:t>
            </w:r>
          </w:p>
        </w:tc>
        <w:tc>
          <w:tcPr>
            <w:tcW w:w="8370" w:type="dxa"/>
            <w:gridSpan w:val="6"/>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center"/>
              <w:textAlignment w:val="center"/>
              <w:outlineLvl w:val="9"/>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公用经费合计</w:t>
            </w:r>
          </w:p>
        </w:tc>
        <w:tc>
          <w:tcPr>
            <w:tcW w:w="1365" w:type="dxa"/>
            <w:gridSpan w:val="2"/>
            <w:tcBorders>
              <w:top w:val="nil"/>
              <w:left w:val="nil"/>
              <w:bottom w:val="single" w:color="000000" w:sz="8" w:space="0"/>
              <w:right w:val="single" w:color="000000" w:sz="8" w:space="0"/>
            </w:tcBorders>
            <w:vAlign w:val="center"/>
          </w:tcPr>
          <w:p>
            <w:pPr>
              <w:widowControl/>
              <w:wordWrap/>
              <w:adjustRightInd/>
              <w:snapToGrid/>
              <w:spacing w:line="200" w:lineRule="exact"/>
              <w:ind w:left="0" w:leftChars="0" w:right="0" w:firstLine="0" w:firstLineChars="0"/>
              <w:jc w:val="righ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596" w:type="dxa"/>
            <w:gridSpan w:val="11"/>
            <w:tcBorders>
              <w:top w:val="nil"/>
              <w:left w:val="nil"/>
              <w:bottom w:val="nil"/>
              <w:right w:val="nil"/>
            </w:tcBorders>
            <w:vAlign w:val="center"/>
          </w:tcPr>
          <w:p>
            <w:pPr>
              <w:widowControl/>
              <w:wordWrap/>
              <w:adjustRightInd/>
              <w:snapToGrid/>
              <w:spacing w:line="200" w:lineRule="exact"/>
              <w:ind w:left="0" w:leftChars="0" w:right="0" w:firstLine="0" w:firstLineChars="0"/>
              <w:jc w:val="left"/>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注：本表反映部门本年度一般公共预算财政拨款基本支出明细情况。</w:t>
            </w:r>
          </w:p>
        </w:tc>
      </w:tr>
    </w:tbl>
    <w:p>
      <w:pPr>
        <w:sectPr>
          <w:pgSz w:w="16851" w:h="11915" w:orient="landscape"/>
          <w:pgMar w:top="170" w:right="1440" w:bottom="567" w:left="1440" w:header="851" w:footer="567" w:gutter="0"/>
          <w:pgNumType w:fmt="decimal"/>
          <w:cols w:space="0" w:num="1"/>
          <w:rtlGutter w:val="0"/>
          <w:docGrid w:type="lines" w:linePitch="333" w:charSpace="0"/>
        </w:sectPr>
      </w:pPr>
    </w:p>
    <w:tbl>
      <w:tblPr>
        <w:tblStyle w:val="8"/>
        <w:tblW w:w="843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9"/>
        <w:gridCol w:w="2194"/>
        <w:gridCol w:w="1105"/>
        <w:gridCol w:w="761"/>
        <w:gridCol w:w="532"/>
        <w:gridCol w:w="761"/>
        <w:gridCol w:w="761"/>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438" w:type="dxa"/>
            <w:gridSpan w:val="8"/>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438" w:type="dxa"/>
            <w:gridSpan w:val="8"/>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438"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公开部门：重庆市万盛经济技术开发区图书馆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413"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w:t>
            </w:r>
          </w:p>
        </w:tc>
        <w:tc>
          <w:tcPr>
            <w:tcW w:w="1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年初结转和结余</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本年收入</w:t>
            </w:r>
          </w:p>
        </w:tc>
        <w:tc>
          <w:tcPr>
            <w:tcW w:w="20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w:t>
            </w:r>
          </w:p>
        </w:tc>
        <w:tc>
          <w:tcPr>
            <w:tcW w:w="11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功能分类科目编码</w:t>
            </w:r>
          </w:p>
        </w:tc>
        <w:tc>
          <w:tcPr>
            <w:tcW w:w="219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项目（按“项”级功能分类科目）</w:t>
            </w:r>
          </w:p>
        </w:tc>
        <w:tc>
          <w:tcPr>
            <w:tcW w:w="1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基本支出</w:t>
            </w:r>
          </w:p>
        </w:tc>
        <w:tc>
          <w:tcPr>
            <w:tcW w:w="7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项目支出</w:t>
            </w:r>
          </w:p>
        </w:tc>
        <w:tc>
          <w:tcPr>
            <w:tcW w:w="1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21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2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219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11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41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110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21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2194"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761"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110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438"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备注：本表反映部门本年度政府性基金预算财政拨款收入支出及结转和结余情况。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438"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本单位无政府性基金收入，也没有使用政府性基金安排的支出，故本表无数据。</w:t>
            </w:r>
          </w:p>
        </w:tc>
      </w:tr>
    </w:tbl>
    <w:p>
      <w:pPr>
        <w:pStyle w:val="5"/>
        <w:sectPr>
          <w:pgSz w:w="11915" w:h="16851"/>
          <w:pgMar w:top="1440" w:right="1800" w:bottom="1440" w:left="1800" w:header="851" w:footer="992" w:gutter="0"/>
          <w:pgNumType w:fmt="decimal"/>
          <w:cols w:space="720" w:num="1"/>
          <w:docGrid w:type="lines" w:linePitch="312" w:charSpace="0"/>
        </w:sectPr>
      </w:pPr>
    </w:p>
    <w:tbl>
      <w:tblPr>
        <w:tblStyle w:val="8"/>
        <w:tblW w:w="836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30"/>
        <w:gridCol w:w="1758"/>
        <w:gridCol w:w="861"/>
        <w:gridCol w:w="2059"/>
        <w:gridCol w:w="1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365" w:type="dxa"/>
            <w:gridSpan w:val="5"/>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365" w:type="dxa"/>
            <w:gridSpan w:val="5"/>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365"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公开部门：重庆市万盛经济技术开发区图书馆      2021年度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588"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w:t>
            </w:r>
          </w:p>
        </w:tc>
        <w:tc>
          <w:tcPr>
            <w:tcW w:w="47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830" w:type="dxa"/>
            <w:vMerge w:val="restart"/>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功能分类科目编码</w:t>
            </w:r>
          </w:p>
        </w:tc>
        <w:tc>
          <w:tcPr>
            <w:tcW w:w="1758"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科目名称</w:t>
            </w:r>
          </w:p>
        </w:tc>
        <w:tc>
          <w:tcPr>
            <w:tcW w:w="861"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2059"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基本支出</w:t>
            </w:r>
          </w:p>
        </w:tc>
        <w:tc>
          <w:tcPr>
            <w:tcW w:w="1857" w:type="dxa"/>
            <w:vMerge w:val="restart"/>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830" w:type="dxa"/>
            <w:vMerge w:val="continue"/>
            <w:tcBorders>
              <w:top w:val="nil"/>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758"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861"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2059"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857"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jc w:val="center"/>
        </w:trPr>
        <w:tc>
          <w:tcPr>
            <w:tcW w:w="1830" w:type="dxa"/>
            <w:vMerge w:val="continue"/>
            <w:tcBorders>
              <w:top w:val="nil"/>
              <w:left w:val="single" w:color="000000" w:sz="8" w:space="0"/>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758"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861"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2059"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c>
          <w:tcPr>
            <w:tcW w:w="1857" w:type="dxa"/>
            <w:vMerge w:val="continue"/>
            <w:tcBorders>
              <w:top w:val="nil"/>
              <w:left w:val="nil"/>
              <w:bottom w:val="single" w:color="000000" w:sz="8" w:space="0"/>
              <w:right w:val="single" w:color="000000" w:sz="8" w:space="0"/>
            </w:tcBorders>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3588" w:type="dxa"/>
            <w:gridSpan w:val="2"/>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合计</w:t>
            </w:r>
          </w:p>
        </w:tc>
        <w:tc>
          <w:tcPr>
            <w:tcW w:w="86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5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857"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830" w:type="dxa"/>
            <w:tcBorders>
              <w:top w:val="nil"/>
              <w:left w:val="single" w:color="000000" w:sz="8" w:space="0"/>
              <w:bottom w:val="single" w:color="000000" w:sz="8" w:space="0"/>
              <w:right w:val="single" w:color="000000" w:sz="8" w:space="0"/>
            </w:tcBorders>
            <w:vAlign w:val="center"/>
          </w:tcPr>
          <w:p>
            <w:pPr>
              <w:jc w:val="left"/>
              <w:rPr>
                <w:rFonts w:hint="eastAsia" w:ascii="宋体" w:hAnsi="宋体" w:eastAsia="宋体" w:cs="宋体"/>
                <w:i w:val="0"/>
                <w:iCs w:val="0"/>
                <w:color w:val="000000"/>
                <w:sz w:val="20"/>
                <w:szCs w:val="20"/>
                <w:u w:val="none"/>
              </w:rPr>
            </w:pPr>
          </w:p>
        </w:tc>
        <w:tc>
          <w:tcPr>
            <w:tcW w:w="1758" w:type="dxa"/>
            <w:tcBorders>
              <w:top w:val="nil"/>
              <w:left w:val="nil"/>
              <w:bottom w:val="single" w:color="000000" w:sz="8" w:space="0"/>
              <w:right w:val="single" w:color="000000" w:sz="8" w:space="0"/>
            </w:tcBorders>
            <w:vAlign w:val="center"/>
          </w:tcPr>
          <w:p>
            <w:pPr>
              <w:jc w:val="left"/>
              <w:rPr>
                <w:rFonts w:hint="eastAsia" w:ascii="宋体" w:hAnsi="宋体" w:eastAsia="宋体" w:cs="宋体"/>
                <w:i w:val="0"/>
                <w:iCs w:val="0"/>
                <w:color w:val="000000"/>
                <w:sz w:val="20"/>
                <w:szCs w:val="20"/>
                <w:u w:val="none"/>
              </w:rPr>
            </w:pPr>
          </w:p>
        </w:tc>
        <w:tc>
          <w:tcPr>
            <w:tcW w:w="861"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205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857"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365"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备注：本表反映部门本年度国有资本经营预算财政拨款支出情况。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8365"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本单位无国有资本经营预算财政拨款支出，故本表无数据。</w:t>
            </w:r>
          </w:p>
        </w:tc>
      </w:tr>
    </w:tbl>
    <w:p>
      <w:pPr>
        <w:sectPr>
          <w:pgSz w:w="11915" w:h="16851"/>
          <w:pgMar w:top="1440" w:right="1800" w:bottom="1440" w:left="1800" w:header="851" w:footer="992" w:gutter="0"/>
          <w:pgNumType w:fmt="decimal"/>
          <w:cols w:space="720" w:num="1"/>
          <w:docGrid w:type="lines" w:linePitch="312" w:charSpace="0"/>
        </w:sectPr>
      </w:pPr>
    </w:p>
    <w:tbl>
      <w:tblPr>
        <w:tblStyle w:val="8"/>
        <w:tblW w:w="140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15"/>
        <w:gridCol w:w="1560"/>
        <w:gridCol w:w="1620"/>
        <w:gridCol w:w="4815"/>
        <w:gridCol w:w="1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14019" w:type="dxa"/>
            <w:gridSpan w:val="5"/>
            <w:tcBorders>
              <w:top w:val="nil"/>
              <w:left w:val="nil"/>
              <w:bottom w:val="nil"/>
              <w:right w:val="nil"/>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44"/>
                <w:szCs w:val="44"/>
                <w:u w:val="none"/>
                <w:lang w:val="en-US" w:eastAsia="zh-CN"/>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019" w:type="dxa"/>
            <w:gridSpan w:val="5"/>
            <w:tcBorders>
              <w:top w:val="nil"/>
              <w:left w:val="nil"/>
              <w:bottom w:val="nil"/>
              <w:right w:val="nil"/>
            </w:tcBorders>
            <w:vAlign w:val="center"/>
          </w:tcPr>
          <w:p>
            <w:pPr>
              <w:widowControl/>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019"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 xml:space="preserve">公开部门：重庆市万盛经济技术开发区图书馆              </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2021年度</w:t>
            </w:r>
            <w:r>
              <w:rPr>
                <w:rFonts w:hint="eastAsia" w:cs="宋体"/>
                <w:i w:val="0"/>
                <w:iCs w:val="0"/>
                <w:color w:val="000000"/>
                <w:kern w:val="0"/>
                <w:sz w:val="24"/>
                <w:szCs w:val="24"/>
                <w:u w:val="none"/>
                <w:lang w:val="en-US" w:eastAsia="zh-CN"/>
              </w:rPr>
              <w:t xml:space="preserve">                                 </w:t>
            </w:r>
            <w:r>
              <w:rPr>
                <w:rFonts w:hint="eastAsia" w:ascii="宋体" w:hAnsi="宋体" w:eastAsia="宋体" w:cs="宋体"/>
                <w:i w:val="0"/>
                <w:iCs w:val="0"/>
                <w:color w:val="000000"/>
                <w:kern w:val="0"/>
                <w:sz w:val="24"/>
                <w:szCs w:val="24"/>
                <w:u w:val="none"/>
                <w:lang w:val="en-US" w:eastAsia="zh-CN"/>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  目</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预算数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决算数</w:t>
            </w:r>
          </w:p>
        </w:tc>
        <w:tc>
          <w:tcPr>
            <w:tcW w:w="4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项  目</w:t>
            </w:r>
          </w:p>
        </w:tc>
        <w:tc>
          <w:tcPr>
            <w:tcW w:w="1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一、“三公”经费支出</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四、机关运行经费</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（一）支出合计</w:t>
            </w:r>
          </w:p>
        </w:tc>
        <w:tc>
          <w:tcPr>
            <w:tcW w:w="156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7</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4.4</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（一）行政单位</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1．因公出国（境）费</w:t>
            </w:r>
          </w:p>
        </w:tc>
        <w:tc>
          <w:tcPr>
            <w:tcW w:w="156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（二）参照公务员法管理事业单位</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2．公务用车购置及运行维护费</w:t>
            </w:r>
          </w:p>
        </w:tc>
        <w:tc>
          <w:tcPr>
            <w:tcW w:w="156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4.28</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五、国有资产占用情况</w:t>
            </w:r>
          </w:p>
        </w:tc>
        <w:tc>
          <w:tcPr>
            <w:tcW w:w="1609"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（1）公务用车购置费</w:t>
            </w:r>
          </w:p>
        </w:tc>
        <w:tc>
          <w:tcPr>
            <w:tcW w:w="156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（一）车辆数合计（辆）</w:t>
            </w:r>
          </w:p>
        </w:tc>
        <w:tc>
          <w:tcPr>
            <w:tcW w:w="1609"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（2）公务用车运行维护费</w:t>
            </w:r>
          </w:p>
        </w:tc>
        <w:tc>
          <w:tcPr>
            <w:tcW w:w="156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6</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4.28</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1.副部（省）级及以上领导用车</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3．公务接待费</w:t>
            </w:r>
          </w:p>
        </w:tc>
        <w:tc>
          <w:tcPr>
            <w:tcW w:w="156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0.12</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2.主要领导干部用车</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（1）国内接待费</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0.12</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3.机要通信用车</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其中：外事接待费</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4.应急保障用车</w:t>
            </w:r>
          </w:p>
        </w:tc>
        <w:tc>
          <w:tcPr>
            <w:tcW w:w="1609"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（2）国（境）外接待费</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5.执法执勤用车</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（二）相关统计数</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6.特种专业技术用车</w:t>
            </w:r>
          </w:p>
        </w:tc>
        <w:tc>
          <w:tcPr>
            <w:tcW w:w="1609"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1．因公出国（境）团组数（个）</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7.离退休干部用车</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2．因公出国（境）人次数（人）</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8.其他用车</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3．公务用车购置数（辆）</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（二）单价50万元（含）以上通用设备（台，套）</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4．公务用车保有量（辆）</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（三）单价100万（含）元以上专用设备（台，套）</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5．国内公务接待批次（个）</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rPr>
              <w:t>六、政府采购支出信息</w:t>
            </w:r>
          </w:p>
        </w:tc>
        <w:tc>
          <w:tcPr>
            <w:tcW w:w="1609"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其中：外事接待批次（个）</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（一）政府采购支出合计</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6．国内公务接待人次（人）</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13</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1．政府采购货物支出</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其中：外事接待人次（人）</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2．政府采购工程支出</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7．国（境）外公务接待批次（个）</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3．政府采购服务支出</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8．国（境）外公务接待人次（人）</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（二）政府采购授予中小企业合同金额</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二、会议费</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widowControl/>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0.04</w:t>
            </w:r>
          </w:p>
        </w:tc>
        <w:tc>
          <w:tcPr>
            <w:tcW w:w="4815" w:type="dxa"/>
            <w:tcBorders>
              <w:top w:val="nil"/>
              <w:left w:val="nil"/>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 xml:space="preserve">        其中：授予小微企业合同金额</w:t>
            </w:r>
          </w:p>
        </w:tc>
        <w:tc>
          <w:tcPr>
            <w:tcW w:w="1609"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4415"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三、培训费</w:t>
            </w:r>
          </w:p>
        </w:tc>
        <w:tc>
          <w:tcPr>
            <w:tcW w:w="1560" w:type="dxa"/>
            <w:tcBorders>
              <w:top w:val="nil"/>
              <w:left w:val="nil"/>
              <w:bottom w:val="single" w:color="000000" w:sz="8" w:space="0"/>
              <w:right w:val="single" w:color="000000" w:sz="8"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w:t>
            </w:r>
          </w:p>
        </w:tc>
        <w:tc>
          <w:tcPr>
            <w:tcW w:w="1620" w:type="dxa"/>
            <w:tcBorders>
              <w:top w:val="nil"/>
              <w:left w:val="nil"/>
              <w:bottom w:val="single" w:color="000000" w:sz="8" w:space="0"/>
              <w:right w:val="single" w:color="000000" w:sz="8" w:space="0"/>
            </w:tcBorders>
            <w:vAlign w:val="center"/>
          </w:tcPr>
          <w:p>
            <w:pPr>
              <w:jc w:val="right"/>
              <w:rPr>
                <w:rFonts w:hint="eastAsia" w:ascii="宋体" w:hAnsi="宋体" w:eastAsia="宋体" w:cs="宋体"/>
                <w:i w:val="0"/>
                <w:iCs w:val="0"/>
                <w:color w:val="000000"/>
                <w:sz w:val="20"/>
                <w:szCs w:val="20"/>
                <w:u w:val="none"/>
              </w:rPr>
            </w:pPr>
          </w:p>
        </w:tc>
        <w:tc>
          <w:tcPr>
            <w:tcW w:w="4815" w:type="dxa"/>
            <w:tcBorders>
              <w:top w:val="nil"/>
              <w:left w:val="nil"/>
              <w:bottom w:val="single" w:color="000000" w:sz="8" w:space="0"/>
              <w:right w:val="single" w:color="000000" w:sz="8" w:space="0"/>
            </w:tcBorders>
            <w:vAlign w:val="center"/>
          </w:tcPr>
          <w:p>
            <w:pPr>
              <w:jc w:val="left"/>
              <w:rPr>
                <w:rFonts w:hint="eastAsia" w:ascii="宋体" w:hAnsi="宋体" w:eastAsia="宋体" w:cs="宋体"/>
                <w:i w:val="0"/>
                <w:iCs w:val="0"/>
                <w:color w:val="000000"/>
                <w:sz w:val="20"/>
                <w:szCs w:val="20"/>
                <w:u w:val="none"/>
              </w:rPr>
            </w:pPr>
          </w:p>
        </w:tc>
        <w:tc>
          <w:tcPr>
            <w:tcW w:w="1609" w:type="dxa"/>
            <w:tcBorders>
              <w:top w:val="nil"/>
              <w:left w:val="nil"/>
              <w:bottom w:val="single" w:color="000000" w:sz="8" w:space="0"/>
              <w:right w:val="single" w:color="000000" w:sz="8" w:space="0"/>
            </w:tcBorders>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4019"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备注：预算数年初部门预算批复数，决算数包括当年财政拨款预算和以前年度结转结余资金安排的实际支出。</w:t>
            </w:r>
          </w:p>
        </w:tc>
      </w:tr>
    </w:tbl>
    <w:p>
      <w:pPr>
        <w:pStyle w:val="5"/>
        <w:rPr>
          <w:rFonts w:hint="default" w:eastAsia="宋体"/>
          <w:lang w:val="en-US" w:eastAsia="zh-CN"/>
        </w:rPr>
      </w:pPr>
    </w:p>
    <w:p>
      <w:bookmarkStart w:id="0" w:name="_GoBack"/>
      <w:bookmarkEnd w:id="0"/>
    </w:p>
    <w:sectPr>
      <w:pgSz w:w="16851" w:h="11915" w:orient="landscape"/>
      <w:pgMar w:top="454" w:right="1440" w:bottom="567" w:left="1440" w:header="851" w:footer="567" w:gutter="0"/>
      <w:pgNumType w:fmt="decimal"/>
      <w:cols w:space="0" w:num="1"/>
      <w:rtlGutter w:val="0"/>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F5237"/>
    <w:rsid w:val="558F5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宋体" w:hAnsi="宋体" w:eastAsia="宋体" w:cs="宋体"/>
      <w:kern w:val="0"/>
      <w:sz w:val="24"/>
      <w:szCs w:val="24"/>
      <w:lang w:val="en-US" w:eastAsia="zh-CN" w:bidi="ar-SA"/>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5">
    <w:name w:val="heading 4"/>
    <w:basedOn w:val="4"/>
    <w:next w:val="1"/>
    <w:unhideWhenUsed/>
    <w:qFormat/>
    <w:uiPriority w:val="0"/>
    <w:pPr>
      <w:spacing w:before="0" w:beforeAutospacing="1" w:after="0" w:afterAutospacing="1"/>
      <w:jc w:val="left"/>
    </w:pPr>
    <w:rPr>
      <w:rFonts w:hint="eastAsia" w:ascii="宋体" w:hAnsi="宋体" w:eastAsia="宋体" w:cs="宋体"/>
      <w:kern w:val="0"/>
      <w:sz w:val="24"/>
      <w:szCs w:val="24"/>
      <w:lang w:val="en-US" w:eastAsia="zh-CN"/>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Plain Text"/>
    <w:basedOn w:val="1"/>
    <w:next w:val="3"/>
    <w:qFormat/>
    <w:uiPriority w:val="0"/>
    <w:pPr>
      <w:spacing w:before="0" w:beforeAutospacing="0" w:after="0" w:afterAutospacing="0"/>
      <w:ind w:left="300" w:leftChars="300" w:right="0"/>
      <w:jc w:val="left"/>
    </w:pPr>
    <w:rPr>
      <w:rFonts w:hint="eastAsia" w:ascii="宋体" w:hAnsi="宋体" w:eastAsia="方正仿宋_GBK" w:cs="Times New Roman"/>
      <w:kern w:val="0"/>
      <w:sz w:val="32"/>
      <w:szCs w:val="32"/>
      <w:lang w:val="en-US" w:eastAsia="zh-CN" w:bidi="ar-SA"/>
    </w:rPr>
  </w:style>
  <w:style w:type="paragraph" w:styleId="3">
    <w:name w:val="Date"/>
    <w:basedOn w:val="1"/>
    <w:next w:val="1"/>
    <w:qFormat/>
    <w:uiPriority w:val="0"/>
    <w:pPr>
      <w:spacing w:before="0" w:beforeAutospacing="0" w:after="0" w:afterAutospacing="0"/>
      <w:ind w:left="2500" w:leftChars="2500" w:right="0"/>
      <w:jc w:val="left"/>
    </w:pPr>
    <w:rPr>
      <w:rFonts w:hint="eastAsia" w:ascii="宋体" w:hAnsi="宋体" w:eastAsia="宋体" w:cs="宋体"/>
      <w:kern w:val="0"/>
      <w:sz w:val="24"/>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character" w:customStyle="1" w:styleId="9">
    <w:name w:val="font31"/>
    <w:basedOn w:val="7"/>
    <w:qFormat/>
    <w:uiPriority w:val="0"/>
    <w:rPr>
      <w:rFonts w:hint="eastAsia" w:ascii="宋体" w:hAnsi="宋体" w:eastAsia="宋体" w:cs="宋体"/>
      <w:color w:val="000000"/>
      <w:sz w:val="24"/>
      <w:szCs w:val="24"/>
      <w:u w:val="none"/>
    </w:rPr>
  </w:style>
  <w:style w:type="character" w:customStyle="1" w:styleId="10">
    <w:name w:val="font41"/>
    <w:basedOn w:val="7"/>
    <w:qFormat/>
    <w:uiPriority w:val="0"/>
    <w:rPr>
      <w:rFonts w:hint="eastAsia" w:ascii="宋体" w:hAnsi="宋体" w:eastAsia="宋体" w:cs="宋体"/>
      <w:color w:val="000000"/>
      <w:sz w:val="20"/>
      <w:szCs w:val="20"/>
      <w:u w:val="none"/>
    </w:rPr>
  </w:style>
  <w:style w:type="character" w:customStyle="1" w:styleId="11">
    <w:name w:val="font51"/>
    <w:basedOn w:val="7"/>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2022-11-09T04:06:00Z</dcterms:created>
  <dc:creator>Administrator</dc:creator>
  <cp:lastModifiedBy>Administrator</cp:lastModifiedBy>
  <dcterms:modified xsi:type="dcterms:W3CDTF">2022-11-09T04:07:03Z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