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_GBK" w:hAnsi="华文中宋" w:eastAsia="方正小标宋_GBK" w:cs="华文中宋"/>
          <w:sz w:val="44"/>
          <w:szCs w:val="44"/>
        </w:rPr>
      </w:pPr>
      <w:bookmarkStart w:id="0" w:name="_GoBack"/>
      <w:r>
        <w:rPr>
          <w:rFonts w:ascii="方正小标宋_GBK" w:hAnsi="华文中宋" w:eastAsia="方正小标宋_GBK" w:cs="华文中宋"/>
          <w:sz w:val="44"/>
          <w:szCs w:val="44"/>
        </w:rPr>
        <w:t>重庆市第四十九中学校</w:t>
      </w:r>
    </w:p>
    <w:p>
      <w:pPr>
        <w:spacing w:line="560" w:lineRule="exact"/>
        <w:jc w:val="center"/>
        <w:rPr>
          <w:rFonts w:hint="default" w:eastAsia="方正小标宋_GBK"/>
          <w:sz w:val="44"/>
          <w:szCs w:val="44"/>
        </w:rPr>
      </w:pPr>
      <w:r>
        <w:rPr>
          <w:rFonts w:ascii="方正小标宋_GBK" w:hAnsi="华文中宋" w:eastAsia="方正小标宋_GBK" w:cs="华文中宋"/>
          <w:sz w:val="44"/>
          <w:szCs w:val="44"/>
        </w:rPr>
        <w:t>2021年部门预算情况说明</w:t>
      </w:r>
      <w:bookmarkEnd w:id="0"/>
    </w:p>
    <w:p>
      <w:pPr>
        <w:spacing w:line="600" w:lineRule="exact"/>
        <w:ind w:left="640"/>
        <w:rPr>
          <w:rFonts w:hint="default" w:ascii="方正黑体_GBK" w:hAnsi="黑体" w:eastAsia="方正黑体_GBK" w:cs="仿宋_GB2312"/>
          <w:sz w:val="32"/>
        </w:rPr>
      </w:pPr>
    </w:p>
    <w:p>
      <w:pPr>
        <w:spacing w:line="594" w:lineRule="exact"/>
        <w:ind w:left="640"/>
        <w:rPr>
          <w:rFonts w:hint="default" w:ascii="方正黑体_GBK" w:hAnsi="黑体" w:eastAsia="方正黑体_GBK" w:cs="仿宋_GB2312"/>
          <w:sz w:val="32"/>
        </w:rPr>
      </w:pPr>
      <w:r>
        <w:rPr>
          <w:rFonts w:ascii="方正黑体_GBK" w:hAnsi="黑体" w:eastAsia="方正黑体_GBK" w:cs="仿宋_GB2312"/>
          <w:sz w:val="32"/>
        </w:rPr>
        <w:t>一、单位基本情况</w:t>
      </w:r>
    </w:p>
    <w:p>
      <w:pPr>
        <w:spacing w:line="594" w:lineRule="exact"/>
        <w:ind w:firstLine="640" w:firstLineChars="200"/>
        <w:rPr>
          <w:rFonts w:hint="default" w:ascii="方正楷体_GBK" w:hAnsi="方正楷体_GBK" w:eastAsia="方正楷体_GBK" w:cs="方正楷体_GBK"/>
          <w:sz w:val="32"/>
        </w:rPr>
      </w:pPr>
      <w:r>
        <w:rPr>
          <w:rFonts w:ascii="方正楷体_GBK" w:hAnsi="方正楷体_GBK" w:eastAsia="方正楷体_GBK" w:cs="方正楷体_GBK"/>
          <w:sz w:val="32"/>
        </w:rPr>
        <w:t>（一）职能职责。</w:t>
      </w:r>
    </w:p>
    <w:p>
      <w:pPr>
        <w:spacing w:line="594" w:lineRule="exact"/>
        <w:ind w:firstLine="640" w:firstLineChars="200"/>
        <w:rPr>
          <w:rFonts w:hint="default" w:ascii="方正仿宋_GBK" w:hAnsi="仿宋_GB2312" w:eastAsia="方正仿宋_GBK" w:cs="仿宋_GB2312"/>
          <w:sz w:val="32"/>
        </w:rPr>
      </w:pPr>
      <w:r>
        <w:rPr>
          <w:rFonts w:ascii="方正仿宋_GBK" w:hAnsi="仿宋_GB2312" w:eastAsia="方正仿宋_GBK" w:cs="仿宋_GB2312"/>
          <w:sz w:val="32"/>
        </w:rPr>
        <w:t>1、贯彻执行党和国家的教育方针、政策、法律、法规、规章，依法拟定并组织实施高中教育发展规划、计划，推进高中教育发展和促进教育公平。</w:t>
      </w:r>
    </w:p>
    <w:p>
      <w:pPr>
        <w:spacing w:line="594" w:lineRule="exact"/>
        <w:ind w:firstLine="640" w:firstLineChars="200"/>
        <w:rPr>
          <w:rFonts w:hint="default" w:ascii="方正仿宋_GBK" w:hAnsi="仿宋_GB2312" w:eastAsia="方正仿宋_GBK" w:cs="仿宋_GB2312"/>
          <w:sz w:val="32"/>
        </w:rPr>
      </w:pPr>
      <w:r>
        <w:rPr>
          <w:rFonts w:ascii="方正仿宋_GBK" w:hAnsi="仿宋_GB2312" w:eastAsia="方正仿宋_GBK" w:cs="仿宋_GB2312"/>
          <w:sz w:val="32"/>
        </w:rPr>
        <w:t>2、实施高中学历教育，促进基础教育发展。开展高中学历教育及相关社会服务。</w:t>
      </w:r>
    </w:p>
    <w:p>
      <w:pPr>
        <w:spacing w:line="594" w:lineRule="exact"/>
        <w:ind w:firstLine="640" w:firstLineChars="200"/>
        <w:rPr>
          <w:rFonts w:hint="default" w:ascii="方正楷体_GBK" w:hAnsi="方正楷体_GBK" w:eastAsia="方正楷体_GBK" w:cs="方正楷体_GBK"/>
          <w:sz w:val="32"/>
          <w:szCs w:val="22"/>
        </w:rPr>
      </w:pPr>
      <w:r>
        <w:rPr>
          <w:rFonts w:ascii="方正楷体_GBK" w:hAnsi="方正楷体_GBK" w:eastAsia="方正楷体_GBK" w:cs="方正楷体_GBK"/>
          <w:sz w:val="32"/>
          <w:szCs w:val="22"/>
        </w:rPr>
        <w:t>（二）单位构成。</w:t>
      </w:r>
    </w:p>
    <w:p>
      <w:pPr>
        <w:pStyle w:val="7"/>
        <w:tabs>
          <w:tab w:val="center" w:pos="4153"/>
          <w:tab w:val="left" w:pos="7275"/>
        </w:tabs>
        <w:spacing w:line="594" w:lineRule="exact"/>
        <w:ind w:firstLine="640"/>
        <w:jc w:val="left"/>
        <w:rPr>
          <w:rFonts w:ascii="方正仿宋_GBK" w:hAnsi="仿宋_GB2312" w:eastAsia="方正仿宋_GBK" w:cs="仿宋_GB2312"/>
          <w:sz w:val="32"/>
        </w:rPr>
      </w:pPr>
      <w:r>
        <w:rPr>
          <w:rFonts w:hint="eastAsia" w:ascii="方正仿宋_GBK" w:hAnsi="方正仿宋_GBK" w:eastAsia="方正仿宋_GBK" w:cs="方正仿宋_GBK"/>
          <w:color w:val="000000"/>
          <w:sz w:val="32"/>
          <w:szCs w:val="32"/>
        </w:rPr>
        <w:t>重庆市第四十九中学校属区教育局下二级预算全额</w:t>
      </w:r>
      <w:r>
        <w:rPr>
          <w:rFonts w:hint="eastAsia" w:ascii="方正仿宋_GBK" w:hAnsi="方正仿宋_GBK" w:eastAsia="方正仿宋_GBK" w:cs="方正仿宋_GBK"/>
          <w:color w:val="000000"/>
          <w:sz w:val="32"/>
          <w:szCs w:val="32"/>
          <w:lang w:eastAsia="zh-CN"/>
        </w:rPr>
        <w:t>拨款</w:t>
      </w:r>
      <w:r>
        <w:rPr>
          <w:rFonts w:hint="eastAsia" w:ascii="方正仿宋_GBK" w:hAnsi="方正仿宋_GBK" w:eastAsia="方正仿宋_GBK" w:cs="方正仿宋_GBK"/>
          <w:color w:val="000000"/>
          <w:sz w:val="32"/>
          <w:szCs w:val="32"/>
        </w:rPr>
        <w:t>事业单位，学校有9个内设职能部门，分别是办公室、教务处、德育处、总务处、安保处、体卫艺处、教师发展中心、学生生涯规划中心、现代教育技术中心</w:t>
      </w:r>
      <w:r>
        <w:rPr>
          <w:rFonts w:hint="eastAsia" w:ascii="方正仿宋_GBK" w:hAnsi="仿宋_GB2312" w:eastAsia="方正仿宋_GBK" w:cs="仿宋_GB2312"/>
          <w:sz w:val="32"/>
        </w:rPr>
        <w:t>。</w:t>
      </w:r>
    </w:p>
    <w:p>
      <w:pPr>
        <w:spacing w:line="594" w:lineRule="exact"/>
        <w:ind w:left="640"/>
        <w:rPr>
          <w:rFonts w:hint="default" w:ascii="方正仿宋_GBK" w:hAnsi="黑体" w:eastAsia="方正仿宋_GBK" w:cs="仿宋_GB2312"/>
          <w:sz w:val="32"/>
        </w:rPr>
      </w:pPr>
      <w:r>
        <w:rPr>
          <w:rFonts w:ascii="方正黑体_GBK" w:hAnsi="黑体" w:eastAsia="方正黑体_GBK" w:cs="仿宋_GB2312"/>
          <w:sz w:val="32"/>
        </w:rPr>
        <w:t>二、部门收支总体情况</w:t>
      </w:r>
    </w:p>
    <w:p>
      <w:pPr>
        <w:spacing w:line="594" w:lineRule="exact"/>
        <w:ind w:firstLine="640" w:firstLineChars="200"/>
        <w:rPr>
          <w:rFonts w:hint="default" w:ascii="方正仿宋_GBK" w:hAnsi="仿宋_GB2312" w:eastAsia="方正仿宋_GBK" w:cs="仿宋_GB2312"/>
          <w:sz w:val="32"/>
        </w:rPr>
      </w:pPr>
      <w:r>
        <w:rPr>
          <w:rFonts w:ascii="方正楷体_GBK" w:hAnsi="方正楷体_GBK" w:eastAsia="方正楷体_GBK" w:cs="方正楷体_GBK"/>
          <w:sz w:val="32"/>
        </w:rPr>
        <w:t>（一）收入预算。</w:t>
      </w:r>
      <w:r>
        <w:rPr>
          <w:rFonts w:ascii="方正仿宋_GBK" w:hAnsi="仿宋_GB2312" w:eastAsia="方正仿宋_GBK" w:cs="仿宋_GB2312"/>
          <w:sz w:val="32"/>
        </w:rPr>
        <w:t>2021年年初预算数5392.09万元，其中：一般公共预算拨款5392.09万元，政府性基金预算拨款0</w:t>
      </w:r>
      <w:r>
        <w:rPr>
          <w:rFonts w:hint="default" w:ascii="方正仿宋_GBK" w:hAnsi="仿宋_GB2312" w:eastAsia="方正仿宋_GBK" w:cs="仿宋_GB2312"/>
          <w:sz w:val="32"/>
        </w:rPr>
        <w:t>.00</w:t>
      </w:r>
      <w:r>
        <w:rPr>
          <w:rFonts w:ascii="方正仿宋_GBK" w:hAnsi="仿宋_GB2312" w:eastAsia="方正仿宋_GBK" w:cs="仿宋_GB2312"/>
          <w:sz w:val="32"/>
        </w:rPr>
        <w:t>万元，国有资本经营预算收入0</w:t>
      </w:r>
      <w:r>
        <w:rPr>
          <w:rFonts w:hint="default" w:ascii="方正仿宋_GBK" w:hAnsi="仿宋_GB2312" w:eastAsia="方正仿宋_GBK" w:cs="仿宋_GB2312"/>
          <w:sz w:val="32"/>
        </w:rPr>
        <w:t>.00</w:t>
      </w:r>
      <w:r>
        <w:rPr>
          <w:rFonts w:ascii="方正仿宋_GBK" w:hAnsi="仿宋_GB2312" w:eastAsia="方正仿宋_GBK" w:cs="仿宋_GB2312"/>
          <w:sz w:val="32"/>
        </w:rPr>
        <w:t>万元，事业收入0</w:t>
      </w:r>
      <w:r>
        <w:rPr>
          <w:rFonts w:hint="default" w:ascii="方正仿宋_GBK" w:hAnsi="仿宋_GB2312" w:eastAsia="方正仿宋_GBK" w:cs="仿宋_GB2312"/>
          <w:sz w:val="32"/>
        </w:rPr>
        <w:t>.00</w:t>
      </w:r>
      <w:r>
        <w:rPr>
          <w:rFonts w:ascii="方正仿宋_GBK" w:hAnsi="仿宋_GB2312" w:eastAsia="方正仿宋_GBK" w:cs="仿宋_GB2312"/>
          <w:sz w:val="32"/>
        </w:rPr>
        <w:t>万元，事业单位经营收入0</w:t>
      </w:r>
      <w:r>
        <w:rPr>
          <w:rFonts w:hint="default" w:ascii="方正仿宋_GBK" w:hAnsi="仿宋_GB2312" w:eastAsia="方正仿宋_GBK" w:cs="仿宋_GB2312"/>
          <w:sz w:val="32"/>
        </w:rPr>
        <w:t>.00</w:t>
      </w:r>
      <w:r>
        <w:rPr>
          <w:rFonts w:ascii="方正仿宋_GBK" w:hAnsi="仿宋_GB2312" w:eastAsia="方正仿宋_GBK" w:cs="仿宋_GB2312"/>
          <w:sz w:val="32"/>
        </w:rPr>
        <w:t>万元，其他收入0</w:t>
      </w:r>
      <w:r>
        <w:rPr>
          <w:rFonts w:hint="default" w:ascii="方正仿宋_GBK" w:hAnsi="仿宋_GB2312" w:eastAsia="方正仿宋_GBK" w:cs="仿宋_GB2312"/>
          <w:sz w:val="32"/>
        </w:rPr>
        <w:t>.00</w:t>
      </w:r>
      <w:r>
        <w:rPr>
          <w:rFonts w:ascii="方正仿宋_GBK" w:hAnsi="仿宋_GB2312" w:eastAsia="方正仿宋_GBK" w:cs="仿宋_GB2312"/>
          <w:sz w:val="32"/>
        </w:rPr>
        <w:t>万元,上年结转0</w:t>
      </w:r>
      <w:r>
        <w:rPr>
          <w:rFonts w:hint="default" w:ascii="方正仿宋_GBK" w:hAnsi="仿宋_GB2312" w:eastAsia="方正仿宋_GBK" w:cs="仿宋_GB2312"/>
          <w:sz w:val="32"/>
        </w:rPr>
        <w:t>.00</w:t>
      </w:r>
      <w:r>
        <w:rPr>
          <w:rFonts w:ascii="方正仿宋_GBK" w:hAnsi="仿宋_GB2312" w:eastAsia="方正仿宋_GBK" w:cs="仿宋_GB2312"/>
          <w:sz w:val="32"/>
        </w:rPr>
        <w:t>万元。收入较2020年减少1212.55万元，主要是初中部剥离后经费拨款预算减少1212.55万元。</w:t>
      </w:r>
    </w:p>
    <w:p>
      <w:pPr>
        <w:spacing w:line="594" w:lineRule="exact"/>
        <w:ind w:firstLine="640" w:firstLineChars="200"/>
        <w:rPr>
          <w:rFonts w:hint="default" w:ascii="方正仿宋_GBK" w:hAnsi="仿宋_GB2312" w:eastAsia="方正仿宋_GBK" w:cs="仿宋_GB2312"/>
          <w:sz w:val="32"/>
        </w:rPr>
      </w:pPr>
      <w:r>
        <w:rPr>
          <w:rFonts w:ascii="方正楷体_GBK" w:hAnsi="方正楷体_GBK" w:eastAsia="方正楷体_GBK" w:cs="方正楷体_GBK"/>
          <w:sz w:val="32"/>
        </w:rPr>
        <w:t>（二）支出预算。</w:t>
      </w:r>
      <w:r>
        <w:rPr>
          <w:rFonts w:ascii="方正仿宋_GBK" w:hAnsi="仿宋_GB2312" w:eastAsia="方正仿宋_GBK" w:cs="仿宋_GB2312"/>
          <w:sz w:val="32"/>
        </w:rPr>
        <w:t>2021年年初预算数5392.09万元，其中：教育支出预算4104.11万元，社会保障和就业支出预算759.98万元，卫生健康支出预算274.59万元，住房保障支出预算253.4万元。支出预算较2020年减少1212.55万元，主要是初中部剥离后基本支出减少1391.01万元，人才引进经费项目支出增加178.46万元。</w:t>
      </w:r>
    </w:p>
    <w:p>
      <w:pPr>
        <w:spacing w:line="594" w:lineRule="exact"/>
        <w:ind w:left="640"/>
        <w:rPr>
          <w:rFonts w:hint="default" w:ascii="方正黑体_GBK" w:hAnsi="黑体" w:eastAsia="方正黑体_GBK" w:cs="仿宋_GB2312"/>
          <w:sz w:val="32"/>
        </w:rPr>
      </w:pPr>
      <w:r>
        <w:rPr>
          <w:rFonts w:ascii="方正黑体_GBK" w:hAnsi="黑体" w:eastAsia="方正黑体_GBK" w:cs="仿宋_GB2312"/>
          <w:sz w:val="32"/>
        </w:rPr>
        <w:t>三、部门预算情况说明</w:t>
      </w:r>
    </w:p>
    <w:p>
      <w:pPr>
        <w:spacing w:line="594" w:lineRule="exact"/>
        <w:ind w:firstLine="640" w:firstLineChars="200"/>
        <w:rPr>
          <w:rFonts w:hint="default" w:ascii="方正仿宋_GBK" w:hAnsi="仿宋_GB2312" w:eastAsia="方正仿宋_GBK" w:cs="仿宋_GB2312"/>
          <w:sz w:val="32"/>
        </w:rPr>
      </w:pPr>
      <w:r>
        <w:rPr>
          <w:rFonts w:ascii="方正仿宋_GBK" w:hAnsi="仿宋_GB2312" w:eastAsia="方正仿宋_GBK" w:cs="仿宋_GB2312"/>
          <w:sz w:val="32"/>
        </w:rPr>
        <w:t>2021年一般公共预算财政拨款收入5392.09万元，一般公共预算财政拨款支出5392.09万元，比2020年减少1212.55万元。其中：基本支出 4490.38万元，比2020年减少1391.01万元，主要原因是初中部剥离导致相应人员经费减少，主要用于保障在职人员工资福利及社会保险缴费，退休人员补助；项目支出901.71万元，比2020年增加178.46万元，主要原因是人才引进经费预算增加，主要用于单位</w:t>
      </w:r>
      <w:r>
        <w:rPr>
          <w:rFonts w:hint="default" w:ascii="方正仿宋_GBK" w:hAnsi="仿宋_GB2312" w:eastAsia="方正仿宋_GBK" w:cs="仿宋_GB2312"/>
          <w:sz w:val="32"/>
        </w:rPr>
        <w:t>日常运转、</w:t>
      </w:r>
      <w:r>
        <w:rPr>
          <w:rFonts w:ascii="方正仿宋_GBK" w:hAnsi="仿宋_GB2312" w:eastAsia="方正仿宋_GBK" w:cs="仿宋_GB2312"/>
          <w:sz w:val="32"/>
        </w:rPr>
        <w:t>一中帮扶、人才引进、学生资助等重点工作。</w:t>
      </w:r>
    </w:p>
    <w:p>
      <w:pPr>
        <w:spacing w:line="594" w:lineRule="exact"/>
        <w:ind w:firstLine="640" w:firstLineChars="200"/>
        <w:rPr>
          <w:rFonts w:hint="default" w:ascii="方正仿宋_GBK" w:hAnsi="仿宋_GB2312" w:eastAsia="方正仿宋_GBK" w:cs="仿宋_GB2312"/>
          <w:sz w:val="32"/>
        </w:rPr>
      </w:pPr>
      <w:r>
        <w:rPr>
          <w:rFonts w:ascii="方正仿宋_GBK" w:hAnsi="仿宋_GB2312" w:eastAsia="方正仿宋_GBK" w:cs="仿宋_GB2312"/>
          <w:sz w:val="32"/>
        </w:rPr>
        <w:t>重庆市第四十九中学校2021年无使用政府性基金预算拨款安排的支出。</w:t>
      </w:r>
    </w:p>
    <w:p>
      <w:pPr>
        <w:spacing w:line="594" w:lineRule="exact"/>
        <w:ind w:left="640"/>
        <w:rPr>
          <w:rFonts w:hint="default" w:ascii="方正仿宋_GBK" w:hAnsi="黑体" w:eastAsia="方正仿宋_GBK" w:cs="仿宋_GB2312"/>
          <w:sz w:val="32"/>
        </w:rPr>
      </w:pPr>
      <w:r>
        <w:rPr>
          <w:rFonts w:ascii="方正黑体_GBK" w:hAnsi="黑体" w:eastAsia="方正黑体_GBK" w:cs="仿宋_GB2312"/>
          <w:sz w:val="32"/>
        </w:rPr>
        <w:t>四、“三公”经费情况说明</w:t>
      </w:r>
    </w:p>
    <w:p>
      <w:pPr>
        <w:spacing w:line="594" w:lineRule="exact"/>
        <w:ind w:firstLine="600"/>
        <w:rPr>
          <w:rFonts w:hint="default" w:ascii="方正仿宋_GBK" w:hAnsi="仿宋_GB2312" w:eastAsia="方正仿宋_GBK" w:cs="仿宋_GB2312"/>
          <w:sz w:val="32"/>
        </w:rPr>
      </w:pPr>
      <w:r>
        <w:rPr>
          <w:rFonts w:ascii="方正仿宋_GBK" w:hAnsi="仿宋_GB2312" w:eastAsia="方正仿宋_GBK" w:cs="仿宋_GB2312"/>
          <w:sz w:val="32"/>
        </w:rPr>
        <w:t>2021年“三公”经费预算0</w:t>
      </w:r>
      <w:r>
        <w:rPr>
          <w:rFonts w:hint="default" w:ascii="方正仿宋_GBK" w:hAnsi="仿宋_GB2312" w:eastAsia="方正仿宋_GBK" w:cs="仿宋_GB2312"/>
          <w:sz w:val="32"/>
        </w:rPr>
        <w:t>.00</w:t>
      </w:r>
      <w:r>
        <w:rPr>
          <w:rFonts w:ascii="方正仿宋_GBK" w:hAnsi="仿宋_GB2312" w:eastAsia="方正仿宋_GBK" w:cs="仿宋_GB2312"/>
          <w:sz w:val="32"/>
        </w:rPr>
        <w:t>万元，比2020年减少0</w:t>
      </w:r>
      <w:r>
        <w:rPr>
          <w:rFonts w:hint="default" w:ascii="方正仿宋_GBK" w:hAnsi="仿宋_GB2312" w:eastAsia="方正仿宋_GBK" w:cs="仿宋_GB2312"/>
          <w:sz w:val="32"/>
        </w:rPr>
        <w:t>.00</w:t>
      </w:r>
      <w:r>
        <w:rPr>
          <w:rFonts w:ascii="方正仿宋_GBK" w:hAnsi="仿宋_GB2312" w:eastAsia="方正仿宋_GBK" w:cs="仿宋_GB2312"/>
          <w:sz w:val="32"/>
        </w:rPr>
        <w:t>万元。其中：因公出国（境）费用0</w:t>
      </w:r>
      <w:r>
        <w:rPr>
          <w:rFonts w:hint="default" w:ascii="方正仿宋_GBK" w:hAnsi="仿宋_GB2312" w:eastAsia="方正仿宋_GBK" w:cs="仿宋_GB2312"/>
          <w:sz w:val="32"/>
        </w:rPr>
        <w:t>.00</w:t>
      </w:r>
      <w:r>
        <w:rPr>
          <w:rFonts w:ascii="方正仿宋_GBK" w:hAnsi="仿宋_GB2312" w:eastAsia="方正仿宋_GBK" w:cs="仿宋_GB2312"/>
          <w:sz w:val="32"/>
        </w:rPr>
        <w:t>万元，比2020年减少0</w:t>
      </w:r>
      <w:r>
        <w:rPr>
          <w:rFonts w:hint="default" w:ascii="方正仿宋_GBK" w:hAnsi="仿宋_GB2312" w:eastAsia="方正仿宋_GBK" w:cs="仿宋_GB2312"/>
          <w:sz w:val="32"/>
        </w:rPr>
        <w:t>.00</w:t>
      </w:r>
      <w:r>
        <w:rPr>
          <w:rFonts w:ascii="方正仿宋_GBK" w:hAnsi="仿宋_GB2312" w:eastAsia="方正仿宋_GBK" w:cs="仿宋_GB2312"/>
          <w:sz w:val="32"/>
        </w:rPr>
        <w:t>万元，主要原因是本单位近年无因公出国（境）预算支出；公务接待费0</w:t>
      </w:r>
      <w:r>
        <w:rPr>
          <w:rFonts w:hint="default" w:ascii="方正仿宋_GBK" w:hAnsi="仿宋_GB2312" w:eastAsia="方正仿宋_GBK" w:cs="仿宋_GB2312"/>
          <w:sz w:val="32"/>
        </w:rPr>
        <w:t>.00</w:t>
      </w:r>
      <w:r>
        <w:rPr>
          <w:rFonts w:ascii="方正仿宋_GBK" w:hAnsi="仿宋_GB2312" w:eastAsia="方正仿宋_GBK" w:cs="仿宋_GB2312"/>
          <w:sz w:val="32"/>
        </w:rPr>
        <w:t>万元，比2020年减少0</w:t>
      </w:r>
      <w:r>
        <w:rPr>
          <w:rFonts w:hint="default" w:ascii="方正仿宋_GBK" w:hAnsi="仿宋_GB2312" w:eastAsia="方正仿宋_GBK" w:cs="仿宋_GB2312"/>
          <w:sz w:val="32"/>
        </w:rPr>
        <w:t>.00</w:t>
      </w:r>
      <w:r>
        <w:rPr>
          <w:rFonts w:ascii="方正仿宋_GBK" w:hAnsi="仿宋_GB2312" w:eastAsia="方正仿宋_GBK" w:cs="仿宋_GB2312"/>
          <w:sz w:val="32"/>
        </w:rPr>
        <w:t>万元，主要原因是本单位近年无公务接待预算支出；公务用车运行维护费0</w:t>
      </w:r>
      <w:r>
        <w:rPr>
          <w:rFonts w:hint="default" w:ascii="方正仿宋_GBK" w:hAnsi="仿宋_GB2312" w:eastAsia="方正仿宋_GBK" w:cs="仿宋_GB2312"/>
          <w:sz w:val="32"/>
        </w:rPr>
        <w:t>.00</w:t>
      </w:r>
      <w:r>
        <w:rPr>
          <w:rFonts w:ascii="方正仿宋_GBK" w:hAnsi="仿宋_GB2312" w:eastAsia="方正仿宋_GBK" w:cs="仿宋_GB2312"/>
          <w:sz w:val="32"/>
        </w:rPr>
        <w:t>万元，比2020年减少0</w:t>
      </w:r>
      <w:r>
        <w:rPr>
          <w:rFonts w:hint="default" w:ascii="方正仿宋_GBK" w:hAnsi="仿宋_GB2312" w:eastAsia="方正仿宋_GBK" w:cs="仿宋_GB2312"/>
          <w:sz w:val="32"/>
        </w:rPr>
        <w:t>.00</w:t>
      </w:r>
      <w:r>
        <w:rPr>
          <w:rFonts w:ascii="方正仿宋_GBK" w:hAnsi="仿宋_GB2312" w:eastAsia="方正仿宋_GBK" w:cs="仿宋_GB2312"/>
          <w:sz w:val="32"/>
        </w:rPr>
        <w:t>万元，主要原因是本单位近年无公务用车运行维护预算支出；公务用车购置费0</w:t>
      </w:r>
      <w:r>
        <w:rPr>
          <w:rFonts w:hint="default" w:ascii="方正仿宋_GBK" w:hAnsi="仿宋_GB2312" w:eastAsia="方正仿宋_GBK" w:cs="仿宋_GB2312"/>
          <w:sz w:val="32"/>
        </w:rPr>
        <w:t>.00</w:t>
      </w:r>
      <w:r>
        <w:rPr>
          <w:rFonts w:ascii="方正仿宋_GBK" w:hAnsi="仿宋_GB2312" w:eastAsia="方正仿宋_GBK" w:cs="仿宋_GB2312"/>
          <w:sz w:val="32"/>
        </w:rPr>
        <w:t>万元，比2020年减少0</w:t>
      </w:r>
      <w:r>
        <w:rPr>
          <w:rFonts w:hint="default" w:ascii="方正仿宋_GBK" w:hAnsi="仿宋_GB2312" w:eastAsia="方正仿宋_GBK" w:cs="仿宋_GB2312"/>
          <w:sz w:val="32"/>
        </w:rPr>
        <w:t>.00</w:t>
      </w:r>
      <w:r>
        <w:rPr>
          <w:rFonts w:ascii="方正仿宋_GBK" w:hAnsi="仿宋_GB2312" w:eastAsia="方正仿宋_GBK" w:cs="仿宋_GB2312"/>
          <w:sz w:val="32"/>
        </w:rPr>
        <w:t>万元；主要原因是本单位近年无公务用车购置预算支出。</w:t>
      </w:r>
    </w:p>
    <w:p>
      <w:pPr>
        <w:spacing w:line="594" w:lineRule="exact"/>
        <w:ind w:left="640"/>
        <w:rPr>
          <w:rFonts w:hint="default" w:ascii="方正黑体_GBK" w:hAnsi="黑体" w:eastAsia="方正黑体_GBK" w:cs="仿宋_GB2312"/>
          <w:sz w:val="32"/>
        </w:rPr>
      </w:pPr>
      <w:r>
        <w:rPr>
          <w:rFonts w:ascii="方正黑体_GBK" w:hAnsi="黑体" w:eastAsia="方正黑体_GBK" w:cs="仿宋_GB2312"/>
          <w:sz w:val="32"/>
        </w:rPr>
        <w:t>五、其他重要事项的情况说明</w:t>
      </w:r>
    </w:p>
    <w:p>
      <w:pPr>
        <w:spacing w:line="594" w:lineRule="exact"/>
        <w:ind w:firstLine="640" w:firstLineChars="200"/>
        <w:rPr>
          <w:rFonts w:hint="default" w:ascii="方正楷体_GBK" w:hAnsi="方正楷体_GBK" w:eastAsia="方正楷体_GBK" w:cs="方正楷体_GBK"/>
          <w:sz w:val="32"/>
          <w:szCs w:val="22"/>
        </w:rPr>
      </w:pPr>
      <w:r>
        <w:rPr>
          <w:rFonts w:ascii="方正楷体_GBK" w:hAnsi="方正楷体_GBK" w:eastAsia="方正楷体_GBK" w:cs="方正楷体_GBK"/>
          <w:sz w:val="32"/>
          <w:szCs w:val="22"/>
        </w:rPr>
        <w:t>（一）机关运行经费。</w:t>
      </w:r>
    </w:p>
    <w:p>
      <w:pPr>
        <w:spacing w:line="594" w:lineRule="exact"/>
        <w:ind w:firstLine="640" w:firstLineChars="200"/>
        <w:rPr>
          <w:rFonts w:hint="default" w:ascii="方正仿宋_GBK" w:hAnsi="仿宋_GB2312" w:eastAsia="方正仿宋_GBK" w:cs="仿宋_GB2312"/>
          <w:sz w:val="32"/>
        </w:rPr>
      </w:pPr>
      <w:r>
        <w:rPr>
          <w:rFonts w:ascii="方正仿宋_GBK" w:hAnsi="仿宋_GB2312" w:eastAsia="方正仿宋_GBK" w:cs="仿宋_GB2312"/>
          <w:sz w:val="32"/>
        </w:rPr>
        <w:t>我单位不在机关运行经费统计范围之内。</w:t>
      </w:r>
    </w:p>
    <w:p>
      <w:pPr>
        <w:spacing w:line="594" w:lineRule="exact"/>
        <w:ind w:firstLine="640" w:firstLineChars="200"/>
        <w:rPr>
          <w:rFonts w:hint="default" w:ascii="方正仿宋_GBK" w:hAnsi="仿宋_GB2312" w:eastAsia="方正仿宋_GBK" w:cs="仿宋_GB2312"/>
          <w:sz w:val="32"/>
        </w:rPr>
      </w:pPr>
      <w:r>
        <w:rPr>
          <w:rFonts w:ascii="方正楷体_GBK" w:hAnsi="方正楷体_GBK" w:eastAsia="方正楷体_GBK" w:cs="方正楷体_GBK"/>
          <w:sz w:val="32"/>
        </w:rPr>
        <w:t>（二）政府采购情况。</w:t>
      </w:r>
      <w:r>
        <w:rPr>
          <w:rFonts w:ascii="方正仿宋_GBK" w:hAnsi="仿宋_GB2312" w:eastAsia="方正仿宋_GBK" w:cs="仿宋_GB2312"/>
          <w:sz w:val="32"/>
        </w:rPr>
        <w:t>我单位政府采购预算总额0</w:t>
      </w:r>
      <w:r>
        <w:rPr>
          <w:rFonts w:hint="default" w:ascii="方正仿宋_GBK" w:hAnsi="仿宋_GB2312" w:eastAsia="方正仿宋_GBK" w:cs="仿宋_GB2312"/>
          <w:sz w:val="32"/>
        </w:rPr>
        <w:t>.00</w:t>
      </w:r>
      <w:r>
        <w:rPr>
          <w:rFonts w:ascii="方正仿宋_GBK" w:hAnsi="仿宋_GB2312" w:eastAsia="方正仿宋_GBK" w:cs="仿宋_GB2312"/>
          <w:sz w:val="32"/>
        </w:rPr>
        <w:t>万元：政府采购货物预算0</w:t>
      </w:r>
      <w:r>
        <w:rPr>
          <w:rFonts w:hint="default" w:ascii="方正仿宋_GBK" w:hAnsi="仿宋_GB2312" w:eastAsia="方正仿宋_GBK" w:cs="仿宋_GB2312"/>
          <w:sz w:val="32"/>
        </w:rPr>
        <w:t>.00</w:t>
      </w:r>
      <w:r>
        <w:rPr>
          <w:rFonts w:ascii="方正仿宋_GBK" w:hAnsi="仿宋_GB2312" w:eastAsia="方正仿宋_GBK" w:cs="仿宋_GB2312"/>
          <w:sz w:val="32"/>
        </w:rPr>
        <w:t>万元、政府采购工程预算0</w:t>
      </w:r>
      <w:r>
        <w:rPr>
          <w:rFonts w:hint="default" w:ascii="方正仿宋_GBK" w:hAnsi="仿宋_GB2312" w:eastAsia="方正仿宋_GBK" w:cs="仿宋_GB2312"/>
          <w:sz w:val="32"/>
        </w:rPr>
        <w:t>.00</w:t>
      </w:r>
      <w:r>
        <w:rPr>
          <w:rFonts w:ascii="方正仿宋_GBK" w:hAnsi="仿宋_GB2312" w:eastAsia="方正仿宋_GBK" w:cs="仿宋_GB2312"/>
          <w:sz w:val="32"/>
        </w:rPr>
        <w:t>万元、政府采购服务预算0</w:t>
      </w:r>
      <w:r>
        <w:rPr>
          <w:rFonts w:hint="default" w:ascii="方正仿宋_GBK" w:hAnsi="仿宋_GB2312" w:eastAsia="方正仿宋_GBK" w:cs="仿宋_GB2312"/>
          <w:sz w:val="32"/>
        </w:rPr>
        <w:t>.00</w:t>
      </w:r>
      <w:r>
        <w:rPr>
          <w:rFonts w:ascii="方正仿宋_GBK" w:hAnsi="仿宋_GB2312" w:eastAsia="方正仿宋_GBK" w:cs="仿宋_GB2312"/>
          <w:sz w:val="32"/>
        </w:rPr>
        <w:t>万元；其中一般公共预算拨款政府采购0</w:t>
      </w:r>
      <w:r>
        <w:rPr>
          <w:rFonts w:hint="default" w:ascii="方正仿宋_GBK" w:hAnsi="仿宋_GB2312" w:eastAsia="方正仿宋_GBK" w:cs="仿宋_GB2312"/>
          <w:sz w:val="32"/>
        </w:rPr>
        <w:t>.00</w:t>
      </w:r>
      <w:r>
        <w:rPr>
          <w:rFonts w:ascii="方正仿宋_GBK" w:hAnsi="仿宋_GB2312" w:eastAsia="方正仿宋_GBK" w:cs="仿宋_GB2312"/>
          <w:sz w:val="32"/>
        </w:rPr>
        <w:t>万元：政府采购货物预算0</w:t>
      </w:r>
      <w:r>
        <w:rPr>
          <w:rFonts w:hint="default" w:ascii="方正仿宋_GBK" w:hAnsi="仿宋_GB2312" w:eastAsia="方正仿宋_GBK" w:cs="仿宋_GB2312"/>
          <w:sz w:val="32"/>
        </w:rPr>
        <w:t>.00</w:t>
      </w:r>
      <w:r>
        <w:rPr>
          <w:rFonts w:ascii="方正仿宋_GBK" w:hAnsi="仿宋_GB2312" w:eastAsia="方正仿宋_GBK" w:cs="仿宋_GB2312"/>
          <w:sz w:val="32"/>
        </w:rPr>
        <w:t>万元、政府采购工程预算0</w:t>
      </w:r>
      <w:r>
        <w:rPr>
          <w:rFonts w:hint="default" w:ascii="方正仿宋_GBK" w:hAnsi="仿宋_GB2312" w:eastAsia="方正仿宋_GBK" w:cs="仿宋_GB2312"/>
          <w:sz w:val="32"/>
        </w:rPr>
        <w:t>.00</w:t>
      </w:r>
      <w:r>
        <w:rPr>
          <w:rFonts w:ascii="方正仿宋_GBK" w:hAnsi="仿宋_GB2312" w:eastAsia="方正仿宋_GBK" w:cs="仿宋_GB2312"/>
          <w:sz w:val="32"/>
        </w:rPr>
        <w:t>万元、政府采购服务预算0</w:t>
      </w:r>
      <w:r>
        <w:rPr>
          <w:rFonts w:hint="default" w:ascii="方正仿宋_GBK" w:hAnsi="仿宋_GB2312" w:eastAsia="方正仿宋_GBK" w:cs="仿宋_GB2312"/>
          <w:sz w:val="32"/>
        </w:rPr>
        <w:t>.00</w:t>
      </w:r>
      <w:r>
        <w:rPr>
          <w:rFonts w:ascii="方正仿宋_GBK" w:hAnsi="仿宋_GB2312" w:eastAsia="方正仿宋_GBK" w:cs="仿宋_GB2312"/>
          <w:sz w:val="32"/>
        </w:rPr>
        <w:t>万元。</w:t>
      </w:r>
    </w:p>
    <w:p>
      <w:pPr>
        <w:spacing w:line="594" w:lineRule="exact"/>
        <w:ind w:firstLine="640" w:firstLineChars="200"/>
        <w:rPr>
          <w:rFonts w:hint="default" w:ascii="方正仿宋_GBK" w:hAnsi="仿宋_GB2312" w:eastAsia="方正仿宋_GBK" w:cs="仿宋_GB2312"/>
          <w:sz w:val="32"/>
        </w:rPr>
      </w:pPr>
      <w:r>
        <w:rPr>
          <w:rFonts w:ascii="方正楷体_GBK" w:hAnsi="方正楷体_GBK" w:eastAsia="方正楷体_GBK" w:cs="方正楷体_GBK"/>
          <w:sz w:val="32"/>
        </w:rPr>
        <w:t>（三）绩效目标设置情况。</w:t>
      </w:r>
      <w:r>
        <w:rPr>
          <w:rFonts w:ascii="方正仿宋_GBK" w:hAnsi="仿宋_GB2312" w:eastAsia="方正仿宋_GBK" w:cs="仿宋_GB2312"/>
          <w:sz w:val="32"/>
        </w:rPr>
        <w:t xml:space="preserve">2021年项目支出均实行了绩效目标管理，涉及一般公共预算当年财政拨款901.71万元。   </w:t>
      </w:r>
    </w:p>
    <w:p>
      <w:pPr>
        <w:spacing w:line="594" w:lineRule="exact"/>
        <w:ind w:firstLine="640" w:firstLineChars="200"/>
        <w:rPr>
          <w:rFonts w:hint="default" w:ascii="方正仿宋_GBK" w:hAnsi="仿宋_GB2312" w:eastAsia="方正仿宋_GBK" w:cs="仿宋_GB2312"/>
          <w:sz w:val="32"/>
        </w:rPr>
      </w:pPr>
      <w:r>
        <w:rPr>
          <w:rFonts w:ascii="方正楷体_GBK" w:hAnsi="方正楷体_GBK" w:eastAsia="方正楷体_GBK" w:cs="方正楷体_GBK"/>
          <w:sz w:val="32"/>
        </w:rPr>
        <w:t>（四）国有资产占有使用情况。</w:t>
      </w:r>
      <w:r>
        <w:rPr>
          <w:rFonts w:ascii="方正仿宋_GBK" w:hAnsi="仿宋_GB2312" w:eastAsia="方正仿宋_GBK" w:cs="仿宋_GB2312"/>
          <w:sz w:val="32"/>
        </w:rPr>
        <w:t>截止2020年12月，所属我单位共有车辆1辆，其中一般公务用车1辆、执勤执法用车0辆。2021年一般公共预算安排购置车辆0辆，其中一般公务用车 0辆、执勤执法用车0辆。</w:t>
      </w:r>
    </w:p>
    <w:p>
      <w:pPr>
        <w:spacing w:line="594" w:lineRule="exact"/>
        <w:ind w:left="640"/>
        <w:rPr>
          <w:rFonts w:hint="default" w:ascii="方正黑体_GBK" w:hAnsi="黑体" w:eastAsia="方正黑体_GBK" w:cs="仿宋_GB2312"/>
          <w:sz w:val="32"/>
        </w:rPr>
      </w:pPr>
      <w:r>
        <w:rPr>
          <w:rFonts w:ascii="方正黑体_GBK" w:hAnsi="黑体" w:eastAsia="方正黑体_GBK" w:cs="仿宋_GB2312"/>
          <w:sz w:val="32"/>
        </w:rPr>
        <w:t>六、专业性名词解释</w:t>
      </w:r>
    </w:p>
    <w:p>
      <w:pPr>
        <w:pStyle w:val="7"/>
        <w:tabs>
          <w:tab w:val="center" w:pos="4153"/>
          <w:tab w:val="left" w:pos="7275"/>
        </w:tabs>
        <w:spacing w:line="594" w:lineRule="exact"/>
        <w:ind w:firstLine="640"/>
        <w:jc w:val="left"/>
        <w:rPr>
          <w:rFonts w:ascii="方正仿宋_GBK" w:eastAsia="方正仿宋_GBK"/>
          <w:sz w:val="32"/>
          <w:szCs w:val="32"/>
        </w:rPr>
      </w:pPr>
      <w:r>
        <w:rPr>
          <w:rFonts w:hint="eastAsia" w:ascii="方正楷体_GBK" w:hAnsi="方正楷体_GBK" w:eastAsia="方正楷体_GBK" w:cs="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594" w:lineRule="exact"/>
        <w:ind w:firstLine="640"/>
        <w:jc w:val="left"/>
        <w:rPr>
          <w:rFonts w:ascii="方正仿宋_GBK" w:eastAsia="方正仿宋_GBK"/>
          <w:sz w:val="32"/>
          <w:szCs w:val="32"/>
        </w:rPr>
      </w:pPr>
      <w:r>
        <w:rPr>
          <w:rFonts w:hint="eastAsia" w:ascii="方正楷体_GBK" w:hAnsi="方正楷体_GBK" w:eastAsia="方正楷体_GBK" w:cs="方正楷体_GBK"/>
          <w:sz w:val="32"/>
          <w:szCs w:val="32"/>
        </w:rPr>
        <w:t>（二）其他收入。</w:t>
      </w:r>
      <w:r>
        <w:rPr>
          <w:rFonts w:hint="eastAsia" w:ascii="方正仿宋_GBK" w:eastAsia="方正仿宋_GBK"/>
          <w:sz w:val="32"/>
          <w:szCs w:val="32"/>
        </w:rPr>
        <w:t>指单位取得的除“财政拨款收入”、“事业收入”、“经营收入”等以外的收入。</w:t>
      </w:r>
    </w:p>
    <w:p>
      <w:pPr>
        <w:pStyle w:val="7"/>
        <w:tabs>
          <w:tab w:val="center" w:pos="4153"/>
          <w:tab w:val="left" w:pos="7275"/>
        </w:tabs>
        <w:spacing w:line="594" w:lineRule="exact"/>
        <w:ind w:firstLine="640"/>
        <w:jc w:val="left"/>
        <w:rPr>
          <w:rFonts w:ascii="方正仿宋_GBK" w:eastAsia="方正仿宋_GBK"/>
          <w:sz w:val="32"/>
          <w:szCs w:val="32"/>
        </w:rPr>
      </w:pPr>
      <w:r>
        <w:rPr>
          <w:rFonts w:hint="eastAsia" w:ascii="方正楷体_GBK" w:hAnsi="方正楷体_GBK" w:eastAsia="方正楷体_GBK" w:cs="方正楷体_GBK"/>
          <w:sz w:val="32"/>
          <w:szCs w:val="32"/>
        </w:rPr>
        <w:t>（三）基本支出。</w:t>
      </w:r>
      <w:r>
        <w:rPr>
          <w:rFonts w:hint="eastAsia" w:ascii="方正仿宋_GBK" w:eastAsia="方正仿宋_GBK"/>
          <w:sz w:val="32"/>
          <w:szCs w:val="32"/>
        </w:rPr>
        <w:t>指为保障机构正常运转、完成日常工作任务而发生的人员经费和公用经费。</w:t>
      </w:r>
    </w:p>
    <w:p>
      <w:pPr>
        <w:pStyle w:val="7"/>
        <w:tabs>
          <w:tab w:val="center" w:pos="4153"/>
          <w:tab w:val="left" w:pos="7275"/>
        </w:tabs>
        <w:spacing w:line="594" w:lineRule="exact"/>
        <w:ind w:firstLine="640"/>
        <w:jc w:val="left"/>
        <w:rPr>
          <w:rFonts w:ascii="方正仿宋_GBK" w:eastAsia="方正仿宋_GBK"/>
          <w:sz w:val="32"/>
          <w:szCs w:val="32"/>
        </w:rPr>
      </w:pPr>
      <w:r>
        <w:rPr>
          <w:rFonts w:hint="eastAsia" w:ascii="方正楷体_GBK" w:hAnsi="方正楷体_GBK" w:eastAsia="方正楷体_GBK" w:cs="方正楷体_GBK"/>
          <w:sz w:val="32"/>
          <w:szCs w:val="32"/>
        </w:rPr>
        <w:t>（四）项目支出。</w:t>
      </w:r>
      <w:r>
        <w:rPr>
          <w:rFonts w:hint="eastAsia" w:ascii="方正仿宋_GBK" w:eastAsia="方正仿宋_GBK"/>
          <w:sz w:val="32"/>
          <w:szCs w:val="32"/>
        </w:rPr>
        <w:t>指在基本支出之外为完成特定行政任务和事业发展目标所发生的支出。</w:t>
      </w:r>
    </w:p>
    <w:p>
      <w:pPr>
        <w:spacing w:line="594" w:lineRule="exact"/>
        <w:ind w:firstLine="640" w:firstLineChars="200"/>
        <w:rPr>
          <w:rFonts w:hint="default" w:ascii="方正仿宋_GBK" w:hAnsi="仿宋_GB2312" w:eastAsia="方正仿宋_GBK" w:cs="仿宋_GB2312"/>
          <w:sz w:val="32"/>
        </w:rPr>
      </w:pPr>
      <w:r>
        <w:rPr>
          <w:rFonts w:ascii="方正楷体_GBK" w:hAnsi="方正楷体_GBK" w:eastAsia="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94" w:lineRule="exact"/>
        <w:ind w:firstLine="640" w:firstLineChars="200"/>
        <w:rPr>
          <w:rFonts w:hint="default" w:ascii="方正仿宋_GBK" w:hAnsi="Times New Roman" w:eastAsia="方正仿宋_GBK"/>
          <w:sz w:val="32"/>
          <w:szCs w:val="32"/>
        </w:rPr>
      </w:pPr>
      <w:r>
        <w:rPr>
          <w:rFonts w:ascii="方正仿宋_GBK" w:hAnsi="Times New Roman" w:eastAsia="方正仿宋_GBK"/>
          <w:sz w:val="32"/>
          <w:szCs w:val="32"/>
        </w:rPr>
        <w:t>（部门预算公开联系人：</w:t>
      </w:r>
      <w:r>
        <w:rPr>
          <w:rFonts w:ascii="方正仿宋_GBK" w:hAnsi="仿宋_GB2312" w:eastAsia="方正仿宋_GBK" w:cs="仿宋_GB2312"/>
          <w:sz w:val="32"/>
        </w:rPr>
        <w:t>周立才，</w:t>
      </w:r>
      <w:r>
        <w:rPr>
          <w:rFonts w:ascii="方正仿宋_GBK" w:hAnsi="Times New Roman" w:eastAsia="方正仿宋_GBK"/>
          <w:sz w:val="32"/>
          <w:szCs w:val="32"/>
        </w:rPr>
        <w:t>联系方式：</w:t>
      </w:r>
      <w:r>
        <w:rPr>
          <w:rFonts w:ascii="方正仿宋_GBK" w:hAnsi="仿宋_GB2312" w:eastAsia="方正仿宋_GBK" w:cs="仿宋_GB2312"/>
          <w:sz w:val="32"/>
        </w:rPr>
        <w:t>48882278</w:t>
      </w:r>
      <w:r>
        <w:rPr>
          <w:rFonts w:ascii="方正仿宋_GBK" w:hAnsi="Times New Roman" w:eastAsia="方正仿宋_GBK"/>
          <w:sz w:val="32"/>
          <w:szCs w:val="32"/>
        </w:rPr>
        <w:t>）</w:t>
      </w: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jhlYmI1MzgyYWY1MDg5NWFkZDRiMGJlYTIyMjAifQ=="/>
  </w:docVars>
  <w:rsids>
    <w:rsidRoot w:val="00B201F0"/>
    <w:rsid w:val="00054D2B"/>
    <w:rsid w:val="000D471D"/>
    <w:rsid w:val="00116AD8"/>
    <w:rsid w:val="00156FE4"/>
    <w:rsid w:val="001837F6"/>
    <w:rsid w:val="0018543B"/>
    <w:rsid w:val="00192FCC"/>
    <w:rsid w:val="001A289B"/>
    <w:rsid w:val="001C4EB7"/>
    <w:rsid w:val="001D2CAF"/>
    <w:rsid w:val="001D3606"/>
    <w:rsid w:val="00233063"/>
    <w:rsid w:val="002931DF"/>
    <w:rsid w:val="002A2324"/>
    <w:rsid w:val="0030133A"/>
    <w:rsid w:val="003223A5"/>
    <w:rsid w:val="00364B5C"/>
    <w:rsid w:val="0036540A"/>
    <w:rsid w:val="003A2193"/>
    <w:rsid w:val="003A334D"/>
    <w:rsid w:val="003B22C7"/>
    <w:rsid w:val="003C65B2"/>
    <w:rsid w:val="00464EAE"/>
    <w:rsid w:val="00493E7F"/>
    <w:rsid w:val="004A0A91"/>
    <w:rsid w:val="004B58F9"/>
    <w:rsid w:val="004D46FF"/>
    <w:rsid w:val="005468DA"/>
    <w:rsid w:val="00573657"/>
    <w:rsid w:val="005804ED"/>
    <w:rsid w:val="0058335F"/>
    <w:rsid w:val="00584492"/>
    <w:rsid w:val="00587434"/>
    <w:rsid w:val="00594CA3"/>
    <w:rsid w:val="005A2F78"/>
    <w:rsid w:val="005C3393"/>
    <w:rsid w:val="005E6454"/>
    <w:rsid w:val="005F5BAE"/>
    <w:rsid w:val="0062683D"/>
    <w:rsid w:val="00643B82"/>
    <w:rsid w:val="00650E0B"/>
    <w:rsid w:val="00697294"/>
    <w:rsid w:val="00741515"/>
    <w:rsid w:val="00743D88"/>
    <w:rsid w:val="007924E4"/>
    <w:rsid w:val="00793B8D"/>
    <w:rsid w:val="007958C9"/>
    <w:rsid w:val="007B4904"/>
    <w:rsid w:val="007E4A19"/>
    <w:rsid w:val="0084377D"/>
    <w:rsid w:val="0088050C"/>
    <w:rsid w:val="00883B91"/>
    <w:rsid w:val="008876DB"/>
    <w:rsid w:val="00892F77"/>
    <w:rsid w:val="00902FAE"/>
    <w:rsid w:val="00916DED"/>
    <w:rsid w:val="00930D8E"/>
    <w:rsid w:val="009310A3"/>
    <w:rsid w:val="009A75BC"/>
    <w:rsid w:val="009C5703"/>
    <w:rsid w:val="009C6C3C"/>
    <w:rsid w:val="00A00A10"/>
    <w:rsid w:val="00A313B7"/>
    <w:rsid w:val="00AD0B2C"/>
    <w:rsid w:val="00B001B7"/>
    <w:rsid w:val="00B07DC7"/>
    <w:rsid w:val="00B201F0"/>
    <w:rsid w:val="00B25D75"/>
    <w:rsid w:val="00B3296C"/>
    <w:rsid w:val="00B679A4"/>
    <w:rsid w:val="00B83FDD"/>
    <w:rsid w:val="00BA15A4"/>
    <w:rsid w:val="00BB6253"/>
    <w:rsid w:val="00C1539E"/>
    <w:rsid w:val="00C93F9E"/>
    <w:rsid w:val="00CC14EB"/>
    <w:rsid w:val="00D018E6"/>
    <w:rsid w:val="00D3011C"/>
    <w:rsid w:val="00D44188"/>
    <w:rsid w:val="00D50586"/>
    <w:rsid w:val="00D67814"/>
    <w:rsid w:val="00D737A2"/>
    <w:rsid w:val="00D871AF"/>
    <w:rsid w:val="00DA7F0C"/>
    <w:rsid w:val="00DB0985"/>
    <w:rsid w:val="00DC12EF"/>
    <w:rsid w:val="00E04962"/>
    <w:rsid w:val="00E124C0"/>
    <w:rsid w:val="00E138DF"/>
    <w:rsid w:val="00E13EBC"/>
    <w:rsid w:val="00E43F70"/>
    <w:rsid w:val="00E5598C"/>
    <w:rsid w:val="00E807AC"/>
    <w:rsid w:val="00E82552"/>
    <w:rsid w:val="00ED348C"/>
    <w:rsid w:val="00FC2BEE"/>
    <w:rsid w:val="00FD0C7A"/>
    <w:rsid w:val="00FD1B2D"/>
    <w:rsid w:val="00FF5CA2"/>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046798"/>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13345"/>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CD71D06"/>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Calibri" w:hAnsi="Calibri" w:eastAsia="宋体" w:cs="Times New Roman"/>
      <w:kern w:val="2"/>
      <w:sz w:val="21"/>
      <w:lang w:val="en-US" w:eastAsia="zh-CN" w:bidi="ar-SA"/>
    </w:rPr>
  </w:style>
  <w:style w:type="paragraph" w:styleId="2">
    <w:name w:val="heading 4"/>
    <w:basedOn w:val="1"/>
    <w:next w:val="1"/>
    <w:unhideWhenUsed/>
    <w:qFormat/>
    <w:uiPriority w:val="0"/>
    <w:pPr>
      <w:outlineLvl w:val="3"/>
    </w:p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hint="default"/>
      <w:szCs w:val="22"/>
    </w:rPr>
  </w:style>
  <w:style w:type="character" w:customStyle="1" w:styleId="8">
    <w:name w:val="页眉 字符"/>
    <w:basedOn w:val="6"/>
    <w:link w:val="4"/>
    <w:uiPriority w:val="0"/>
    <w:rPr>
      <w:kern w:val="2"/>
      <w:sz w:val="18"/>
      <w:szCs w:val="18"/>
    </w:rPr>
  </w:style>
  <w:style w:type="character" w:customStyle="1" w:styleId="9">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1645</Words>
  <Characters>1894</Characters>
  <Lines>13</Lines>
  <Paragraphs>3</Paragraphs>
  <TotalTime>114</TotalTime>
  <ScaleCrop>false</ScaleCrop>
  <LinksUpToDate>false</LinksUpToDate>
  <CharactersWithSpaces>1899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2019-10-16T03:20:00Z</dcterms:created>
  <dc:creator>Administrator</dc:creator>
  <cp:lastModifiedBy>WPS_1539678527</cp:lastModifiedBy>
  <dcterms:modified xsi:type="dcterms:W3CDTF">2023-05-08T07:36:17Z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4B9C4E61C2D44433B02FE169A76541C5_13</vt:lpwstr>
  </property>
</Properties>
</file>