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Pr>
        <w:ind w:firstLine="723"/>
        <w:jc w:val="center"/>
        <w:rPr>
          <w:rFonts w:ascii="仿宋_GB2312" w:hAnsi="黑体"/>
          <w:b/>
          <w:sz w:val="36"/>
          <w:szCs w:val="36"/>
        </w:rPr>
      </w:pPr>
      <w:bookmarkStart w:id="0" w:name="_Toc8646"/>
      <w:r>
        <w:rPr>
          <w:rFonts w:hint="eastAsia" w:ascii="仿宋_GB2312" w:hAnsi="黑体"/>
          <w:b/>
          <w:sz w:val="36"/>
          <w:szCs w:val="36"/>
        </w:rPr>
        <w:t>万盛经济开发区国土空间生态保护修复规划</w:t>
      </w:r>
      <w:bookmarkEnd w:id="0"/>
    </w:p>
    <w:p>
      <w:pPr>
        <w:ind w:firstLine="723"/>
        <w:jc w:val="center"/>
        <w:rPr>
          <w:rFonts w:ascii="仿宋_GB2312" w:hAnsi="黑体"/>
          <w:b/>
          <w:sz w:val="36"/>
          <w:szCs w:val="36"/>
        </w:rPr>
      </w:pPr>
      <w:bookmarkStart w:id="1" w:name="_Toc1245"/>
      <w:r>
        <w:rPr>
          <w:rFonts w:hint="eastAsia" w:ascii="仿宋_GB2312" w:hAnsi="黑体"/>
          <w:b/>
          <w:sz w:val="36"/>
          <w:szCs w:val="36"/>
        </w:rPr>
        <w:t>（2021-2035年）</w:t>
      </w:r>
      <w:bookmarkEnd w:id="1"/>
    </w:p>
    <w:p/>
    <w:p/>
    <w:p>
      <w:pPr>
        <w:jc w:val="center"/>
      </w:pPr>
      <w:r>
        <w:rPr>
          <w:rFonts w:hint="eastAsia"/>
        </w:rPr>
        <w:t>文本</w:t>
      </w:r>
    </w:p>
    <w:p/>
    <w:p/>
    <w:p/>
    <w:p/>
    <w:p/>
    <w:p/>
    <w:p/>
    <w:p/>
    <w:p/>
    <w:p/>
    <w:p>
      <w:pPr>
        <w:jc w:val="center"/>
      </w:pPr>
      <w:r>
        <w:rPr>
          <w:rFonts w:hint="eastAsia"/>
        </w:rPr>
        <w:t>重庆市万盛经济开发区规划和自然资源局</w:t>
      </w:r>
    </w:p>
    <w:p>
      <w:pPr>
        <w:jc w:val="center"/>
      </w:pPr>
      <w:bookmarkStart w:id="2" w:name="_Toc28604"/>
      <w:r>
        <w:rPr>
          <w:rFonts w:hint="eastAsia"/>
        </w:rPr>
        <w:t>重庆华地资环科技有限公司</w:t>
      </w:r>
    </w:p>
    <w:p>
      <w:pPr>
        <w:jc w:val="center"/>
        <w:sectPr>
          <w:headerReference r:id="rId7" w:type="first"/>
          <w:footerReference r:id="rId10" w:type="first"/>
          <w:headerReference r:id="rId5" w:type="default"/>
          <w:footerReference r:id="rId8" w:type="default"/>
          <w:headerReference r:id="rId6" w:type="even"/>
          <w:footerReference r:id="rId9" w:type="even"/>
          <w:pgSz w:w="11906" w:h="16838"/>
          <w:pgMar w:top="1701" w:right="1474" w:bottom="1440" w:left="1587" w:header="851" w:footer="992" w:gutter="0"/>
          <w:pgNumType w:fmt="upperRoman"/>
          <w:cols w:space="0" w:num="1"/>
          <w:docGrid w:type="lines" w:linePitch="312" w:charSpace="0"/>
        </w:sectPr>
      </w:pPr>
      <w:r>
        <w:rPr>
          <w:rFonts w:hint="eastAsia"/>
        </w:rPr>
        <w:t>202</w:t>
      </w:r>
      <w:r>
        <w:t>3</w:t>
      </w:r>
      <w:r>
        <w:rPr>
          <w:rFonts w:hint="eastAsia"/>
        </w:rPr>
        <w:t>年</w:t>
      </w:r>
      <w:bookmarkEnd w:id="2"/>
      <w:r>
        <w:t>06</w:t>
      </w:r>
    </w:p>
    <w:p>
      <w:pPr>
        <w:pStyle w:val="17"/>
        <w:tabs>
          <w:tab w:val="right" w:leader="dot" w:pos="8835"/>
        </w:tabs>
        <w:rPr>
          <w:rFonts w:eastAsiaTheme="minorEastAsia"/>
          <w:b w:val="0"/>
          <w:bCs w:val="0"/>
          <w:iCs w:val="0"/>
          <w:sz w:val="21"/>
          <w:szCs w:val="22"/>
        </w:rPr>
      </w:pPr>
      <w:r>
        <w:rPr>
          <w:rFonts w:eastAsia="仿宋"/>
          <w:b w:val="0"/>
          <w:i/>
          <w:iCs w:val="0"/>
          <w:sz w:val="24"/>
        </w:rPr>
        <w:fldChar w:fldCharType="begin"/>
      </w:r>
      <w:r>
        <w:rPr>
          <w:rFonts w:eastAsia="仿宋"/>
          <w:b w:val="0"/>
          <w:i/>
          <w:iCs w:val="0"/>
          <w:sz w:val="24"/>
        </w:rPr>
        <w:instrText xml:space="preserve"> TOC \o "1-2" \h \z \u </w:instrText>
      </w:r>
      <w:r>
        <w:rPr>
          <w:rFonts w:eastAsia="仿宋"/>
          <w:b w:val="0"/>
          <w:i/>
          <w:iCs w:val="0"/>
          <w:sz w:val="24"/>
        </w:rPr>
        <w:fldChar w:fldCharType="separate"/>
      </w:r>
      <w:r>
        <w:fldChar w:fldCharType="begin"/>
      </w:r>
      <w:r>
        <w:instrText xml:space="preserve"> HYPERLINK \l "_Toc139015071" </w:instrText>
      </w:r>
      <w:r>
        <w:fldChar w:fldCharType="separate"/>
      </w:r>
      <w:r>
        <w:rPr>
          <w:rStyle w:val="27"/>
        </w:rPr>
        <w:t>前  言</w:t>
      </w:r>
      <w:r>
        <w:tab/>
      </w:r>
      <w:r>
        <w:fldChar w:fldCharType="begin"/>
      </w:r>
      <w:r>
        <w:instrText xml:space="preserve"> PAGEREF _Toc139015071 \h </w:instrText>
      </w:r>
      <w:r>
        <w:fldChar w:fldCharType="separate"/>
      </w:r>
      <w:r>
        <w:t>1</w:t>
      </w:r>
      <w:r>
        <w:fldChar w:fldCharType="end"/>
      </w:r>
      <w:r>
        <w:fldChar w:fldCharType="end"/>
      </w:r>
    </w:p>
    <w:p>
      <w:pPr>
        <w:pStyle w:val="17"/>
        <w:tabs>
          <w:tab w:val="right" w:leader="dot" w:pos="8835"/>
        </w:tabs>
        <w:rPr>
          <w:rFonts w:eastAsiaTheme="minorEastAsia"/>
          <w:b w:val="0"/>
          <w:bCs w:val="0"/>
          <w:iCs w:val="0"/>
          <w:sz w:val="21"/>
          <w:szCs w:val="22"/>
        </w:rPr>
      </w:pPr>
      <w:r>
        <w:fldChar w:fldCharType="begin"/>
      </w:r>
      <w:r>
        <w:instrText xml:space="preserve"> HYPERLINK \l "_Toc139015072" </w:instrText>
      </w:r>
      <w:r>
        <w:fldChar w:fldCharType="separate"/>
      </w:r>
      <w:r>
        <w:rPr>
          <w:rStyle w:val="27"/>
        </w:rPr>
        <w:t>第一章 基础分析与形势研判</w:t>
      </w:r>
      <w:r>
        <w:tab/>
      </w:r>
      <w:r>
        <w:fldChar w:fldCharType="begin"/>
      </w:r>
      <w:r>
        <w:instrText xml:space="preserve"> PAGEREF _Toc139015072 \h </w:instrText>
      </w:r>
      <w:r>
        <w:fldChar w:fldCharType="separate"/>
      </w:r>
      <w:r>
        <w:t>10</w:t>
      </w:r>
      <w:r>
        <w:fldChar w:fldCharType="end"/>
      </w:r>
      <w:r>
        <w:fldChar w:fldCharType="end"/>
      </w:r>
    </w:p>
    <w:p>
      <w:pPr>
        <w:pStyle w:val="20"/>
        <w:ind w:firstLine="600"/>
        <w:rPr>
          <w:rFonts w:eastAsiaTheme="minorEastAsia"/>
          <w:bCs w:val="0"/>
          <w:sz w:val="21"/>
        </w:rPr>
      </w:pPr>
      <w:r>
        <w:fldChar w:fldCharType="begin"/>
      </w:r>
      <w:r>
        <w:instrText xml:space="preserve"> HYPERLINK \l "_Toc139015073" </w:instrText>
      </w:r>
      <w:r>
        <w:fldChar w:fldCharType="separate"/>
      </w:r>
      <w:r>
        <w:rPr>
          <w:rStyle w:val="27"/>
          <w:shd w:val="clear" w:color="auto" w:fill="FFFFFF"/>
        </w:rPr>
        <w:t>第一节 规划范围与期限</w:t>
      </w:r>
      <w:r>
        <w:tab/>
      </w:r>
      <w:r>
        <w:fldChar w:fldCharType="begin"/>
      </w:r>
      <w:r>
        <w:instrText xml:space="preserve"> PAGEREF _Toc139015073 \h </w:instrText>
      </w:r>
      <w:r>
        <w:fldChar w:fldCharType="separate"/>
      </w:r>
      <w:r>
        <w:t>10</w:t>
      </w:r>
      <w:r>
        <w:fldChar w:fldCharType="end"/>
      </w:r>
      <w:r>
        <w:fldChar w:fldCharType="end"/>
      </w:r>
    </w:p>
    <w:p>
      <w:pPr>
        <w:pStyle w:val="20"/>
        <w:ind w:firstLine="600"/>
        <w:rPr>
          <w:rFonts w:eastAsiaTheme="minorEastAsia"/>
          <w:bCs w:val="0"/>
          <w:sz w:val="21"/>
        </w:rPr>
      </w:pPr>
      <w:r>
        <w:fldChar w:fldCharType="begin"/>
      </w:r>
      <w:r>
        <w:instrText xml:space="preserve"> HYPERLINK \l "_Toc139015074" </w:instrText>
      </w:r>
      <w:r>
        <w:fldChar w:fldCharType="separate"/>
      </w:r>
      <w:r>
        <w:rPr>
          <w:rStyle w:val="27"/>
          <w:shd w:val="clear" w:color="auto" w:fill="FFFFFF"/>
        </w:rPr>
        <w:t>第二节 自然资源状况</w:t>
      </w:r>
      <w:r>
        <w:tab/>
      </w:r>
      <w:r>
        <w:fldChar w:fldCharType="begin"/>
      </w:r>
      <w:r>
        <w:instrText xml:space="preserve"> PAGEREF _Toc139015074 \h </w:instrText>
      </w:r>
      <w:r>
        <w:fldChar w:fldCharType="separate"/>
      </w:r>
      <w:r>
        <w:t>10</w:t>
      </w:r>
      <w:r>
        <w:fldChar w:fldCharType="end"/>
      </w:r>
      <w:r>
        <w:fldChar w:fldCharType="end"/>
      </w:r>
    </w:p>
    <w:p>
      <w:pPr>
        <w:pStyle w:val="20"/>
        <w:ind w:firstLine="600"/>
        <w:rPr>
          <w:rFonts w:eastAsiaTheme="minorEastAsia"/>
          <w:bCs w:val="0"/>
          <w:sz w:val="21"/>
        </w:rPr>
      </w:pPr>
      <w:r>
        <w:fldChar w:fldCharType="begin"/>
      </w:r>
      <w:r>
        <w:instrText xml:space="preserve"> HYPERLINK \l "_Toc139015075" </w:instrText>
      </w:r>
      <w:r>
        <w:fldChar w:fldCharType="separate"/>
      </w:r>
      <w:r>
        <w:rPr>
          <w:rStyle w:val="27"/>
          <w:shd w:val="clear" w:color="auto" w:fill="FFFFFF"/>
        </w:rPr>
        <w:t>第二节 综合评价</w:t>
      </w:r>
      <w:r>
        <w:tab/>
      </w:r>
      <w:r>
        <w:fldChar w:fldCharType="begin"/>
      </w:r>
      <w:r>
        <w:instrText xml:space="preserve"> PAGEREF _Toc139015075 \h </w:instrText>
      </w:r>
      <w:r>
        <w:fldChar w:fldCharType="separate"/>
      </w:r>
      <w:r>
        <w:t>16</w:t>
      </w:r>
      <w:r>
        <w:fldChar w:fldCharType="end"/>
      </w:r>
      <w:r>
        <w:fldChar w:fldCharType="end"/>
      </w:r>
    </w:p>
    <w:p>
      <w:pPr>
        <w:pStyle w:val="20"/>
        <w:ind w:firstLine="600"/>
        <w:rPr>
          <w:rFonts w:eastAsiaTheme="minorEastAsia"/>
          <w:bCs w:val="0"/>
          <w:sz w:val="21"/>
        </w:rPr>
      </w:pPr>
      <w:r>
        <w:fldChar w:fldCharType="begin"/>
      </w:r>
      <w:r>
        <w:instrText xml:space="preserve"> HYPERLINK \l "_Toc139015076" </w:instrText>
      </w:r>
      <w:r>
        <w:fldChar w:fldCharType="separate"/>
      </w:r>
      <w:r>
        <w:rPr>
          <w:rStyle w:val="27"/>
          <w:shd w:val="clear" w:color="auto" w:fill="FFFFFF"/>
        </w:rPr>
        <w:t>第三节 问题识别</w:t>
      </w:r>
      <w:r>
        <w:tab/>
      </w:r>
      <w:r>
        <w:fldChar w:fldCharType="begin"/>
      </w:r>
      <w:r>
        <w:instrText xml:space="preserve"> PAGEREF _Toc139015076 \h </w:instrText>
      </w:r>
      <w:r>
        <w:fldChar w:fldCharType="separate"/>
      </w:r>
      <w:r>
        <w:t>19</w:t>
      </w:r>
      <w:r>
        <w:fldChar w:fldCharType="end"/>
      </w:r>
      <w:r>
        <w:fldChar w:fldCharType="end"/>
      </w:r>
    </w:p>
    <w:p>
      <w:pPr>
        <w:pStyle w:val="20"/>
        <w:ind w:firstLine="600"/>
        <w:rPr>
          <w:rFonts w:eastAsiaTheme="minorEastAsia"/>
          <w:bCs w:val="0"/>
          <w:sz w:val="21"/>
        </w:rPr>
      </w:pPr>
      <w:r>
        <w:fldChar w:fldCharType="begin"/>
      </w:r>
      <w:r>
        <w:instrText xml:space="preserve"> HYPERLINK \l "_Toc139015077" </w:instrText>
      </w:r>
      <w:r>
        <w:fldChar w:fldCharType="separate"/>
      </w:r>
      <w:r>
        <w:rPr>
          <w:rStyle w:val="27"/>
          <w:shd w:val="clear" w:color="auto" w:fill="FFFFFF"/>
        </w:rPr>
        <w:t>第四节 生态保护修复工作成效</w:t>
      </w:r>
      <w:r>
        <w:tab/>
      </w:r>
      <w:r>
        <w:fldChar w:fldCharType="begin"/>
      </w:r>
      <w:r>
        <w:instrText xml:space="preserve"> PAGEREF _Toc139015077 \h </w:instrText>
      </w:r>
      <w:r>
        <w:fldChar w:fldCharType="separate"/>
      </w:r>
      <w:r>
        <w:t>23</w:t>
      </w:r>
      <w:r>
        <w:fldChar w:fldCharType="end"/>
      </w:r>
      <w:r>
        <w:fldChar w:fldCharType="end"/>
      </w:r>
    </w:p>
    <w:p>
      <w:pPr>
        <w:pStyle w:val="20"/>
        <w:ind w:firstLine="600"/>
        <w:rPr>
          <w:rFonts w:eastAsiaTheme="minorEastAsia"/>
          <w:bCs w:val="0"/>
          <w:sz w:val="21"/>
        </w:rPr>
      </w:pPr>
      <w:r>
        <w:fldChar w:fldCharType="begin"/>
      </w:r>
      <w:r>
        <w:instrText xml:space="preserve"> HYPERLINK \l "_Toc139015078" </w:instrText>
      </w:r>
      <w:r>
        <w:fldChar w:fldCharType="separate"/>
      </w:r>
      <w:r>
        <w:rPr>
          <w:rStyle w:val="27"/>
          <w:shd w:val="clear" w:color="auto" w:fill="FFFFFF"/>
        </w:rPr>
        <w:t>第五节 机遇与挑战</w:t>
      </w:r>
      <w:r>
        <w:tab/>
      </w:r>
      <w:r>
        <w:fldChar w:fldCharType="begin"/>
      </w:r>
      <w:r>
        <w:instrText xml:space="preserve"> PAGEREF _Toc139015078 \h </w:instrText>
      </w:r>
      <w:r>
        <w:fldChar w:fldCharType="separate"/>
      </w:r>
      <w:r>
        <w:t>25</w:t>
      </w:r>
      <w:r>
        <w:fldChar w:fldCharType="end"/>
      </w:r>
      <w:r>
        <w:fldChar w:fldCharType="end"/>
      </w:r>
    </w:p>
    <w:p>
      <w:pPr>
        <w:pStyle w:val="17"/>
        <w:tabs>
          <w:tab w:val="right" w:leader="dot" w:pos="8835"/>
        </w:tabs>
        <w:rPr>
          <w:rFonts w:eastAsiaTheme="minorEastAsia"/>
          <w:b w:val="0"/>
          <w:bCs w:val="0"/>
          <w:iCs w:val="0"/>
          <w:sz w:val="21"/>
          <w:szCs w:val="22"/>
        </w:rPr>
      </w:pPr>
      <w:r>
        <w:fldChar w:fldCharType="begin"/>
      </w:r>
      <w:r>
        <w:instrText xml:space="preserve"> HYPERLINK \l "_Toc139015079" </w:instrText>
      </w:r>
      <w:r>
        <w:fldChar w:fldCharType="separate"/>
      </w:r>
      <w:r>
        <w:rPr>
          <w:rStyle w:val="27"/>
        </w:rPr>
        <w:t>第二章 总体要求</w:t>
      </w:r>
      <w:r>
        <w:tab/>
      </w:r>
      <w:r>
        <w:fldChar w:fldCharType="begin"/>
      </w:r>
      <w:r>
        <w:instrText xml:space="preserve"> PAGEREF _Toc139015079 \h </w:instrText>
      </w:r>
      <w:r>
        <w:fldChar w:fldCharType="separate"/>
      </w:r>
      <w:r>
        <w:t>28</w:t>
      </w:r>
      <w:r>
        <w:fldChar w:fldCharType="end"/>
      </w:r>
      <w:r>
        <w:fldChar w:fldCharType="end"/>
      </w:r>
    </w:p>
    <w:p>
      <w:pPr>
        <w:pStyle w:val="20"/>
        <w:ind w:firstLine="600"/>
        <w:rPr>
          <w:rFonts w:eastAsiaTheme="minorEastAsia"/>
          <w:bCs w:val="0"/>
          <w:sz w:val="21"/>
        </w:rPr>
      </w:pPr>
      <w:r>
        <w:fldChar w:fldCharType="begin"/>
      </w:r>
      <w:r>
        <w:instrText xml:space="preserve"> HYPERLINK \l "_Toc139015080" </w:instrText>
      </w:r>
      <w:r>
        <w:fldChar w:fldCharType="separate"/>
      </w:r>
      <w:r>
        <w:rPr>
          <w:rStyle w:val="27"/>
          <w:shd w:val="clear" w:color="auto" w:fill="FFFFFF"/>
        </w:rPr>
        <w:t>第一节</w:t>
      </w:r>
      <w:r>
        <w:rPr>
          <w:rStyle w:val="27"/>
        </w:rPr>
        <w:t xml:space="preserve"> 规划定位</w:t>
      </w:r>
      <w:r>
        <w:tab/>
      </w:r>
      <w:r>
        <w:fldChar w:fldCharType="begin"/>
      </w:r>
      <w:r>
        <w:instrText xml:space="preserve"> PAGEREF _Toc139015080 \h </w:instrText>
      </w:r>
      <w:r>
        <w:fldChar w:fldCharType="separate"/>
      </w:r>
      <w:r>
        <w:t>28</w:t>
      </w:r>
      <w:r>
        <w:fldChar w:fldCharType="end"/>
      </w:r>
      <w:r>
        <w:fldChar w:fldCharType="end"/>
      </w:r>
    </w:p>
    <w:p>
      <w:pPr>
        <w:pStyle w:val="20"/>
        <w:ind w:firstLine="600"/>
        <w:rPr>
          <w:rFonts w:eastAsiaTheme="minorEastAsia"/>
          <w:bCs w:val="0"/>
          <w:sz w:val="21"/>
        </w:rPr>
      </w:pPr>
      <w:r>
        <w:fldChar w:fldCharType="begin"/>
      </w:r>
      <w:r>
        <w:instrText xml:space="preserve"> HYPERLINK \l "_Toc139015081" </w:instrText>
      </w:r>
      <w:r>
        <w:fldChar w:fldCharType="separate"/>
      </w:r>
      <w:r>
        <w:rPr>
          <w:rStyle w:val="27"/>
          <w:shd w:val="clear" w:color="auto" w:fill="FFFFFF"/>
        </w:rPr>
        <w:t>第二节</w:t>
      </w:r>
      <w:r>
        <w:rPr>
          <w:rStyle w:val="27"/>
        </w:rPr>
        <w:t xml:space="preserve"> 指导思想</w:t>
      </w:r>
      <w:r>
        <w:tab/>
      </w:r>
      <w:r>
        <w:fldChar w:fldCharType="begin"/>
      </w:r>
      <w:r>
        <w:instrText xml:space="preserve"> PAGEREF _Toc139015081 \h </w:instrText>
      </w:r>
      <w:r>
        <w:fldChar w:fldCharType="separate"/>
      </w:r>
      <w:r>
        <w:t>28</w:t>
      </w:r>
      <w:r>
        <w:fldChar w:fldCharType="end"/>
      </w:r>
      <w:r>
        <w:fldChar w:fldCharType="end"/>
      </w:r>
    </w:p>
    <w:p>
      <w:pPr>
        <w:pStyle w:val="20"/>
        <w:ind w:firstLine="600"/>
        <w:rPr>
          <w:rFonts w:eastAsiaTheme="minorEastAsia"/>
          <w:bCs w:val="0"/>
          <w:sz w:val="21"/>
        </w:rPr>
      </w:pPr>
      <w:r>
        <w:fldChar w:fldCharType="begin"/>
      </w:r>
      <w:r>
        <w:instrText xml:space="preserve"> HYPERLINK \l "_Toc139015082" </w:instrText>
      </w:r>
      <w:r>
        <w:fldChar w:fldCharType="separate"/>
      </w:r>
      <w:r>
        <w:rPr>
          <w:rStyle w:val="27"/>
          <w:shd w:val="clear" w:color="auto" w:fill="FFFFFF"/>
        </w:rPr>
        <w:t>第三节 基本原则</w:t>
      </w:r>
      <w:r>
        <w:tab/>
      </w:r>
      <w:r>
        <w:fldChar w:fldCharType="begin"/>
      </w:r>
      <w:r>
        <w:instrText xml:space="preserve"> PAGEREF _Toc139015082 \h </w:instrText>
      </w:r>
      <w:r>
        <w:fldChar w:fldCharType="separate"/>
      </w:r>
      <w:r>
        <w:t>29</w:t>
      </w:r>
      <w:r>
        <w:fldChar w:fldCharType="end"/>
      </w:r>
      <w:r>
        <w:fldChar w:fldCharType="end"/>
      </w:r>
    </w:p>
    <w:p>
      <w:pPr>
        <w:pStyle w:val="20"/>
        <w:ind w:firstLine="600"/>
        <w:rPr>
          <w:rFonts w:eastAsiaTheme="minorEastAsia"/>
          <w:bCs w:val="0"/>
          <w:sz w:val="21"/>
        </w:rPr>
      </w:pPr>
      <w:r>
        <w:fldChar w:fldCharType="begin"/>
      </w:r>
      <w:r>
        <w:instrText xml:space="preserve"> HYPERLINK \l "_Toc139015083" </w:instrText>
      </w:r>
      <w:r>
        <w:fldChar w:fldCharType="separate"/>
      </w:r>
      <w:r>
        <w:rPr>
          <w:rStyle w:val="27"/>
          <w:shd w:val="clear" w:color="auto" w:fill="FFFFFF"/>
        </w:rPr>
        <w:t>第四节 规划目标</w:t>
      </w:r>
      <w:r>
        <w:tab/>
      </w:r>
      <w:r>
        <w:fldChar w:fldCharType="begin"/>
      </w:r>
      <w:r>
        <w:instrText xml:space="preserve"> PAGEREF _Toc139015083 \h </w:instrText>
      </w:r>
      <w:r>
        <w:fldChar w:fldCharType="separate"/>
      </w:r>
      <w:r>
        <w:t>30</w:t>
      </w:r>
      <w:r>
        <w:fldChar w:fldCharType="end"/>
      </w:r>
      <w:r>
        <w:fldChar w:fldCharType="end"/>
      </w:r>
    </w:p>
    <w:p>
      <w:pPr>
        <w:pStyle w:val="17"/>
        <w:tabs>
          <w:tab w:val="right" w:leader="dot" w:pos="8835"/>
        </w:tabs>
        <w:rPr>
          <w:rFonts w:eastAsiaTheme="minorEastAsia"/>
          <w:b w:val="0"/>
          <w:bCs w:val="0"/>
          <w:iCs w:val="0"/>
          <w:sz w:val="21"/>
          <w:szCs w:val="22"/>
        </w:rPr>
      </w:pPr>
      <w:r>
        <w:fldChar w:fldCharType="begin"/>
      </w:r>
      <w:r>
        <w:instrText xml:space="preserve"> HYPERLINK \l "_Toc139015084" </w:instrText>
      </w:r>
      <w:r>
        <w:fldChar w:fldCharType="separate"/>
      </w:r>
      <w:r>
        <w:rPr>
          <w:rStyle w:val="27"/>
        </w:rPr>
        <w:t>第三章 生态保护修复总体布局</w:t>
      </w:r>
      <w:r>
        <w:tab/>
      </w:r>
      <w:r>
        <w:fldChar w:fldCharType="begin"/>
      </w:r>
      <w:r>
        <w:instrText xml:space="preserve"> PAGEREF _Toc139015084 \h </w:instrText>
      </w:r>
      <w:r>
        <w:fldChar w:fldCharType="separate"/>
      </w:r>
      <w:r>
        <w:t>32</w:t>
      </w:r>
      <w:r>
        <w:fldChar w:fldCharType="end"/>
      </w:r>
      <w:r>
        <w:fldChar w:fldCharType="end"/>
      </w:r>
    </w:p>
    <w:p>
      <w:pPr>
        <w:pStyle w:val="20"/>
        <w:ind w:firstLine="600"/>
        <w:rPr>
          <w:rFonts w:eastAsiaTheme="minorEastAsia"/>
          <w:bCs w:val="0"/>
          <w:sz w:val="21"/>
        </w:rPr>
      </w:pPr>
      <w:r>
        <w:fldChar w:fldCharType="begin"/>
      </w:r>
      <w:r>
        <w:instrText xml:space="preserve"> HYPERLINK \l "_Toc139015085" </w:instrText>
      </w:r>
      <w:r>
        <w:fldChar w:fldCharType="separate"/>
      </w:r>
      <w:r>
        <w:rPr>
          <w:rStyle w:val="27"/>
        </w:rPr>
        <w:t>第一节 生态安全格局</w:t>
      </w:r>
      <w:r>
        <w:tab/>
      </w:r>
      <w:r>
        <w:fldChar w:fldCharType="begin"/>
      </w:r>
      <w:r>
        <w:instrText xml:space="preserve"> PAGEREF _Toc139015085 \h </w:instrText>
      </w:r>
      <w:r>
        <w:fldChar w:fldCharType="separate"/>
      </w:r>
      <w:r>
        <w:t>32</w:t>
      </w:r>
      <w:r>
        <w:fldChar w:fldCharType="end"/>
      </w:r>
      <w:r>
        <w:fldChar w:fldCharType="end"/>
      </w:r>
    </w:p>
    <w:p>
      <w:pPr>
        <w:pStyle w:val="20"/>
        <w:ind w:firstLine="600"/>
        <w:rPr>
          <w:rFonts w:eastAsiaTheme="minorEastAsia"/>
          <w:bCs w:val="0"/>
          <w:sz w:val="21"/>
        </w:rPr>
      </w:pPr>
      <w:r>
        <w:fldChar w:fldCharType="begin"/>
      </w:r>
      <w:r>
        <w:instrText xml:space="preserve"> HYPERLINK \l "_Toc139015086" </w:instrText>
      </w:r>
      <w:r>
        <w:fldChar w:fldCharType="separate"/>
      </w:r>
      <w:r>
        <w:rPr>
          <w:rStyle w:val="27"/>
        </w:rPr>
        <w:t>第二节 生态保护修复分区</w:t>
      </w:r>
      <w:r>
        <w:tab/>
      </w:r>
      <w:r>
        <w:fldChar w:fldCharType="begin"/>
      </w:r>
      <w:r>
        <w:instrText xml:space="preserve"> PAGEREF _Toc139015086 \h </w:instrText>
      </w:r>
      <w:r>
        <w:fldChar w:fldCharType="separate"/>
      </w:r>
      <w:r>
        <w:t>33</w:t>
      </w:r>
      <w:r>
        <w:fldChar w:fldCharType="end"/>
      </w:r>
      <w:r>
        <w:fldChar w:fldCharType="end"/>
      </w:r>
    </w:p>
    <w:p>
      <w:pPr>
        <w:pStyle w:val="17"/>
        <w:tabs>
          <w:tab w:val="right" w:leader="dot" w:pos="8835"/>
        </w:tabs>
        <w:rPr>
          <w:rFonts w:eastAsiaTheme="minorEastAsia"/>
          <w:b w:val="0"/>
          <w:bCs w:val="0"/>
          <w:iCs w:val="0"/>
          <w:sz w:val="21"/>
          <w:szCs w:val="22"/>
        </w:rPr>
      </w:pPr>
      <w:r>
        <w:fldChar w:fldCharType="begin"/>
      </w:r>
      <w:r>
        <w:instrText xml:space="preserve"> HYPERLINK \l "_Toc139015087" </w:instrText>
      </w:r>
      <w:r>
        <w:fldChar w:fldCharType="separate"/>
      </w:r>
      <w:r>
        <w:rPr>
          <w:rStyle w:val="27"/>
        </w:rPr>
        <w:t>第四章 规划任务及修复策略</w:t>
      </w:r>
      <w:r>
        <w:tab/>
      </w:r>
      <w:r>
        <w:fldChar w:fldCharType="begin"/>
      </w:r>
      <w:r>
        <w:instrText xml:space="preserve"> PAGEREF _Toc139015087 \h </w:instrText>
      </w:r>
      <w:r>
        <w:fldChar w:fldCharType="separate"/>
      </w:r>
      <w:r>
        <w:t>40</w:t>
      </w:r>
      <w:r>
        <w:fldChar w:fldCharType="end"/>
      </w:r>
      <w:r>
        <w:fldChar w:fldCharType="end"/>
      </w:r>
    </w:p>
    <w:p>
      <w:pPr>
        <w:pStyle w:val="17"/>
        <w:tabs>
          <w:tab w:val="left" w:pos="1200"/>
          <w:tab w:val="right" w:leader="dot" w:pos="8835"/>
        </w:tabs>
        <w:rPr>
          <w:rFonts w:eastAsiaTheme="minorEastAsia"/>
          <w:b w:val="0"/>
          <w:bCs w:val="0"/>
          <w:iCs w:val="0"/>
          <w:sz w:val="21"/>
          <w:szCs w:val="22"/>
        </w:rPr>
      </w:pPr>
      <w:r>
        <w:fldChar w:fldCharType="begin"/>
      </w:r>
      <w:r>
        <w:instrText xml:space="preserve"> HYPERLINK \l "_Toc139015088" </w:instrText>
      </w:r>
      <w:r>
        <w:fldChar w:fldCharType="separate"/>
      </w:r>
      <w:r>
        <w:rPr>
          <w:rStyle w:val="27"/>
          <w:rFonts w:ascii="黑体" w:hAnsi="黑体" w:eastAsia="黑体"/>
        </w:rPr>
        <w:t>第五章</w:t>
      </w:r>
      <w:r>
        <w:rPr>
          <w:rFonts w:eastAsiaTheme="minorEastAsia"/>
          <w:b w:val="0"/>
          <w:bCs w:val="0"/>
          <w:iCs w:val="0"/>
          <w:sz w:val="21"/>
          <w:szCs w:val="22"/>
        </w:rPr>
        <w:tab/>
      </w:r>
      <w:r>
        <w:rPr>
          <w:rStyle w:val="27"/>
          <w:rFonts w:eastAsia="黑体"/>
          <w:kern w:val="44"/>
        </w:rPr>
        <w:t>生态保护修复重点工程</w:t>
      </w:r>
      <w:r>
        <w:tab/>
      </w:r>
      <w:r>
        <w:fldChar w:fldCharType="begin"/>
      </w:r>
      <w:r>
        <w:instrText xml:space="preserve"> PAGEREF _Toc139015088 \h </w:instrText>
      </w:r>
      <w:r>
        <w:fldChar w:fldCharType="separate"/>
      </w:r>
      <w:r>
        <w:t>51</w:t>
      </w:r>
      <w:r>
        <w:fldChar w:fldCharType="end"/>
      </w:r>
      <w:r>
        <w:fldChar w:fldCharType="end"/>
      </w:r>
    </w:p>
    <w:p>
      <w:pPr>
        <w:pStyle w:val="20"/>
        <w:ind w:firstLine="600"/>
        <w:rPr>
          <w:rFonts w:eastAsiaTheme="minorEastAsia"/>
          <w:bCs w:val="0"/>
          <w:sz w:val="21"/>
        </w:rPr>
      </w:pPr>
      <w:r>
        <w:fldChar w:fldCharType="begin"/>
      </w:r>
      <w:r>
        <w:instrText xml:space="preserve"> HYPERLINK \l "_Toc139015089" </w:instrText>
      </w:r>
      <w:r>
        <w:fldChar w:fldCharType="separate"/>
      </w:r>
      <w:r>
        <w:rPr>
          <w:rStyle w:val="27"/>
        </w:rPr>
        <w:t>第一节 重点区域</w:t>
      </w:r>
      <w:r>
        <w:tab/>
      </w:r>
      <w:r>
        <w:fldChar w:fldCharType="begin"/>
      </w:r>
      <w:r>
        <w:instrText xml:space="preserve"> PAGEREF _Toc139015089 \h </w:instrText>
      </w:r>
      <w:r>
        <w:fldChar w:fldCharType="separate"/>
      </w:r>
      <w:r>
        <w:t>51</w:t>
      </w:r>
      <w:r>
        <w:fldChar w:fldCharType="end"/>
      </w:r>
      <w:r>
        <w:fldChar w:fldCharType="end"/>
      </w:r>
    </w:p>
    <w:p>
      <w:pPr>
        <w:pStyle w:val="20"/>
        <w:ind w:firstLine="600"/>
        <w:rPr>
          <w:rFonts w:eastAsiaTheme="minorEastAsia"/>
          <w:bCs w:val="0"/>
          <w:sz w:val="21"/>
        </w:rPr>
      </w:pPr>
      <w:r>
        <w:fldChar w:fldCharType="begin"/>
      </w:r>
      <w:r>
        <w:instrText xml:space="preserve"> HYPERLINK \l "_Toc139015090" </w:instrText>
      </w:r>
      <w:r>
        <w:fldChar w:fldCharType="separate"/>
      </w:r>
      <w:r>
        <w:rPr>
          <w:rStyle w:val="27"/>
        </w:rPr>
        <w:t>第二节 重点工程</w:t>
      </w:r>
      <w:r>
        <w:tab/>
      </w:r>
      <w:r>
        <w:fldChar w:fldCharType="begin"/>
      </w:r>
      <w:r>
        <w:instrText xml:space="preserve"> PAGEREF _Toc139015090 \h </w:instrText>
      </w:r>
      <w:r>
        <w:fldChar w:fldCharType="separate"/>
      </w:r>
      <w:r>
        <w:t>52</w:t>
      </w:r>
      <w:r>
        <w:fldChar w:fldCharType="end"/>
      </w:r>
      <w:r>
        <w:fldChar w:fldCharType="end"/>
      </w:r>
    </w:p>
    <w:p>
      <w:pPr>
        <w:pStyle w:val="17"/>
        <w:tabs>
          <w:tab w:val="left" w:pos="1200"/>
          <w:tab w:val="right" w:leader="dot" w:pos="8835"/>
        </w:tabs>
        <w:rPr>
          <w:rFonts w:eastAsiaTheme="minorEastAsia"/>
          <w:b w:val="0"/>
          <w:bCs w:val="0"/>
          <w:iCs w:val="0"/>
          <w:sz w:val="21"/>
          <w:szCs w:val="22"/>
        </w:rPr>
      </w:pPr>
      <w:r>
        <w:fldChar w:fldCharType="begin"/>
      </w:r>
      <w:r>
        <w:instrText xml:space="preserve"> HYPERLINK \l "_Toc139015091" </w:instrText>
      </w:r>
      <w:r>
        <w:fldChar w:fldCharType="separate"/>
      </w:r>
      <w:r>
        <w:rPr>
          <w:rStyle w:val="27"/>
        </w:rPr>
        <w:t>第六章</w:t>
      </w:r>
      <w:r>
        <w:rPr>
          <w:rFonts w:eastAsiaTheme="minorEastAsia"/>
          <w:b w:val="0"/>
          <w:bCs w:val="0"/>
          <w:iCs w:val="0"/>
          <w:sz w:val="21"/>
          <w:szCs w:val="22"/>
        </w:rPr>
        <w:tab/>
      </w:r>
      <w:r>
        <w:rPr>
          <w:rStyle w:val="27"/>
        </w:rPr>
        <w:t>近期行动计划</w:t>
      </w:r>
      <w:r>
        <w:tab/>
      </w:r>
      <w:r>
        <w:fldChar w:fldCharType="begin"/>
      </w:r>
      <w:r>
        <w:instrText xml:space="preserve"> PAGEREF _Toc139015091 \h </w:instrText>
      </w:r>
      <w:r>
        <w:fldChar w:fldCharType="separate"/>
      </w:r>
      <w:r>
        <w:t>66</w:t>
      </w:r>
      <w:r>
        <w:fldChar w:fldCharType="end"/>
      </w:r>
      <w:r>
        <w:fldChar w:fldCharType="end"/>
      </w:r>
    </w:p>
    <w:p>
      <w:pPr>
        <w:pStyle w:val="20"/>
        <w:ind w:firstLine="600"/>
        <w:rPr>
          <w:rFonts w:eastAsiaTheme="minorEastAsia"/>
          <w:bCs w:val="0"/>
          <w:sz w:val="21"/>
        </w:rPr>
      </w:pPr>
      <w:r>
        <w:fldChar w:fldCharType="begin"/>
      </w:r>
      <w:r>
        <w:instrText xml:space="preserve"> HYPERLINK \l "_Toc139015092" </w:instrText>
      </w:r>
      <w:r>
        <w:fldChar w:fldCharType="separate"/>
      </w:r>
      <w:r>
        <w:rPr>
          <w:rStyle w:val="27"/>
        </w:rPr>
        <w:t>第一节 行动目标</w:t>
      </w:r>
      <w:r>
        <w:tab/>
      </w:r>
      <w:r>
        <w:fldChar w:fldCharType="begin"/>
      </w:r>
      <w:r>
        <w:instrText xml:space="preserve"> PAGEREF _Toc139015092 \h </w:instrText>
      </w:r>
      <w:r>
        <w:fldChar w:fldCharType="separate"/>
      </w:r>
      <w:r>
        <w:t>66</w:t>
      </w:r>
      <w:r>
        <w:fldChar w:fldCharType="end"/>
      </w:r>
      <w:r>
        <w:fldChar w:fldCharType="end"/>
      </w:r>
    </w:p>
    <w:p>
      <w:pPr>
        <w:pStyle w:val="17"/>
        <w:tabs>
          <w:tab w:val="left" w:pos="1200"/>
          <w:tab w:val="right" w:leader="dot" w:pos="8835"/>
        </w:tabs>
        <w:rPr>
          <w:rFonts w:eastAsiaTheme="minorEastAsia"/>
          <w:b w:val="0"/>
          <w:bCs w:val="0"/>
          <w:iCs w:val="0"/>
          <w:sz w:val="21"/>
          <w:szCs w:val="22"/>
        </w:rPr>
      </w:pPr>
      <w:r>
        <w:fldChar w:fldCharType="begin"/>
      </w:r>
      <w:r>
        <w:instrText xml:space="preserve"> HYPERLINK \l "_Toc139015093" </w:instrText>
      </w:r>
      <w:r>
        <w:fldChar w:fldCharType="separate"/>
      </w:r>
      <w:r>
        <w:rPr>
          <w:rStyle w:val="27"/>
        </w:rPr>
        <w:t>第七章</w:t>
      </w:r>
      <w:r>
        <w:rPr>
          <w:rFonts w:eastAsiaTheme="minorEastAsia"/>
          <w:b w:val="0"/>
          <w:bCs w:val="0"/>
          <w:iCs w:val="0"/>
          <w:sz w:val="21"/>
          <w:szCs w:val="22"/>
        </w:rPr>
        <w:tab/>
      </w:r>
      <w:r>
        <w:rPr>
          <w:rStyle w:val="27"/>
        </w:rPr>
        <w:t>综合效益分析</w:t>
      </w:r>
      <w:r>
        <w:tab/>
      </w:r>
      <w:r>
        <w:fldChar w:fldCharType="begin"/>
      </w:r>
      <w:r>
        <w:instrText xml:space="preserve"> PAGEREF _Toc139015093 \h </w:instrText>
      </w:r>
      <w:r>
        <w:fldChar w:fldCharType="separate"/>
      </w:r>
      <w:r>
        <w:t>67</w:t>
      </w:r>
      <w:r>
        <w:fldChar w:fldCharType="end"/>
      </w:r>
      <w:r>
        <w:fldChar w:fldCharType="end"/>
      </w:r>
    </w:p>
    <w:p>
      <w:pPr>
        <w:pStyle w:val="20"/>
        <w:ind w:firstLine="600"/>
        <w:rPr>
          <w:rFonts w:eastAsiaTheme="minorEastAsia"/>
          <w:bCs w:val="0"/>
          <w:sz w:val="21"/>
        </w:rPr>
      </w:pPr>
      <w:r>
        <w:fldChar w:fldCharType="begin"/>
      </w:r>
      <w:r>
        <w:instrText xml:space="preserve"> HYPERLINK \l "_Toc139015094" </w:instrText>
      </w:r>
      <w:r>
        <w:fldChar w:fldCharType="separate"/>
      </w:r>
      <w:r>
        <w:rPr>
          <w:rStyle w:val="27"/>
        </w:rPr>
        <w:t>第一节 生态效益分析</w:t>
      </w:r>
      <w:r>
        <w:tab/>
      </w:r>
      <w:r>
        <w:fldChar w:fldCharType="begin"/>
      </w:r>
      <w:r>
        <w:instrText xml:space="preserve"> PAGEREF _Toc139015094 \h </w:instrText>
      </w:r>
      <w:r>
        <w:fldChar w:fldCharType="separate"/>
      </w:r>
      <w:r>
        <w:t>67</w:t>
      </w:r>
      <w:r>
        <w:fldChar w:fldCharType="end"/>
      </w:r>
      <w:r>
        <w:fldChar w:fldCharType="end"/>
      </w:r>
    </w:p>
    <w:p>
      <w:pPr>
        <w:pStyle w:val="20"/>
        <w:ind w:firstLine="600"/>
        <w:rPr>
          <w:rFonts w:eastAsiaTheme="minorEastAsia"/>
          <w:bCs w:val="0"/>
          <w:sz w:val="21"/>
        </w:rPr>
      </w:pPr>
      <w:r>
        <w:fldChar w:fldCharType="begin"/>
      </w:r>
      <w:r>
        <w:instrText xml:space="preserve"> HYPERLINK \l "_Toc139015095" </w:instrText>
      </w:r>
      <w:r>
        <w:fldChar w:fldCharType="separate"/>
      </w:r>
      <w:r>
        <w:rPr>
          <w:rStyle w:val="27"/>
        </w:rPr>
        <w:t>第二节 经济效益分析</w:t>
      </w:r>
      <w:r>
        <w:tab/>
      </w:r>
      <w:r>
        <w:fldChar w:fldCharType="begin"/>
      </w:r>
      <w:r>
        <w:instrText xml:space="preserve"> PAGEREF _Toc139015095 \h </w:instrText>
      </w:r>
      <w:r>
        <w:fldChar w:fldCharType="separate"/>
      </w:r>
      <w:r>
        <w:t>69</w:t>
      </w:r>
      <w:r>
        <w:fldChar w:fldCharType="end"/>
      </w:r>
      <w:r>
        <w:fldChar w:fldCharType="end"/>
      </w:r>
    </w:p>
    <w:p>
      <w:pPr>
        <w:pStyle w:val="20"/>
        <w:ind w:firstLine="600"/>
        <w:rPr>
          <w:rFonts w:eastAsiaTheme="minorEastAsia"/>
          <w:bCs w:val="0"/>
          <w:sz w:val="21"/>
        </w:rPr>
      </w:pPr>
      <w:r>
        <w:fldChar w:fldCharType="begin"/>
      </w:r>
      <w:r>
        <w:instrText xml:space="preserve"> HYPERLINK \l "_Toc139015096" </w:instrText>
      </w:r>
      <w:r>
        <w:fldChar w:fldCharType="separate"/>
      </w:r>
      <w:r>
        <w:rPr>
          <w:rStyle w:val="27"/>
        </w:rPr>
        <w:t>第三节 社会效益分析</w:t>
      </w:r>
      <w:r>
        <w:tab/>
      </w:r>
      <w:r>
        <w:fldChar w:fldCharType="begin"/>
      </w:r>
      <w:r>
        <w:instrText xml:space="preserve"> PAGEREF _Toc139015096 \h </w:instrText>
      </w:r>
      <w:r>
        <w:fldChar w:fldCharType="separate"/>
      </w:r>
      <w:r>
        <w:t>70</w:t>
      </w:r>
      <w:r>
        <w:fldChar w:fldCharType="end"/>
      </w:r>
      <w:r>
        <w:fldChar w:fldCharType="end"/>
      </w:r>
    </w:p>
    <w:p>
      <w:pPr>
        <w:pStyle w:val="17"/>
        <w:tabs>
          <w:tab w:val="left" w:pos="1200"/>
          <w:tab w:val="right" w:leader="dot" w:pos="8835"/>
        </w:tabs>
        <w:rPr>
          <w:rFonts w:eastAsiaTheme="minorEastAsia"/>
          <w:b w:val="0"/>
          <w:bCs w:val="0"/>
          <w:iCs w:val="0"/>
          <w:sz w:val="21"/>
          <w:szCs w:val="22"/>
        </w:rPr>
      </w:pPr>
      <w:r>
        <w:fldChar w:fldCharType="begin"/>
      </w:r>
      <w:r>
        <w:instrText xml:space="preserve"> HYPERLINK \l "_Toc139015097" </w:instrText>
      </w:r>
      <w:r>
        <w:fldChar w:fldCharType="separate"/>
      </w:r>
      <w:r>
        <w:rPr>
          <w:rStyle w:val="27"/>
        </w:rPr>
        <w:t>第八章</w:t>
      </w:r>
      <w:r>
        <w:rPr>
          <w:rFonts w:eastAsiaTheme="minorEastAsia"/>
          <w:b w:val="0"/>
          <w:bCs w:val="0"/>
          <w:iCs w:val="0"/>
          <w:sz w:val="21"/>
          <w:szCs w:val="22"/>
        </w:rPr>
        <w:tab/>
      </w:r>
      <w:r>
        <w:rPr>
          <w:rStyle w:val="27"/>
        </w:rPr>
        <w:t>保障措施</w:t>
      </w:r>
      <w:r>
        <w:tab/>
      </w:r>
      <w:r>
        <w:fldChar w:fldCharType="begin"/>
      </w:r>
      <w:r>
        <w:instrText xml:space="preserve"> PAGEREF _Toc139015097 \h </w:instrText>
      </w:r>
      <w:r>
        <w:fldChar w:fldCharType="separate"/>
      </w:r>
      <w:r>
        <w:t>72</w:t>
      </w:r>
      <w:r>
        <w:fldChar w:fldCharType="end"/>
      </w:r>
      <w:r>
        <w:fldChar w:fldCharType="end"/>
      </w:r>
    </w:p>
    <w:p>
      <w:pPr>
        <w:pStyle w:val="20"/>
        <w:ind w:firstLine="600"/>
        <w:rPr>
          <w:rFonts w:eastAsiaTheme="minorEastAsia"/>
          <w:bCs w:val="0"/>
          <w:sz w:val="21"/>
        </w:rPr>
      </w:pPr>
      <w:r>
        <w:fldChar w:fldCharType="begin"/>
      </w:r>
      <w:r>
        <w:instrText xml:space="preserve"> HYPERLINK \l "_Toc139015098" </w:instrText>
      </w:r>
      <w:r>
        <w:fldChar w:fldCharType="separate"/>
      </w:r>
      <w:r>
        <w:rPr>
          <w:rStyle w:val="27"/>
        </w:rPr>
        <w:t>第一节 落实组织体系</w:t>
      </w:r>
      <w:r>
        <w:tab/>
      </w:r>
      <w:r>
        <w:fldChar w:fldCharType="begin"/>
      </w:r>
      <w:r>
        <w:instrText xml:space="preserve"> PAGEREF _Toc139015098 \h </w:instrText>
      </w:r>
      <w:r>
        <w:fldChar w:fldCharType="separate"/>
      </w:r>
      <w:r>
        <w:t>72</w:t>
      </w:r>
      <w:r>
        <w:fldChar w:fldCharType="end"/>
      </w:r>
      <w:r>
        <w:fldChar w:fldCharType="end"/>
      </w:r>
    </w:p>
    <w:p>
      <w:pPr>
        <w:pStyle w:val="20"/>
        <w:ind w:firstLine="600"/>
        <w:rPr>
          <w:rFonts w:eastAsiaTheme="minorEastAsia"/>
          <w:bCs w:val="0"/>
          <w:sz w:val="21"/>
        </w:rPr>
      </w:pPr>
      <w:r>
        <w:fldChar w:fldCharType="begin"/>
      </w:r>
      <w:r>
        <w:instrText xml:space="preserve"> HYPERLINK \l "_Toc139015099" </w:instrText>
      </w:r>
      <w:r>
        <w:fldChar w:fldCharType="separate"/>
      </w:r>
      <w:r>
        <w:rPr>
          <w:rStyle w:val="27"/>
        </w:rPr>
        <w:t>第二节 建立政策保障</w:t>
      </w:r>
      <w:r>
        <w:tab/>
      </w:r>
      <w:r>
        <w:fldChar w:fldCharType="begin"/>
      </w:r>
      <w:r>
        <w:instrText xml:space="preserve"> PAGEREF _Toc139015099 \h </w:instrText>
      </w:r>
      <w:r>
        <w:fldChar w:fldCharType="separate"/>
      </w:r>
      <w:r>
        <w:t>72</w:t>
      </w:r>
      <w:r>
        <w:fldChar w:fldCharType="end"/>
      </w:r>
      <w:r>
        <w:fldChar w:fldCharType="end"/>
      </w:r>
    </w:p>
    <w:p>
      <w:pPr>
        <w:pStyle w:val="20"/>
        <w:ind w:firstLine="600"/>
        <w:rPr>
          <w:rFonts w:eastAsiaTheme="minorEastAsia"/>
          <w:bCs w:val="0"/>
          <w:sz w:val="21"/>
        </w:rPr>
      </w:pPr>
      <w:r>
        <w:fldChar w:fldCharType="begin"/>
      </w:r>
      <w:r>
        <w:instrText xml:space="preserve"> HYPERLINK \l "_Toc139015100" </w:instrText>
      </w:r>
      <w:r>
        <w:fldChar w:fldCharType="separate"/>
      </w:r>
      <w:r>
        <w:rPr>
          <w:rStyle w:val="27"/>
        </w:rPr>
        <w:t>第三节 加强技术支撑</w:t>
      </w:r>
      <w:r>
        <w:tab/>
      </w:r>
      <w:r>
        <w:fldChar w:fldCharType="begin"/>
      </w:r>
      <w:r>
        <w:instrText xml:space="preserve"> PAGEREF _Toc139015100 \h </w:instrText>
      </w:r>
      <w:r>
        <w:fldChar w:fldCharType="separate"/>
      </w:r>
      <w:r>
        <w:t>73</w:t>
      </w:r>
      <w:r>
        <w:fldChar w:fldCharType="end"/>
      </w:r>
      <w:r>
        <w:fldChar w:fldCharType="end"/>
      </w:r>
    </w:p>
    <w:p>
      <w:pPr>
        <w:pStyle w:val="20"/>
        <w:ind w:firstLine="600"/>
        <w:rPr>
          <w:rFonts w:eastAsiaTheme="minorEastAsia"/>
          <w:bCs w:val="0"/>
          <w:sz w:val="21"/>
        </w:rPr>
      </w:pPr>
      <w:r>
        <w:fldChar w:fldCharType="begin"/>
      </w:r>
      <w:r>
        <w:instrText xml:space="preserve"> HYPERLINK \l "_Toc139015101" </w:instrText>
      </w:r>
      <w:r>
        <w:fldChar w:fldCharType="separate"/>
      </w:r>
      <w:r>
        <w:rPr>
          <w:rStyle w:val="27"/>
        </w:rPr>
        <w:t>第四节 严格评估监管</w:t>
      </w:r>
      <w:r>
        <w:tab/>
      </w:r>
      <w:r>
        <w:fldChar w:fldCharType="begin"/>
      </w:r>
      <w:r>
        <w:instrText xml:space="preserve"> PAGEREF _Toc139015101 \h </w:instrText>
      </w:r>
      <w:r>
        <w:fldChar w:fldCharType="separate"/>
      </w:r>
      <w:r>
        <w:t>73</w:t>
      </w:r>
      <w:r>
        <w:fldChar w:fldCharType="end"/>
      </w:r>
      <w:r>
        <w:fldChar w:fldCharType="end"/>
      </w:r>
    </w:p>
    <w:p>
      <w:pPr>
        <w:pStyle w:val="20"/>
        <w:ind w:firstLine="600"/>
        <w:rPr>
          <w:rFonts w:eastAsiaTheme="minorEastAsia"/>
          <w:bCs w:val="0"/>
          <w:sz w:val="21"/>
        </w:rPr>
      </w:pPr>
      <w:r>
        <w:fldChar w:fldCharType="begin"/>
      </w:r>
      <w:r>
        <w:instrText xml:space="preserve"> HYPERLINK \l "_Toc139015102" </w:instrText>
      </w:r>
      <w:r>
        <w:fldChar w:fldCharType="separate"/>
      </w:r>
      <w:r>
        <w:rPr>
          <w:rStyle w:val="27"/>
        </w:rPr>
        <w:t>第五节 强化资金保障</w:t>
      </w:r>
      <w:r>
        <w:tab/>
      </w:r>
      <w:r>
        <w:fldChar w:fldCharType="begin"/>
      </w:r>
      <w:r>
        <w:instrText xml:space="preserve"> PAGEREF _Toc139015102 \h </w:instrText>
      </w:r>
      <w:r>
        <w:fldChar w:fldCharType="separate"/>
      </w:r>
      <w:r>
        <w:t>74</w:t>
      </w:r>
      <w:r>
        <w:fldChar w:fldCharType="end"/>
      </w:r>
      <w:r>
        <w:fldChar w:fldCharType="end"/>
      </w:r>
    </w:p>
    <w:p>
      <w:pPr>
        <w:pStyle w:val="20"/>
        <w:ind w:firstLine="600"/>
        <w:rPr>
          <w:rFonts w:eastAsiaTheme="minorEastAsia"/>
          <w:bCs w:val="0"/>
          <w:sz w:val="21"/>
        </w:rPr>
      </w:pPr>
      <w:r>
        <w:fldChar w:fldCharType="begin"/>
      </w:r>
      <w:r>
        <w:instrText xml:space="preserve"> HYPERLINK \l "_Toc139015103" </w:instrText>
      </w:r>
      <w:r>
        <w:fldChar w:fldCharType="separate"/>
      </w:r>
      <w:r>
        <w:rPr>
          <w:rStyle w:val="27"/>
        </w:rPr>
        <w:t>第六节 鼓励公众参与</w:t>
      </w:r>
      <w:r>
        <w:tab/>
      </w:r>
      <w:r>
        <w:fldChar w:fldCharType="begin"/>
      </w:r>
      <w:r>
        <w:instrText xml:space="preserve"> PAGEREF _Toc139015103 \h </w:instrText>
      </w:r>
      <w:r>
        <w:fldChar w:fldCharType="separate"/>
      </w:r>
      <w:r>
        <w:t>74</w:t>
      </w:r>
      <w:r>
        <w:fldChar w:fldCharType="end"/>
      </w:r>
      <w:r>
        <w:fldChar w:fldCharType="end"/>
      </w:r>
    </w:p>
    <w:p>
      <w:pPr>
        <w:pStyle w:val="17"/>
        <w:tabs>
          <w:tab w:val="right" w:leader="dot" w:pos="8835"/>
        </w:tabs>
        <w:rPr>
          <w:rFonts w:eastAsiaTheme="minorEastAsia"/>
          <w:b w:val="0"/>
          <w:bCs w:val="0"/>
          <w:iCs w:val="0"/>
          <w:sz w:val="21"/>
          <w:szCs w:val="22"/>
        </w:rPr>
      </w:pPr>
      <w:r>
        <w:fldChar w:fldCharType="begin"/>
      </w:r>
      <w:r>
        <w:instrText xml:space="preserve"> HYPERLINK \l "_Toc139015104" </w:instrText>
      </w:r>
      <w:r>
        <w:fldChar w:fldCharType="separate"/>
      </w:r>
      <w:r>
        <w:rPr>
          <w:rStyle w:val="27"/>
        </w:rPr>
        <w:t>附件：</w:t>
      </w:r>
      <w:r>
        <w:tab/>
      </w:r>
      <w:r>
        <w:fldChar w:fldCharType="begin"/>
      </w:r>
      <w:r>
        <w:instrText xml:space="preserve"> PAGEREF _Toc139015104 \h </w:instrText>
      </w:r>
      <w:r>
        <w:fldChar w:fldCharType="separate"/>
      </w:r>
      <w:r>
        <w:t>76</w:t>
      </w:r>
      <w:r>
        <w:fldChar w:fldCharType="end"/>
      </w:r>
      <w:r>
        <w:fldChar w:fldCharType="end"/>
      </w:r>
    </w:p>
    <w:p>
      <w:pPr>
        <w:pStyle w:val="17"/>
        <w:tabs>
          <w:tab w:val="right" w:leader="dot" w:pos="8835"/>
        </w:tabs>
        <w:rPr>
          <w:rFonts w:eastAsiaTheme="minorEastAsia"/>
          <w:b w:val="0"/>
          <w:bCs w:val="0"/>
          <w:iCs w:val="0"/>
          <w:sz w:val="21"/>
          <w:szCs w:val="22"/>
        </w:rPr>
      </w:pPr>
      <w:r>
        <w:fldChar w:fldCharType="begin"/>
      </w:r>
      <w:r>
        <w:instrText xml:space="preserve"> HYPERLINK \l "_Toc139015105" </w:instrText>
      </w:r>
      <w:r>
        <w:fldChar w:fldCharType="separate"/>
      </w:r>
      <w:r>
        <w:rPr>
          <w:rStyle w:val="27"/>
        </w:rPr>
        <w:t>附图</w:t>
      </w:r>
      <w:r>
        <w:tab/>
      </w:r>
      <w:r>
        <w:fldChar w:fldCharType="begin"/>
      </w:r>
      <w:r>
        <w:instrText xml:space="preserve"> PAGEREF _Toc139015105 \h </w:instrText>
      </w:r>
      <w:r>
        <w:fldChar w:fldCharType="separate"/>
      </w:r>
      <w:r>
        <w:t>77</w:t>
      </w:r>
      <w:r>
        <w:fldChar w:fldCharType="end"/>
      </w:r>
      <w:r>
        <w:fldChar w:fldCharType="end"/>
      </w:r>
    </w:p>
    <w:p>
      <w:pPr>
        <w:pStyle w:val="20"/>
        <w:ind w:firstLine="600"/>
        <w:rPr>
          <w:rFonts w:eastAsiaTheme="minorEastAsia"/>
          <w:bCs w:val="0"/>
          <w:sz w:val="21"/>
        </w:rPr>
      </w:pPr>
      <w:r>
        <w:fldChar w:fldCharType="begin"/>
      </w:r>
      <w:r>
        <w:instrText xml:space="preserve"> HYPERLINK \l "_Toc139015106" </w:instrText>
      </w:r>
      <w:r>
        <w:fldChar w:fldCharType="separate"/>
      </w:r>
      <w:r>
        <w:rPr>
          <w:rStyle w:val="27"/>
        </w:rPr>
        <w:t>生态安全格局图</w:t>
      </w:r>
      <w:r>
        <w:tab/>
      </w:r>
      <w:r>
        <w:fldChar w:fldCharType="begin"/>
      </w:r>
      <w:r>
        <w:instrText xml:space="preserve"> PAGEREF _Toc139015106 \h </w:instrText>
      </w:r>
      <w:r>
        <w:fldChar w:fldCharType="separate"/>
      </w:r>
      <w:r>
        <w:t>77</w:t>
      </w:r>
      <w:r>
        <w:fldChar w:fldCharType="end"/>
      </w:r>
      <w:r>
        <w:fldChar w:fldCharType="end"/>
      </w:r>
    </w:p>
    <w:p>
      <w:pPr>
        <w:pStyle w:val="20"/>
        <w:ind w:firstLine="600"/>
        <w:rPr>
          <w:rFonts w:eastAsiaTheme="minorEastAsia"/>
          <w:bCs w:val="0"/>
          <w:sz w:val="21"/>
        </w:rPr>
      </w:pPr>
      <w:r>
        <w:fldChar w:fldCharType="begin"/>
      </w:r>
      <w:r>
        <w:instrText xml:space="preserve"> HYPERLINK \l "_Toc139015107" </w:instrText>
      </w:r>
      <w:r>
        <w:fldChar w:fldCharType="separate"/>
      </w:r>
      <w:r>
        <w:rPr>
          <w:rStyle w:val="27"/>
        </w:rPr>
        <w:t>生态修复分区图</w:t>
      </w:r>
      <w:r>
        <w:tab/>
      </w:r>
      <w:r>
        <w:fldChar w:fldCharType="begin"/>
      </w:r>
      <w:r>
        <w:instrText xml:space="preserve"> PAGEREF _Toc139015107 \h </w:instrText>
      </w:r>
      <w:r>
        <w:fldChar w:fldCharType="separate"/>
      </w:r>
      <w:r>
        <w:t>78</w:t>
      </w:r>
      <w:r>
        <w:fldChar w:fldCharType="end"/>
      </w:r>
      <w:r>
        <w:fldChar w:fldCharType="end"/>
      </w:r>
    </w:p>
    <w:p>
      <w:pPr>
        <w:pStyle w:val="20"/>
        <w:ind w:firstLine="600"/>
        <w:rPr>
          <w:rFonts w:eastAsiaTheme="minorEastAsia"/>
          <w:bCs w:val="0"/>
          <w:sz w:val="21"/>
        </w:rPr>
      </w:pPr>
      <w:r>
        <w:fldChar w:fldCharType="begin"/>
      </w:r>
      <w:r>
        <w:instrText xml:space="preserve"> HYPERLINK \l "_Toc139015108" </w:instrText>
      </w:r>
      <w:r>
        <w:fldChar w:fldCharType="separate"/>
      </w:r>
      <w:r>
        <w:rPr>
          <w:rStyle w:val="27"/>
        </w:rPr>
        <w:t>生态修复重点工程分布</w:t>
      </w:r>
      <w:r>
        <w:tab/>
      </w:r>
      <w:r>
        <w:fldChar w:fldCharType="begin"/>
      </w:r>
      <w:r>
        <w:instrText xml:space="preserve"> PAGEREF _Toc139015108 \h </w:instrText>
      </w:r>
      <w:r>
        <w:fldChar w:fldCharType="separate"/>
      </w:r>
      <w:r>
        <w:t>79</w:t>
      </w:r>
      <w:r>
        <w:fldChar w:fldCharType="end"/>
      </w:r>
      <w:r>
        <w:fldChar w:fldCharType="end"/>
      </w:r>
    </w:p>
    <w:p>
      <w:pPr>
        <w:pStyle w:val="17"/>
        <w:tabs>
          <w:tab w:val="right" w:leader="dot" w:pos="8835"/>
        </w:tabs>
        <w:rPr>
          <w:rFonts w:eastAsiaTheme="minorEastAsia"/>
          <w:b w:val="0"/>
          <w:bCs w:val="0"/>
          <w:iCs w:val="0"/>
          <w:sz w:val="21"/>
          <w:szCs w:val="22"/>
        </w:rPr>
      </w:pPr>
      <w:r>
        <w:fldChar w:fldCharType="begin"/>
      </w:r>
      <w:r>
        <w:instrText xml:space="preserve"> HYPERLINK \l "_Toc139015109" </w:instrText>
      </w:r>
      <w:r>
        <w:fldChar w:fldCharType="separate"/>
      </w:r>
      <w:r>
        <w:rPr>
          <w:rStyle w:val="27"/>
        </w:rPr>
        <w:t>附表</w:t>
      </w:r>
      <w:r>
        <w:tab/>
      </w:r>
      <w:r>
        <w:fldChar w:fldCharType="begin"/>
      </w:r>
      <w:r>
        <w:instrText xml:space="preserve"> PAGEREF _Toc139015109 \h </w:instrText>
      </w:r>
      <w:r>
        <w:fldChar w:fldCharType="separate"/>
      </w:r>
      <w:r>
        <w:t>80</w:t>
      </w:r>
      <w:r>
        <w:fldChar w:fldCharType="end"/>
      </w:r>
      <w:r>
        <w:fldChar w:fldCharType="end"/>
      </w:r>
    </w:p>
    <w:p>
      <w:pPr>
        <w:pStyle w:val="20"/>
        <w:ind w:firstLine="600"/>
        <w:rPr>
          <w:rFonts w:eastAsiaTheme="minorEastAsia"/>
          <w:bCs w:val="0"/>
          <w:sz w:val="21"/>
        </w:rPr>
      </w:pPr>
      <w:r>
        <w:fldChar w:fldCharType="begin"/>
      </w:r>
      <w:r>
        <w:instrText xml:space="preserve"> HYPERLINK \l "_Toc139015110" </w:instrText>
      </w:r>
      <w:r>
        <w:fldChar w:fldCharType="separate"/>
      </w:r>
      <w:r>
        <w:rPr>
          <w:rStyle w:val="27"/>
        </w:rPr>
        <w:t>重庆市万盛经开区国土空间生态修复规划重点工程与项目一览表</w:t>
      </w:r>
      <w:r>
        <w:tab/>
      </w:r>
      <w:r>
        <w:fldChar w:fldCharType="begin"/>
      </w:r>
      <w:r>
        <w:instrText xml:space="preserve"> PAGEREF _Toc139015110 \h </w:instrText>
      </w:r>
      <w:r>
        <w:fldChar w:fldCharType="separate"/>
      </w:r>
      <w:r>
        <w:t>80</w:t>
      </w:r>
      <w:r>
        <w:fldChar w:fldCharType="end"/>
      </w:r>
      <w:r>
        <w:fldChar w:fldCharType="end"/>
      </w:r>
    </w:p>
    <w:p>
      <w:pPr>
        <w:pStyle w:val="20"/>
        <w:ind w:firstLine="482"/>
        <w:rPr>
          <w:rFonts w:eastAsiaTheme="minorEastAsia"/>
          <w:sz w:val="21"/>
        </w:rPr>
      </w:pPr>
      <w:r>
        <w:rPr>
          <w:rFonts w:eastAsia="仿宋"/>
          <w:b/>
          <w:i/>
          <w:iCs/>
          <w:sz w:val="24"/>
          <w:szCs w:val="24"/>
        </w:rPr>
        <w:fldChar w:fldCharType="end"/>
      </w:r>
    </w:p>
    <w:p>
      <w:pPr>
        <w:sectPr>
          <w:footerReference r:id="rId11" w:type="default"/>
          <w:pgSz w:w="11906" w:h="16838"/>
          <w:pgMar w:top="1701" w:right="1474" w:bottom="1440" w:left="1587" w:header="851" w:footer="992" w:gutter="0"/>
          <w:pgNumType w:fmt="upperRoman" w:start="1"/>
          <w:cols w:space="0" w:num="1"/>
          <w:docGrid w:type="lines" w:linePitch="312" w:charSpace="0"/>
        </w:sectPr>
      </w:pPr>
    </w:p>
    <w:p>
      <w:pPr>
        <w:pStyle w:val="2"/>
        <w:jc w:val="center"/>
      </w:pPr>
      <w:bookmarkStart w:id="3" w:name="_Toc139015071"/>
      <w:r>
        <w:rPr>
          <w:rFonts w:hint="eastAsia"/>
        </w:rPr>
        <w:t xml:space="preserve">前 </w:t>
      </w:r>
      <w:r>
        <w:t xml:space="preserve"> </w:t>
      </w:r>
      <w:r>
        <w:rPr>
          <w:rFonts w:hint="eastAsia"/>
        </w:rPr>
        <w:t>言</w:t>
      </w:r>
      <w:bookmarkEnd w:id="3"/>
    </w:p>
    <w:p>
      <w:r>
        <w:rPr>
          <w:rFonts w:hint="eastAsia"/>
        </w:rPr>
        <w:t>国土空间生态保护修复规划是推进生态文明建设的重大举措。党的十八大以来，以习近平同志为核心的党中央站在中华民族永续发展的战略高度，把生态文明纳入“五位一体”总体布局，作出了加强生态文明建设的重大战略部署。</w:t>
      </w:r>
      <w:r>
        <w:t>2022年10月16日习近平在二十大报告中提出，尊重自然、顺应自然、保护自然，推进生态优先、节约集约、绿色低碳发展，促进人与自然和谐共生。重庆拥有四个国家重点生态功能区，是长江上游生态屏障的最后一道关口，在国家生态格局中具有重要地位，生态功能十分重要。</w:t>
      </w:r>
    </w:p>
    <w:p>
      <w:r>
        <w:rPr>
          <w:rFonts w:hint="eastAsia"/>
        </w:rPr>
        <w:t>《万盛区国土空间生态保护修复规划（</w:t>
      </w:r>
      <w:r>
        <w:t>2021-2035 年）》（以下简称《规划》）以习近平新时代中国特色社会主义思想为指导，牢固树立“山水林田湖草沙是一个生命共同体”的理念。在数据分析</w:t>
      </w:r>
      <w:r>
        <w:rPr>
          <w:rFonts w:hint="eastAsia"/>
        </w:rPr>
        <w:t>与</w:t>
      </w:r>
      <w:r>
        <w:t>实地调研的基础上，系统诊断万盛经开区国土空间生态系统整体状况和关键问题；构建了</w:t>
      </w:r>
      <w:r>
        <w:rPr>
          <w:b/>
          <w:bCs/>
        </w:rPr>
        <w:t>“一核一屏多网多点”</w:t>
      </w:r>
      <w:r>
        <w:t>的生态安全格局；划分了北部丘陵绿色发展区、孝子河流域生态品质提升区、南部丘陵生态品质提升区、大娄山生态屏障区“四大片区”。立足新时期生态文明建设要求，统筹安排了国土空间生态保护修复5个重点任务、7项重点工程、28个重点项目，并提出</w:t>
      </w:r>
      <w:r>
        <w:rPr>
          <w:rFonts w:hint="eastAsia"/>
        </w:rPr>
        <w:t>了规划实施的保障措施。</w:t>
      </w:r>
    </w:p>
    <w:p>
      <w:r>
        <w:rPr>
          <w:rFonts w:hint="eastAsia"/>
        </w:rPr>
        <w:t>《规划</w:t>
      </w:r>
      <w:r>
        <w:t>》是万盛经开区国土空间总体规划的重要专项规划，是一定时期内万盛经开区国土空间生态修复任务的总纲和空间指引，是争取各级生态保护修复专项资金和政策支持的依据</w:t>
      </w:r>
      <w:r>
        <w:rPr>
          <w:rFonts w:hint="eastAsia"/>
        </w:rPr>
        <w:t>。</w:t>
      </w:r>
    </w:p>
    <w:p>
      <w:pPr>
        <w:widowControl/>
        <w:spacing w:line="240" w:lineRule="auto"/>
        <w:ind w:firstLine="0" w:firstLineChars="0"/>
        <w:sectPr>
          <w:pgSz w:w="11906" w:h="16838"/>
          <w:pgMar w:top="1701" w:right="1474" w:bottom="1440" w:left="1587" w:header="851" w:footer="992" w:gutter="0"/>
          <w:pgNumType w:start="1"/>
          <w:cols w:space="0" w:num="1"/>
          <w:docGrid w:type="lines" w:linePitch="312" w:charSpace="0"/>
        </w:sectPr>
      </w:pPr>
    </w:p>
    <w:p>
      <w:pPr>
        <w:pStyle w:val="2"/>
        <w:jc w:val="center"/>
      </w:pPr>
      <w:bookmarkStart w:id="4" w:name="_Toc139015072"/>
      <w:r>
        <w:rPr>
          <w:rFonts w:hint="eastAsia"/>
        </w:rPr>
        <w:t>第一章</w:t>
      </w:r>
      <w:r>
        <w:t xml:space="preserve"> </w:t>
      </w:r>
      <w:r>
        <w:rPr>
          <w:rFonts w:hint="eastAsia"/>
        </w:rPr>
        <w:t>基础</w:t>
      </w:r>
      <w:r>
        <w:t>分析与</w:t>
      </w:r>
      <w:r>
        <w:rPr>
          <w:rFonts w:hint="eastAsia"/>
        </w:rPr>
        <w:t>形势研判</w:t>
      </w:r>
      <w:bookmarkEnd w:id="4"/>
    </w:p>
    <w:p>
      <w:pPr>
        <w:pStyle w:val="3"/>
        <w:rPr>
          <w:shd w:val="clear" w:color="auto" w:fill="FFFFFF"/>
        </w:rPr>
      </w:pPr>
      <w:bookmarkStart w:id="5" w:name="_Toc139015073"/>
      <w:r>
        <w:rPr>
          <w:rFonts w:hint="eastAsia"/>
          <w:shd w:val="clear" w:color="auto" w:fill="FFFFFF"/>
        </w:rPr>
        <w:t>第一节</w:t>
      </w:r>
      <w:r>
        <w:rPr>
          <w:shd w:val="clear" w:color="auto" w:fill="FFFFFF"/>
        </w:rPr>
        <w:t xml:space="preserve"> 规划范围与期限</w:t>
      </w:r>
      <w:bookmarkEnd w:id="5"/>
    </w:p>
    <w:p>
      <w:pPr>
        <w:rPr>
          <w:snapToGrid w:val="0"/>
        </w:rPr>
      </w:pPr>
      <w:r>
        <w:rPr>
          <w:rFonts w:hint="eastAsia"/>
          <w:snapToGrid w:val="0"/>
        </w:rPr>
        <w:t>本规划范围为万盛经开区行政辖区，涉及</w:t>
      </w:r>
      <w:r>
        <w:rPr>
          <w:snapToGrid w:val="0"/>
        </w:rPr>
        <w:t>2个街道</w:t>
      </w:r>
      <w:r>
        <w:rPr>
          <w:rFonts w:hint="eastAsia"/>
          <w:snapToGrid w:val="0"/>
        </w:rPr>
        <w:t>（万盛街道、东林街道）</w:t>
      </w:r>
      <w:r>
        <w:rPr>
          <w:snapToGrid w:val="0"/>
        </w:rPr>
        <w:t>8个镇</w:t>
      </w:r>
      <w:r>
        <w:rPr>
          <w:rFonts w:hint="eastAsia"/>
          <w:snapToGrid w:val="0"/>
        </w:rPr>
        <w:t>（万东镇、南桐镇、青年镇、关坝镇、丛林镇、石林镇、黑山镇、金桥镇）</w:t>
      </w:r>
      <w:r>
        <w:rPr>
          <w:snapToGrid w:val="0"/>
        </w:rPr>
        <w:t>，面积561.48平方公里。</w:t>
      </w:r>
    </w:p>
    <w:p>
      <w:pPr>
        <w:rPr>
          <w:snapToGrid w:val="0"/>
        </w:rPr>
      </w:pPr>
      <w:r>
        <w:rPr>
          <w:rFonts w:hint="eastAsia"/>
          <w:snapToGrid w:val="0"/>
        </w:rPr>
        <w:t>本规划基期年为</w:t>
      </w:r>
      <w:r>
        <w:rPr>
          <w:snapToGrid w:val="0"/>
        </w:rPr>
        <w:t>2020年，规划目标年为2035年，近期目标年为2025年。</w:t>
      </w:r>
    </w:p>
    <w:p>
      <w:pPr>
        <w:pStyle w:val="3"/>
        <w:rPr>
          <w:shd w:val="clear" w:color="auto" w:fill="FFFFFF"/>
        </w:rPr>
      </w:pPr>
      <w:bookmarkStart w:id="6" w:name="_Toc139015074"/>
      <w:r>
        <w:rPr>
          <w:rFonts w:hint="eastAsia"/>
          <w:shd w:val="clear" w:color="auto" w:fill="FFFFFF"/>
        </w:rPr>
        <w:t>第二节 自然资源状况</w:t>
      </w:r>
      <w:bookmarkEnd w:id="6"/>
    </w:p>
    <w:p>
      <w:pPr>
        <w:pStyle w:val="4"/>
        <w:ind w:firstLine="643"/>
      </w:pPr>
      <w:r>
        <w:rPr>
          <w:rFonts w:hint="eastAsia"/>
        </w:rPr>
        <w:t>一、区位概况</w:t>
      </w:r>
    </w:p>
    <w:p>
      <w:r>
        <w:rPr>
          <w:rFonts w:hint="eastAsia"/>
        </w:rPr>
        <w:t>万盛经开区地处重庆市西南部，北靠巴南，西连綦江，东接南川，南临贵州遵义，位于渝南黔北交界处，万盛城区所在地距重庆市区</w:t>
      </w:r>
      <w:r>
        <w:t>89公里，距江北机场120公里，地处大娄山生态屏障区内，是重庆主城都市区重要支点城市，是綦江-万盛一体化、同城化、融合化发展的核心部分。地跨东经106°45′～107°03′，北纬28°46′～29°48′之间，南北最长40.5公里、东西最宽23.0公里。</w:t>
      </w:r>
    </w:p>
    <w:p>
      <w:pPr>
        <w:pStyle w:val="4"/>
        <w:ind w:firstLine="643"/>
      </w:pPr>
      <w:r>
        <w:rPr>
          <w:rFonts w:hint="eastAsia"/>
        </w:rPr>
        <w:t>二、</w:t>
      </w:r>
      <w:r>
        <w:t>地质</w:t>
      </w:r>
      <w:r>
        <w:rPr>
          <w:rFonts w:hint="eastAsia"/>
        </w:rPr>
        <w:t>构造</w:t>
      </w:r>
    </w:p>
    <w:p>
      <w:r>
        <w:rPr>
          <w:rFonts w:hint="eastAsia"/>
        </w:rPr>
        <w:t>万盛经开区境内出露地层众多，但全为沉积岩系，除泥盆系、石炭系、白垩系、第三系缺失处，从寒武系至第四系均有不同程度的发育，共有</w:t>
      </w:r>
      <w:r>
        <w:t>7个系31个地层单位。自东向西，地层由老变新，古生界出露面积344.84平方公里，占区幅员面积的60.95%，中生界出露面积220.92平方公里，占39.05%区境地质结构为川东褶带与川鄂湘黔隆起褶带交接部，大致可以孝子河-青年-关坝连线，以东为川鄂湘黔隆起褶带西缘，构造相对复杂；以西以川东褶带东缘，构造比较简单。</w:t>
      </w:r>
    </w:p>
    <w:p>
      <w:pPr>
        <w:pStyle w:val="4"/>
        <w:ind w:firstLine="643"/>
      </w:pPr>
      <w:r>
        <w:rPr>
          <w:rFonts w:hint="eastAsia"/>
        </w:rPr>
        <w:t>三、自然地理</w:t>
      </w:r>
    </w:p>
    <w:p>
      <w:pPr>
        <w:ind w:firstLine="602"/>
      </w:pPr>
      <w:r>
        <w:rPr>
          <w:rFonts w:hint="eastAsia"/>
          <w:b/>
          <w:bCs/>
        </w:rPr>
        <w:t>（一）气候条件。</w:t>
      </w:r>
      <w:r>
        <w:rPr>
          <w:rFonts w:hint="eastAsia"/>
        </w:rPr>
        <w:t>万盛经开区属亚热带温湿季风气候区，气候温和</w:t>
      </w:r>
      <w:r>
        <w:t>,降雨充沛，区内四季分明，冬冷夏热，无霜期长，温差大，云雾多，日照少，秋季多绵雨，海拔在1000米以上的区域约114.66平方公里，占比约20.4%，是重庆市重要的冷源区。各地区气候差异显著，立体性气候特征突出，同时，伏旱、低温、绵雨、冰雹、大风、寒潮等灾害性天气也较频繁。</w:t>
      </w:r>
      <w:r>
        <w:rPr>
          <w:rFonts w:hint="eastAsia"/>
        </w:rPr>
        <w:t>全区多年平均气温</w:t>
      </w:r>
      <w:r>
        <w:t>18.4℃，最高气温44.3℃，极端最低气温为-3.6℃，多年平均相对湿度79%,多年平均降雨量1282.4毫米，但年际年内变化较大，最多年降雨1590.2毫米，最少年为974.5毫米，年内降雨多集中在5-9月份，其降雨量占全年降雨的67.2%。</w:t>
      </w:r>
    </w:p>
    <w:p>
      <w:pPr>
        <w:ind w:firstLine="602"/>
      </w:pPr>
      <w:r>
        <w:rPr>
          <w:rFonts w:hint="eastAsia"/>
          <w:b/>
          <w:bCs/>
        </w:rPr>
        <w:t>（二）地形地貌。</w:t>
      </w:r>
      <w:r>
        <w:rPr>
          <w:rFonts w:hint="eastAsia"/>
        </w:rPr>
        <w:t>属四川盆地东南边缘与云贵高原衔接的过渡山区，以低中山为主，兼有岩溶丘陵槽坝，地形起伏大，相对高差悬殊。境内重峦叠嶂，岭谷相间，地势东高西低，山脉南北延伸，最高点黑山镇狮子槽东侧峰顶，海拔</w:t>
      </w:r>
      <w:r>
        <w:t>1973米，最低点南桐镇温塘孝子河出境处河床，海拔265米。</w:t>
      </w:r>
    </w:p>
    <w:p>
      <w:pPr>
        <w:ind w:firstLine="602"/>
      </w:pPr>
      <w:r>
        <w:rPr>
          <w:rFonts w:hint="eastAsia"/>
          <w:b/>
          <w:bCs/>
        </w:rPr>
        <w:t>（三）河流水文。</w:t>
      </w:r>
      <w:r>
        <w:rPr>
          <w:rFonts w:hint="eastAsia"/>
        </w:rPr>
        <w:t>属长江水系，地处云贵高原边缘山区，溪流多为季节性溪河，源短径流小，平时水量不足，一遇暴雨，水流湍急又常淹没农田，造成洪灾。</w:t>
      </w:r>
      <w:r>
        <w:t>区内流域面积在10平方公里以上的河流主要有孝子河、丛林河、清溪河、小河、刘家河、养生河、金鸡沟河、溱溪河、藻渡河等14条</w:t>
      </w:r>
      <w:r>
        <w:rPr>
          <w:rFonts w:hint="eastAsia"/>
        </w:rPr>
        <w:t>。</w:t>
      </w:r>
    </w:p>
    <w:p>
      <w:pPr>
        <w:ind w:firstLine="602"/>
      </w:pPr>
      <w:r>
        <w:rPr>
          <w:rFonts w:hint="eastAsia"/>
          <w:b/>
          <w:bCs/>
        </w:rPr>
        <w:t>（四）土壤。</w:t>
      </w:r>
      <w:r>
        <w:rPr>
          <w:rFonts w:hint="eastAsia"/>
        </w:rPr>
        <w:t>主要有潮土、紫色土、石灰岩土、黄壤、水稻土、黄棕壤</w:t>
      </w:r>
      <w:r>
        <w:t>6个土类。农业土壤面积有151329亩，分为5个土类，9个亚类、25个土属、61个土种，其中潮土类1244亩，占0.82％；紫色土类30165亩，占19.93％；石灰岩土类14189亩，占9.38％；黄壤土类36334亩，占24.01％；水稻土类69397亩，占45.86％。森林土壤面积有30.7万亩，其中黄壤土类228758亩，占75％；紫色土类45722亩，占15％；石灰岩土类19530亩，占6％；黄棕壤类12990亩，占4％。</w:t>
      </w:r>
    </w:p>
    <w:p>
      <w:pPr>
        <w:ind w:firstLine="643"/>
        <w:rPr>
          <w:b/>
          <w:bCs/>
          <w:sz w:val="32"/>
          <w:szCs w:val="32"/>
        </w:rPr>
      </w:pPr>
      <w:r>
        <w:rPr>
          <w:rFonts w:hint="eastAsia"/>
          <w:b/>
          <w:bCs/>
          <w:sz w:val="32"/>
          <w:szCs w:val="32"/>
        </w:rPr>
        <w:t>四、社会经济状况</w:t>
      </w:r>
    </w:p>
    <w:p>
      <w:r>
        <w:rPr>
          <w:rFonts w:hint="eastAsia"/>
        </w:rPr>
        <w:t>截至</w:t>
      </w:r>
      <w:r>
        <w:t>2019年末，全区户籍总人口26.64万人,常住人口27.89万人，其中城镇人口23.03万人，城镇化率82.58%。2019年GDP为203.61亿元，增长6.0%。产业结构加快调整,2010-2019年，三次产业结构由9.8：55.2：34.9调整为5.2：46：48.8。2019年来区游客增长13.8%，旅游总收入增长27%。城乡居民收入差距不断减小，城乡收入比差距比全市平均水平低。</w:t>
      </w:r>
    </w:p>
    <w:p>
      <w:pPr>
        <w:pStyle w:val="4"/>
        <w:ind w:firstLine="643"/>
      </w:pPr>
      <w:r>
        <w:rPr>
          <w:rFonts w:hint="eastAsia"/>
        </w:rPr>
        <w:t>五、重要资源</w:t>
      </w:r>
    </w:p>
    <w:p>
      <w:pPr>
        <w:ind w:firstLine="602"/>
      </w:pPr>
      <w:r>
        <w:rPr>
          <w:b/>
          <w:bCs/>
        </w:rPr>
        <w:t>山体</w:t>
      </w:r>
      <w:r>
        <w:rPr>
          <w:rFonts w:hint="eastAsia"/>
          <w:b/>
          <w:bCs/>
        </w:rPr>
        <w:t>。</w:t>
      </w:r>
      <w:r>
        <w:rPr>
          <w:b/>
          <w:bCs/>
        </w:rPr>
        <w:t>以低山为主，兼有岩溶丘陵、台地、平坝、山原</w:t>
      </w:r>
      <w:r>
        <w:rPr>
          <w:rFonts w:hint="eastAsia"/>
          <w:b/>
          <w:bCs/>
        </w:rPr>
        <w:t>。</w:t>
      </w:r>
      <w:r>
        <w:rPr>
          <w:rFonts w:hint="eastAsia"/>
        </w:rPr>
        <w:t>属大娄山山脉，主要山体屏障为黑山，山脉为八面山山脉、二郎山</w:t>
      </w:r>
      <w:r>
        <w:t>-石关子山脉、桃子荡南向延伸山脉，重要独立山体12座，以低山、低中山为主，兼有岩溶丘陵、台地、平坝、山原。东部和南部为低中山地貌;西部和中部为海拔300-1000米的低山、丘陵、平坝；北部为坪状低山地貌</w:t>
      </w:r>
      <w:r>
        <w:rPr>
          <w:rFonts w:hint="eastAsia"/>
        </w:rPr>
        <w:t>。</w:t>
      </w:r>
    </w:p>
    <w:p>
      <w:pPr>
        <w:ind w:firstLine="602"/>
      </w:pPr>
      <w:r>
        <w:rPr>
          <w:rFonts w:hint="eastAsia"/>
          <w:b/>
          <w:bCs/>
        </w:rPr>
        <w:t>水系</w:t>
      </w:r>
      <w:r>
        <w:rPr>
          <w:b/>
          <w:bCs/>
        </w:rPr>
        <w:t>（湖库）</w:t>
      </w:r>
      <w:r>
        <w:rPr>
          <w:rFonts w:hint="eastAsia"/>
          <w:b/>
          <w:bCs/>
        </w:rPr>
        <w:t>。</w:t>
      </w:r>
      <w:r>
        <w:rPr>
          <w:b/>
          <w:bCs/>
        </w:rPr>
        <w:t>拥有14条重要支流、18座中小型水库</w:t>
      </w:r>
      <w:r>
        <w:rPr>
          <w:rFonts w:hint="eastAsia"/>
          <w:b/>
          <w:bCs/>
        </w:rPr>
        <w:t>。</w:t>
      </w:r>
      <w:r>
        <w:rPr>
          <w:rFonts w:hint="eastAsia"/>
        </w:rPr>
        <w:t>境内河流均属长江流域，地处云贵高原边缘山区，溪流多为季节性溪河，水域（河湖水面）面积为</w:t>
      </w:r>
      <w:r>
        <w:t>8.01平方公里，流域面积在10平方公里以上的河流13条，中小型水库18座</w:t>
      </w:r>
      <w:r>
        <w:rPr>
          <w:rFonts w:hint="eastAsia"/>
        </w:rPr>
        <w:t>。</w:t>
      </w:r>
    </w:p>
    <w:p>
      <w:pPr>
        <w:ind w:firstLine="602"/>
      </w:pPr>
      <w:r>
        <w:rPr>
          <w:b/>
          <w:bCs/>
        </w:rPr>
        <w:t>林地</w:t>
      </w:r>
      <w:r>
        <w:rPr>
          <w:rFonts w:hint="eastAsia"/>
          <w:b/>
          <w:bCs/>
        </w:rPr>
        <w:t>。</w:t>
      </w:r>
      <w:r>
        <w:rPr>
          <w:b/>
          <w:bCs/>
        </w:rPr>
        <w:t>空间分布广，森林覆盖率高</w:t>
      </w:r>
      <w:r>
        <w:rPr>
          <w:rFonts w:hint="eastAsia"/>
          <w:b/>
          <w:bCs/>
        </w:rPr>
        <w:t>。</w:t>
      </w:r>
      <w:r>
        <w:rPr>
          <w:rFonts w:hint="eastAsia"/>
        </w:rPr>
        <w:t>林地面积</w:t>
      </w:r>
      <w:r>
        <w:t>366.62平方公里，占全区国土面积的65.31%，主要分布在东部大娄山脉。截止2019年末，活立木蓄积量198万立方米,森林覆盖率达55.3%，周边区县仅次于武隆。乔木林地、灌木林占林地面积的87.32%。一般用材林面积为165平方公里，占全域的29%，水土保持林面积为123.24平方公里，占全域的22%，四旁和散生树主要为青杨、桉树、栾树、梧桐等。</w:t>
      </w:r>
    </w:p>
    <w:p>
      <w:pPr>
        <w:ind w:firstLine="602"/>
      </w:pPr>
      <w:r>
        <w:rPr>
          <w:b/>
          <w:bCs/>
        </w:rPr>
        <w:t>耕地</w:t>
      </w:r>
      <w:r>
        <w:rPr>
          <w:rFonts w:hint="eastAsia"/>
          <w:b/>
          <w:bCs/>
        </w:rPr>
        <w:t>。</w:t>
      </w:r>
      <w:r>
        <w:rPr>
          <w:b/>
          <w:bCs/>
        </w:rPr>
        <w:t>优质耕地资源少，平均质量属中等水平</w:t>
      </w:r>
      <w:r>
        <w:rPr>
          <w:rFonts w:hint="eastAsia"/>
          <w:b/>
          <w:bCs/>
        </w:rPr>
        <w:t>。</w:t>
      </w:r>
      <w:r>
        <w:rPr>
          <w:rFonts w:hint="eastAsia"/>
        </w:rPr>
        <w:t>现状耕地面积</w:t>
      </w:r>
      <w:r>
        <w:t>98.34平方公里（国土三调），占全区国土面积的17.52%，主要分布在西部、中部的低山和槽谷区域，其中耕地规模较大的有金桥镇、关坝镇、青年镇、石林镇和南桐镇，耕地面积占比10%以上</w:t>
      </w:r>
      <w:r>
        <w:rPr>
          <w:rFonts w:hint="eastAsia"/>
        </w:rPr>
        <w:t>。</w:t>
      </w:r>
    </w:p>
    <w:p>
      <w:pPr>
        <w:ind w:firstLine="602"/>
      </w:pPr>
      <w:r>
        <w:rPr>
          <w:b/>
          <w:bCs/>
        </w:rPr>
        <w:t>矿产</w:t>
      </w:r>
      <w:r>
        <w:rPr>
          <w:rFonts w:hint="eastAsia"/>
          <w:b/>
          <w:bCs/>
        </w:rPr>
        <w:t>。</w:t>
      </w:r>
      <w:r>
        <w:rPr>
          <w:b/>
          <w:bCs/>
        </w:rPr>
        <w:t>种类丰富，以中小型矿山为主</w:t>
      </w:r>
      <w:r>
        <w:rPr>
          <w:rFonts w:hint="eastAsia"/>
          <w:b/>
          <w:bCs/>
        </w:rPr>
        <w:t>。</w:t>
      </w:r>
      <w:r>
        <w:rPr>
          <w:rFonts w:hint="eastAsia"/>
        </w:rPr>
        <w:t>矿产资源种类丰富，以中小型矿山为主，优势矿产为煤、石灰岩、白云岩和砂岩，</w:t>
      </w:r>
      <w:r>
        <w:t>2020年，区内重要固体矿种开采总量约1340.9万吨。煤矿自北至南呈带状分布，依次为丛林镇、万东镇、南桐镇、青年镇、关坝镇；石灰岩全区均有分布；白云岩（炼镁）主要分布在黑山镇、青年镇；砂岩主要分布在万东镇、金桥镇</w:t>
      </w:r>
      <w:r>
        <w:rPr>
          <w:rFonts w:hint="eastAsia"/>
        </w:rPr>
        <w:t>。</w:t>
      </w:r>
    </w:p>
    <w:p>
      <w:pPr>
        <w:ind w:firstLine="602"/>
      </w:pPr>
      <w:r>
        <w:rPr>
          <w:b/>
          <w:bCs/>
        </w:rPr>
        <w:t>生物</w:t>
      </w:r>
      <w:r>
        <w:rPr>
          <w:rFonts w:hint="eastAsia"/>
          <w:b/>
          <w:bCs/>
        </w:rPr>
        <w:t>。</w:t>
      </w:r>
      <w:r>
        <w:rPr>
          <w:b/>
          <w:bCs/>
        </w:rPr>
        <w:t>多样性丰富，是野生动植物重要的栖息地</w:t>
      </w:r>
      <w:r>
        <w:rPr>
          <w:rFonts w:hint="eastAsia"/>
          <w:b/>
          <w:bCs/>
        </w:rPr>
        <w:t>。</w:t>
      </w:r>
      <w:r>
        <w:rPr>
          <w:rFonts w:hint="eastAsia"/>
        </w:rPr>
        <w:t>区内涉及现有各类自然保护地</w:t>
      </w:r>
      <w:r>
        <w:t>5个，总面积86.41平方公里，包括九锅箐市级森林自然公园、白龙湖市级森林自然公园、青山湖国家湿地自然公园、黑山国家地质自然公园、黑山自然保护区。</w:t>
      </w:r>
      <w:r>
        <w:rPr>
          <w:rFonts w:hint="eastAsia"/>
        </w:rPr>
        <w:t>拥有亚热带暖湿性气候区、亚热带季风气候区和垂直分布中山地带的绝大部分代表植物，共计</w:t>
      </w:r>
      <w:r>
        <w:t>4门168科，现有采集鉴定的维管植物有1102种，预测全区植物种类可达1800余种。区境共有陆生脊椎动物333种，分属4纲32目86科；两栖类有12种，爬行类24种，鸟类133种，兽类42种，保护动物共有40余种。区境农业害虫天敌中，有寄生性害虫天敌9种、捕食性害虫天敌15种、蛙类4种、益鸟10种。</w:t>
      </w:r>
    </w:p>
    <w:p>
      <w:pPr>
        <w:ind w:firstLine="602"/>
      </w:pPr>
      <w:r>
        <w:rPr>
          <w:b/>
          <w:bCs/>
        </w:rPr>
        <w:t>旅游资源</w:t>
      </w:r>
      <w:r>
        <w:rPr>
          <w:rFonts w:hint="eastAsia"/>
          <w:b/>
          <w:bCs/>
        </w:rPr>
        <w:t>。</w:t>
      </w:r>
      <w:r>
        <w:rPr>
          <w:b/>
          <w:bCs/>
        </w:rPr>
        <w:t>丰富独特，景色怡人</w:t>
      </w:r>
      <w:r>
        <w:rPr>
          <w:rFonts w:hint="eastAsia"/>
          <w:b/>
          <w:bCs/>
        </w:rPr>
        <w:t>。</w:t>
      </w:r>
      <w:r>
        <w:rPr>
          <w:rFonts w:hint="eastAsia"/>
        </w:rPr>
        <w:t>区内旅游资源十分丰富，景色怡人，是大自然赋予的得天独厚的宝贵财富。以稀、奇、古、怪为特征的石林、黑山风光，峡谷漂流与原始森林融合构成独特的旅游资源，可攀岩登山、避暑消夏、野炊野营、探险观奇。</w:t>
      </w:r>
    </w:p>
    <w:p>
      <w:pPr>
        <w:pStyle w:val="4"/>
        <w:ind w:firstLine="643"/>
      </w:pPr>
      <w:r>
        <w:rPr>
          <w:rFonts w:hint="eastAsia"/>
        </w:rPr>
        <w:t>六、生态系统特点</w:t>
      </w:r>
    </w:p>
    <w:p>
      <w:pPr>
        <w:pStyle w:val="5"/>
        <w:ind w:firstLine="602"/>
      </w:pPr>
      <w:r>
        <w:rPr>
          <w:rFonts w:hint="eastAsia"/>
        </w:rPr>
        <w:t>1、森林生态系统</w:t>
      </w:r>
    </w:p>
    <w:p>
      <w:r>
        <w:rPr>
          <w:rFonts w:hint="eastAsia"/>
        </w:rPr>
        <w:t>区内森林生态系统主要分布于城郊四山及黑山自然保护区，主要由马尾松、杉木、枫香、香樟、栎类林等组成，国家重点保护、珍</w:t>
      </w:r>
      <w:r>
        <w:rPr>
          <w:rFonts w:hint="eastAsia"/>
          <w:lang w:eastAsia="zh-CN"/>
        </w:rPr>
        <w:t>稀</w:t>
      </w:r>
      <w:r>
        <w:rPr>
          <w:rFonts w:hint="eastAsia"/>
        </w:rPr>
        <w:t>物种种类及数量都十分丰富。森林生态系统是调查区域内极其重要的生态系统，是万盛经济开发区复杂的地形地貌与气候条件形成的，同时生态系统对区域水分平衡、水源涵养、水土保持、局地气候调节及生物多样性维持等具有不可替代的生态功能和作用。</w:t>
      </w:r>
    </w:p>
    <w:p>
      <w:pPr>
        <w:pStyle w:val="5"/>
        <w:ind w:firstLine="602"/>
      </w:pPr>
      <w:r>
        <w:rPr>
          <w:rFonts w:hint="eastAsia"/>
        </w:rPr>
        <w:t>2、湿地生态系统</w:t>
      </w:r>
    </w:p>
    <w:p>
      <w:r>
        <w:t>区域内湿地生态系统主要分布于青山湖水库、白龙湖水库周边消落带区域。湿地生态系统介于水生环境与陆生环境之间，受水陆系统共同作用，属典型的生态过渡带。湿地生态系统的植被具有过滤泥沙和营养物质、保持水土、稳定河岸系统、保护河流水质和维持生物多样性等多种重要的生态功能，并具有一定的景观美学功能和社会经济效益。湿地系统的自然植被主要由灌木和草本植物形成多种单一或复合灌草群落类型，优势植物种以一年生草本、多年生草本和灌木为主。湿地生态系统具有重要的生态服务功能：①作为水质安全的最后一道屏障，能拦蓄陆岸水土流失带来</w:t>
      </w:r>
      <w:r>
        <w:rPr>
          <w:rFonts w:hint="eastAsia"/>
        </w:rPr>
        <w:t>的大量泥沙和非点源污染物质，减少水库淤积与污染；②以湿地植被为主体的湿地生态系统能分解、吸收水体中的营养物质，减少水体的富营养化水平；③消落区组成的多样性和分布的广泛性，为生物创造了多样的生境，巨大的食物链支撑了丰富的生物多样性，形成“生物公园”和“生物走廊”；④消落区植被能起固定堤岸的作用，可防止堤岸因河水的冲刷而崩垮；⑤消落区是区域生态景观的重要组成部分，对于以水体和峡谷为主题的旅游开发项目起着重要的影响作用。</w:t>
      </w:r>
    </w:p>
    <w:p>
      <w:pPr>
        <w:pStyle w:val="5"/>
        <w:ind w:firstLine="602"/>
      </w:pPr>
      <w:r>
        <w:rPr>
          <w:rFonts w:hint="eastAsia"/>
        </w:rPr>
        <w:t>3、灌草丛生态系统</w:t>
      </w:r>
    </w:p>
    <w:p>
      <w:r>
        <w:rPr>
          <w:rFonts w:hint="eastAsia"/>
        </w:rPr>
        <w:t>灌草丛生态系统是重要的陆生生态系统类型，在万盛经开区类型多样，分布面积较广。主要类型有蔷薇、菝葜、杜鹃、悬钩子、马桑灌丛等。该生态系统的生态效应介于森林生态系统和农田生态系统之间。</w:t>
      </w:r>
    </w:p>
    <w:p>
      <w:pPr>
        <w:pStyle w:val="5"/>
        <w:ind w:firstLine="602"/>
      </w:pPr>
      <w:r>
        <w:rPr>
          <w:rFonts w:hint="eastAsia"/>
        </w:rPr>
        <w:t>4、农田生态系统</w:t>
      </w:r>
    </w:p>
    <w:p>
      <w:pPr>
        <w:rPr>
          <w:rFonts w:ascii="Times New Roman" w:hAnsi="Times New Roman"/>
        </w:rPr>
      </w:pPr>
      <w:r>
        <w:rPr>
          <w:rFonts w:hint="eastAsia"/>
        </w:rPr>
        <w:t>万盛经开区农田主要分布在中部、北部、西部区域，多在地形平缓区域，以山地农田为主。以种植马铃薯、红薯、玉米、油菜等为主，</w:t>
      </w:r>
      <w:r>
        <w:rPr>
          <w:rFonts w:hint="eastAsia" w:ascii="Times New Roman" w:hAnsi="Times New Roman"/>
        </w:rPr>
        <w:t>特色种植有茶叶、猕猴桃、方竹笋、食用菌、特色水果等优势特色产业。</w:t>
      </w:r>
    </w:p>
    <w:p>
      <w:pPr>
        <w:pStyle w:val="3"/>
        <w:rPr>
          <w:shd w:val="clear" w:color="auto" w:fill="FFFFFF"/>
        </w:rPr>
      </w:pPr>
      <w:bookmarkStart w:id="7" w:name="_Toc139015075"/>
      <w:r>
        <w:rPr>
          <w:rFonts w:hint="eastAsia"/>
          <w:shd w:val="clear" w:color="auto" w:fill="FFFFFF"/>
        </w:rPr>
        <w:t>第二节 综合评价</w:t>
      </w:r>
      <w:bookmarkEnd w:id="7"/>
    </w:p>
    <w:p>
      <w:pPr>
        <w:pStyle w:val="4"/>
        <w:ind w:firstLine="643"/>
      </w:pPr>
      <w:r>
        <w:rPr>
          <w:rFonts w:hint="eastAsia"/>
        </w:rPr>
        <w:t>一、生态系统服务功能评价</w:t>
      </w:r>
    </w:p>
    <w:p>
      <w:r>
        <w:rPr>
          <w:rFonts w:hint="eastAsia"/>
        </w:rPr>
        <w:t>水源涵养功能表现出明显的空间分异特征，东部中山水源涵养生态维护区属于全区生态涵养发展区，是重要生物多样性保护区和生态功能维护区，包括丛林镇、黑山镇、石林镇</w:t>
      </w:r>
      <w:r>
        <w:t>3个乡镇，该区土地总面积209.28km</w:t>
      </w:r>
      <w:r>
        <w:rPr>
          <w:vertAlign w:val="superscript"/>
        </w:rPr>
        <w:t>2</w:t>
      </w:r>
      <w:r>
        <w:t>。地貌类型以中低山为主，区内自然生态条件相对较好，植被资源丰富，森林覆盖率60.18%，耕地总面积36.91km</w:t>
      </w:r>
      <w:r>
        <w:rPr>
          <w:vertAlign w:val="superscript"/>
        </w:rPr>
        <w:t>2</w:t>
      </w:r>
      <w:r>
        <w:t>，其中坡耕地19.10km</w:t>
      </w:r>
      <w:r>
        <w:rPr>
          <w:vertAlign w:val="superscript"/>
        </w:rPr>
        <w:t>2</w:t>
      </w:r>
      <w:r>
        <w:t>。区内总人口3.59万人，人口密度172人/km</w:t>
      </w:r>
      <w:r>
        <w:rPr>
          <w:vertAlign w:val="superscript"/>
        </w:rPr>
        <w:t>2</w:t>
      </w:r>
      <w:r>
        <w:t>，区域主导产业是农业旅游，经济社会发展水平较高。该区水土流失面积42.63km</w:t>
      </w:r>
      <w:r>
        <w:rPr>
          <w:vertAlign w:val="superscript"/>
        </w:rPr>
        <w:t>2</w:t>
      </w:r>
      <w:r>
        <w:t>，水土流失面积比20.37%，区内水土流失分布较广，水土流失敏感程度高。</w:t>
      </w:r>
    </w:p>
    <w:p>
      <w:pPr>
        <w:pStyle w:val="4"/>
        <w:ind w:firstLine="643"/>
      </w:pPr>
      <w:r>
        <w:rPr>
          <w:rFonts w:hint="eastAsia"/>
        </w:rPr>
        <w:t>二、</w:t>
      </w:r>
      <w:r>
        <w:t>生态保护</w:t>
      </w:r>
      <w:r>
        <w:rPr>
          <w:rFonts w:hint="eastAsia"/>
        </w:rPr>
        <w:t>重要性</w:t>
      </w:r>
      <w:r>
        <w:t>评价</w:t>
      </w:r>
    </w:p>
    <w:p>
      <w:r>
        <w:rPr>
          <w:rFonts w:hint="eastAsia"/>
        </w:rPr>
        <w:t>生态保护重要性评价包括生态系统服务功能重要性评价和生态敏感性评价，分为生态保护极重要区、重要区和一般区。结合万盛经开区生态环境实际情况，区内生态保护极重要区面积</w:t>
      </w:r>
      <w:r>
        <w:t>128.52平方千米，占全域土地总面积的22.89%，主要分布在</w:t>
      </w:r>
      <w:r>
        <w:rPr>
          <w:rFonts w:hint="eastAsia"/>
        </w:rPr>
        <w:t>黑山山脉</w:t>
      </w:r>
      <w:r>
        <w:t>、九锅箐森林公园、</w:t>
      </w:r>
      <w:r>
        <w:rPr>
          <w:rFonts w:hint="eastAsia"/>
        </w:rPr>
        <w:t>丛林镇山脉</w:t>
      </w:r>
      <w:r>
        <w:t>区域，是大娄山生态屏障的主要部分，包括水源涵养、水土保持、生物多样性维护极重要区、石漠化、水土流失极敏感区，自然保护区、</w:t>
      </w:r>
      <w:r>
        <w:rPr>
          <w:rFonts w:hint="eastAsia"/>
        </w:rPr>
        <w:t>森林</w:t>
      </w:r>
      <w:r>
        <w:t>公园，主要涉及的行政区有</w:t>
      </w:r>
      <w:r>
        <w:rPr>
          <w:rFonts w:hint="eastAsia"/>
        </w:rPr>
        <w:t>黑山镇、</w:t>
      </w:r>
      <w:r>
        <w:t>丛林镇</w:t>
      </w:r>
      <w:r>
        <w:rPr>
          <w:rFonts w:hint="eastAsia"/>
        </w:rPr>
        <w:t>，</w:t>
      </w:r>
      <w:r>
        <w:t>石林镇、青年镇、关坝镇</w:t>
      </w:r>
      <w:r>
        <w:rPr>
          <w:rFonts w:hint="eastAsia"/>
        </w:rPr>
        <w:t>小部分区域。生态保护重要区</w:t>
      </w:r>
      <w:r>
        <w:t>413.88平方千米，占全域土地总面积的73.71%，</w:t>
      </w:r>
      <w:r>
        <w:rPr>
          <w:rFonts w:hint="eastAsia"/>
        </w:rPr>
        <w:t>分布在</w:t>
      </w:r>
      <w:r>
        <w:t>万盛经开区</w:t>
      </w:r>
      <w:r>
        <w:rPr>
          <w:rFonts w:hint="eastAsia"/>
        </w:rPr>
        <w:t>东部</w:t>
      </w:r>
      <w:r>
        <w:t>以为的其他区域。生态保护一般重要区19.08平方千米，占全域总面积的3.4%，主要分布在城镇建成区。</w:t>
      </w:r>
    </w:p>
    <w:p>
      <w:pPr>
        <w:pStyle w:val="4"/>
        <w:ind w:firstLine="643"/>
      </w:pPr>
      <w:r>
        <w:rPr>
          <w:rFonts w:hint="eastAsia"/>
        </w:rPr>
        <w:t>三、生态</w:t>
      </w:r>
      <w:r>
        <w:t>退化</w:t>
      </w:r>
      <w:r>
        <w:rPr>
          <w:rFonts w:hint="eastAsia"/>
        </w:rPr>
        <w:t>识别</w:t>
      </w:r>
    </w:p>
    <w:p>
      <w:r>
        <w:rPr>
          <w:rFonts w:hint="eastAsia"/>
        </w:rPr>
        <w:t>全区整体状况较好，生态系统功能退化类型以未退化和轻度退化为主。区域退化力中及以下面积约占总规模的</w:t>
      </w:r>
      <w:r>
        <w:t>1/4。主要分布在万盛街道、青年镇、关坝镇、东林街道等区域。</w:t>
      </w:r>
      <w:r>
        <w:rPr>
          <w:rFonts w:hint="eastAsia"/>
        </w:rPr>
        <w:t>土壤侵蚀、林草植被缺失，是退化的主要原因。</w:t>
      </w:r>
    </w:p>
    <w:p>
      <w:pPr>
        <w:pStyle w:val="4"/>
        <w:ind w:firstLine="643"/>
      </w:pPr>
      <w:r>
        <w:rPr>
          <w:rFonts w:hint="eastAsia"/>
        </w:rPr>
        <w:t>四、恢复力</w:t>
      </w:r>
      <w:r>
        <w:t>评价</w:t>
      </w:r>
    </w:p>
    <w:p>
      <w:r>
        <w:rPr>
          <w:rFonts w:hint="eastAsia"/>
        </w:rPr>
        <w:t>区内黑山山脉</w:t>
      </w:r>
      <w:r>
        <w:t>、九锅箐</w:t>
      </w:r>
      <w:r>
        <w:rPr>
          <w:rFonts w:hint="eastAsia"/>
        </w:rPr>
        <w:t>森林公园区域土壤肥力及光热条件较好，植被覆盖度较高，人类活动相对较少，生态恢复力较好；南桐镇、关东镇</w:t>
      </w:r>
      <w:r>
        <w:t>、关坝镇、</w:t>
      </w:r>
      <w:r>
        <w:rPr>
          <w:rFonts w:hint="eastAsia"/>
        </w:rPr>
        <w:t>丛林镇采煤沉陷区和</w:t>
      </w:r>
      <w:r>
        <w:t>城市建设</w:t>
      </w:r>
      <w:r>
        <w:rPr>
          <w:rFonts w:hint="eastAsia"/>
        </w:rPr>
        <w:t>区，城镇和农业空间切割，生态空间完整性较差，区域生态恢复力一般。生态系恢复力功能重要性整体呈现出东高西低的空间特征。</w:t>
      </w:r>
    </w:p>
    <w:p>
      <w:pPr>
        <w:pStyle w:val="4"/>
        <w:ind w:firstLine="643"/>
      </w:pPr>
      <w:r>
        <w:rPr>
          <w:rFonts w:hint="eastAsia"/>
        </w:rPr>
        <w:t>五、生态</w:t>
      </w:r>
      <w:r>
        <w:t>系统</w:t>
      </w:r>
      <w:r>
        <w:rPr>
          <w:rFonts w:hint="eastAsia"/>
        </w:rPr>
        <w:t>质量</w:t>
      </w:r>
      <w:r>
        <w:t>评价</w:t>
      </w:r>
    </w:p>
    <w:p>
      <w:r>
        <w:rPr>
          <w:rFonts w:hint="eastAsia"/>
        </w:rPr>
        <w:t>因矿区生态环境修复，</w:t>
      </w:r>
      <w:r>
        <w:t>湿地生态建设、</w:t>
      </w:r>
      <w:r>
        <w:rPr>
          <w:rFonts w:hint="eastAsia"/>
        </w:rPr>
        <w:t>高标准农田建设等</w:t>
      </w:r>
      <w:r>
        <w:t>系列</w:t>
      </w:r>
      <w:r>
        <w:rPr>
          <w:rFonts w:hint="eastAsia"/>
        </w:rPr>
        <w:t>生态修复治理和保护工程的实施，万盛</w:t>
      </w:r>
      <w:r>
        <w:t>生态</w:t>
      </w:r>
      <w:r>
        <w:rPr>
          <w:rFonts w:hint="eastAsia"/>
        </w:rPr>
        <w:t>系统</w:t>
      </w:r>
      <w:r>
        <w:t>质量相对</w:t>
      </w:r>
      <w:r>
        <w:rPr>
          <w:rFonts w:hint="eastAsia"/>
        </w:rPr>
        <w:t>较好</w:t>
      </w:r>
      <w:r>
        <w:t>，</w:t>
      </w:r>
      <w:r>
        <w:rPr>
          <w:rFonts w:hint="eastAsia"/>
        </w:rPr>
        <w:t>整体处于</w:t>
      </w:r>
      <w:r>
        <w:t>较高以上，</w:t>
      </w:r>
      <w:r>
        <w:rPr>
          <w:rFonts w:hint="eastAsia"/>
        </w:rPr>
        <w:t>占全域</w:t>
      </w:r>
      <w:r>
        <w:t>的</w:t>
      </w:r>
      <w:r>
        <w:rPr>
          <w:rFonts w:hint="eastAsia"/>
        </w:rPr>
        <w:t>92</w:t>
      </w:r>
      <w:r>
        <w:t>%以上，其中</w:t>
      </w:r>
      <w:r>
        <w:rPr>
          <w:rFonts w:hint="eastAsia"/>
        </w:rPr>
        <w:t>生态系统</w:t>
      </w:r>
      <w:r>
        <w:t>质量较低</w:t>
      </w:r>
      <w:r>
        <w:rPr>
          <w:rFonts w:hint="eastAsia"/>
        </w:rPr>
        <w:t>、</w:t>
      </w:r>
      <w:r>
        <w:t>低区域主要分布在南桐镇</w:t>
      </w:r>
      <w:r>
        <w:rPr>
          <w:rFonts w:hint="eastAsia"/>
        </w:rPr>
        <w:t>金龙村</w:t>
      </w:r>
      <w:r>
        <w:t>、城区</w:t>
      </w:r>
      <w:r>
        <w:rPr>
          <w:rFonts w:hint="eastAsia"/>
        </w:rPr>
        <w:t>及煤电工业园等</w:t>
      </w:r>
      <w:r>
        <w:t>区域，占</w:t>
      </w:r>
      <w:r>
        <w:rPr>
          <w:rFonts w:hint="eastAsia"/>
        </w:rPr>
        <w:t>全域面积2.17%。</w:t>
      </w:r>
    </w:p>
    <w:p>
      <w:pPr>
        <w:pStyle w:val="3"/>
        <w:rPr>
          <w:shd w:val="clear" w:color="auto" w:fill="FFFFFF"/>
        </w:rPr>
      </w:pPr>
      <w:bookmarkStart w:id="8" w:name="_Toc139015076"/>
      <w:r>
        <w:rPr>
          <w:rFonts w:hint="eastAsia"/>
          <w:shd w:val="clear" w:color="auto" w:fill="FFFFFF"/>
        </w:rPr>
        <w:t>第三节</w:t>
      </w:r>
      <w:r>
        <w:rPr>
          <w:shd w:val="clear" w:color="auto" w:fill="FFFFFF"/>
        </w:rPr>
        <w:t xml:space="preserve"> 问题识别</w:t>
      </w:r>
      <w:bookmarkEnd w:id="8"/>
    </w:p>
    <w:p>
      <w:pPr>
        <w:pStyle w:val="4"/>
        <w:ind w:firstLine="643"/>
      </w:pPr>
      <w:r>
        <w:rPr>
          <w:rFonts w:hint="eastAsia"/>
        </w:rPr>
        <w:t>一、生态空间现状问题</w:t>
      </w:r>
    </w:p>
    <w:p>
      <w:pPr>
        <w:pStyle w:val="5"/>
        <w:ind w:firstLine="602"/>
      </w:pPr>
      <w:r>
        <w:rPr>
          <w:rFonts w:hint="eastAsia"/>
        </w:rPr>
        <w:t>1、</w:t>
      </w:r>
      <w:r>
        <w:t>采煤沉陷区范围较大，影响周边生态安全</w:t>
      </w:r>
      <w:r>
        <w:rPr>
          <w:rFonts w:hint="eastAsia"/>
        </w:rPr>
        <w:t>。</w:t>
      </w:r>
    </w:p>
    <w:p>
      <w:r>
        <w:rPr>
          <w:rFonts w:hint="eastAsia"/>
        </w:rPr>
        <w:t>区内采煤沉陷区面积为</w:t>
      </w:r>
      <w:r>
        <w:t>179.8</w:t>
      </w:r>
      <w:r>
        <w:rPr>
          <w:rFonts w:hint="eastAsia"/>
        </w:rPr>
        <w:t>平方公里，占全域面积32.03%。一般沉陷区与重点沉陷区占比为7:3。采煤沉陷区面积大，占比高，呈“Y”字形，分布较为集中。</w:t>
      </w:r>
      <w:r>
        <w:t>矸石堆积松散，在暴雨作用等不利条件下可能发生滑塌并形成灾害。</w:t>
      </w:r>
    </w:p>
    <w:p>
      <w:bookmarkStart w:id="9" w:name="_Hlk126598343"/>
      <w:r>
        <w:rPr>
          <w:rFonts w:hint="eastAsia"/>
        </w:rPr>
        <w:t>现存关闭未治理矿山1</w:t>
      </w:r>
      <w:r>
        <w:t>.68</w:t>
      </w:r>
      <w:r>
        <w:rPr>
          <w:rFonts w:hint="eastAsia"/>
        </w:rPr>
        <w:t>平方公里，其中未治理历史遗留关闭矿山</w:t>
      </w:r>
      <w:r>
        <w:t>0.582</w:t>
      </w:r>
      <w:r>
        <w:rPr>
          <w:rFonts w:hint="eastAsia"/>
        </w:rPr>
        <w:t>平方公里</w:t>
      </w:r>
      <w:bookmarkEnd w:id="9"/>
      <w:r>
        <w:rPr>
          <w:rFonts w:hint="eastAsia"/>
        </w:rPr>
        <w:t>。</w:t>
      </w:r>
      <w:r>
        <w:t>主要分布在关坝镇、黑山镇、南桐镇、万东镇等乡镇。</w:t>
      </w:r>
    </w:p>
    <w:p>
      <w:pPr>
        <w:pStyle w:val="5"/>
        <w:ind w:firstLine="602"/>
      </w:pPr>
      <w:r>
        <w:rPr>
          <w:rFonts w:hint="eastAsia"/>
        </w:rPr>
        <w:t>2、</w:t>
      </w:r>
      <w:r>
        <w:t>林地质量较差，林地结构有待优化</w:t>
      </w:r>
      <w:r>
        <w:rPr>
          <w:rFonts w:hint="eastAsia"/>
        </w:rPr>
        <w:t>。</w:t>
      </w:r>
    </w:p>
    <w:p>
      <w:r>
        <w:rPr>
          <w:rFonts w:hint="eastAsia"/>
        </w:rPr>
        <w:t>全区林地面积</w:t>
      </w:r>
      <w:r>
        <w:t>366.62</w:t>
      </w:r>
      <w:r>
        <w:rPr>
          <w:rFonts w:hint="eastAsia"/>
        </w:rPr>
        <w:t>平方公里</w:t>
      </w:r>
      <w:r>
        <w:t>（国土三调），占国土面积的65.31%；2020年森林覆盖率达55.97%，周边区县仅次于武隆。</w:t>
      </w:r>
      <w:r>
        <w:rPr>
          <w:rFonts w:hint="eastAsia"/>
        </w:rPr>
        <w:t>主要以防护林和用材林为主，占比8</w:t>
      </w:r>
      <w:r>
        <w:t>9.12</w:t>
      </w:r>
      <w:r>
        <w:rPr>
          <w:rFonts w:hint="eastAsia"/>
        </w:rPr>
        <w:t>%。全区林地质量有待提升，林地质量以Ⅲ级为主，占全区林地面积的</w:t>
      </w:r>
      <w:r>
        <w:t>89%，主要在万盛经开区的东南部区域；Ⅳ级林地占比10%，主要分布在西北部，而Ⅱ级林地仅占10%</w:t>
      </w:r>
      <w:r>
        <w:rPr>
          <w:rFonts w:hint="eastAsia"/>
        </w:rPr>
        <w:t>，森林质量不高，易遭受病虫害和森林火灾的蔓延。林种结构单一。马尾松林面积为</w:t>
      </w:r>
      <w:r>
        <w:t>137.84平方公里，中龄林51.76平方公里，幼龄林6.28平方公里，幼中龄林比重大，低质低效林比重有扩大趋势</w:t>
      </w:r>
      <w:r>
        <w:rPr>
          <w:rFonts w:hint="eastAsia"/>
        </w:rPr>
        <w:t>，森林抵御外界干扰能力较弱。威胁生态安全。</w:t>
      </w:r>
      <w:r>
        <w:t xml:space="preserve"> </w:t>
      </w:r>
    </w:p>
    <w:p>
      <w:pPr>
        <w:pStyle w:val="5"/>
        <w:ind w:firstLine="602"/>
      </w:pPr>
      <w:r>
        <w:rPr>
          <w:rFonts w:hint="eastAsia"/>
        </w:rPr>
        <w:t>3、河流水环境亟待优化</w:t>
      </w:r>
    </w:p>
    <w:p>
      <w:pPr>
        <w:ind w:firstLine="602"/>
        <w:rPr>
          <w:rFonts w:ascii="方正仿宋_GBK" w:hAnsi="方正仿宋_GBK" w:cs="方正仿宋_GBK"/>
        </w:rPr>
      </w:pPr>
      <w:r>
        <w:rPr>
          <w:rFonts w:hint="eastAsia"/>
          <w:b/>
          <w:bCs/>
        </w:rPr>
        <w:t>部分次级河流存在水质污染。</w:t>
      </w:r>
      <w:r>
        <w:rPr>
          <w:rFonts w:hint="eastAsia"/>
        </w:rPr>
        <w:t>根据</w:t>
      </w:r>
      <w:r>
        <w:t>2020年地表水水质断面监测结果显示，部分河流断面存在污染。</w:t>
      </w:r>
      <w:r>
        <w:rPr>
          <w:rFonts w:hint="eastAsia"/>
        </w:rPr>
        <w:t>木洞河、南木河、洗布河、鱼田河等支流在断面监测中主要以二级、三级为主</w:t>
      </w:r>
      <w:r>
        <w:t>，</w:t>
      </w:r>
      <w:r>
        <w:rPr>
          <w:rFonts w:hint="eastAsia"/>
        </w:rPr>
        <w:t>超标物质主要为氨氮、磷、硫酸盐、氯化物、铁、锰等</w:t>
      </w:r>
      <w:r>
        <w:t>，</w:t>
      </w:r>
      <w:r>
        <w:rPr>
          <w:rFonts w:hint="eastAsia"/>
        </w:rPr>
        <w:t>主要由生活污水、工业废水处理率低，岸线植被退化导致土壤水土流失造成。溱溪河</w:t>
      </w:r>
      <w:r>
        <w:t>流域</w:t>
      </w:r>
      <w:r>
        <w:rPr>
          <w:rFonts w:hint="eastAsia"/>
        </w:rPr>
        <w:t>工业</w:t>
      </w:r>
      <w:r>
        <w:t>生产、居民点与农业生产活动对生态环境干扰较大</w:t>
      </w:r>
      <w:r>
        <w:rPr>
          <w:rFonts w:hint="eastAsia"/>
        </w:rPr>
        <w:t>，河道存在</w:t>
      </w:r>
      <w:r>
        <w:t>污染现象，</w:t>
      </w:r>
      <w:r>
        <w:rPr>
          <w:rFonts w:hint="eastAsia" w:ascii="方正仿宋_GBK" w:hAnsi="方正仿宋_GBK" w:cs="方正仿宋_GBK"/>
        </w:rPr>
        <w:t>未形成稳定的植物群落，湿地生境功能受到损害。</w:t>
      </w:r>
    </w:p>
    <w:p>
      <w:pPr>
        <w:pStyle w:val="4"/>
        <w:ind w:firstLine="643"/>
      </w:pPr>
      <w:r>
        <w:rPr>
          <w:rFonts w:hint="eastAsia"/>
        </w:rPr>
        <w:t>二、生活空间现状问题</w:t>
      </w:r>
    </w:p>
    <w:p>
      <w:pPr>
        <w:pStyle w:val="5"/>
        <w:ind w:firstLine="602"/>
      </w:pPr>
      <w:r>
        <w:t>1</w:t>
      </w:r>
      <w:r>
        <w:rPr>
          <w:rFonts w:hint="eastAsia"/>
        </w:rPr>
        <w:t>、城市</w:t>
      </w:r>
      <w:r>
        <w:t>韧性不足、城市生态品质有待提升</w:t>
      </w:r>
    </w:p>
    <w:p>
      <w:pPr>
        <w:ind w:firstLine="602"/>
      </w:pPr>
      <w:r>
        <w:rPr>
          <w:rFonts w:hint="eastAsia"/>
          <w:b/>
          <w:bCs/>
        </w:rPr>
        <w:t>岸线生态功能、景观不佳</w:t>
      </w:r>
      <w:r>
        <w:rPr>
          <w:rFonts w:hint="eastAsia"/>
        </w:rPr>
        <w:t>。区内</w:t>
      </w:r>
      <w:r>
        <w:t>14条河流，规划河道总长</w:t>
      </w:r>
      <w:r>
        <w:rPr>
          <w:rFonts w:hint="eastAsia"/>
        </w:rPr>
        <w:t>、</w:t>
      </w:r>
      <w:r>
        <w:t>201.36km，河道岸线总长412.642km，现状已建、在建治理岸线共计118段，治理岸线长度合计67.358km，均为防洪护岸工程。地灾治理岸线共计69段，地灾治理岸线长度合计22.910km，人工水道共计4段，人工水道岸线长度合计2.359km。不足总岸线长度的22%，岸线综合治理率不高。现状景观岸线仅5处，缺少亲水空间。</w:t>
      </w:r>
      <w:r>
        <w:rPr>
          <w:rFonts w:hint="eastAsia"/>
          <w:b/>
          <w:bCs/>
        </w:rPr>
        <w:t>沿线缺乏生态空间，难以维育健康完整的生态系统。</w:t>
      </w:r>
      <w:r>
        <w:rPr>
          <w:rFonts w:hint="eastAsia"/>
        </w:rPr>
        <w:t>生态河堤、洲滩等水路交错带既可以为水生动物提供饵料，也是水生动物重要产卵场所，同时发挥滞洪补枯、拦截污染物、保护水质等生态功能。但由于岸线硬化、沿江滩地耕作等原因，使得自然滩地较少，岸线生态功能降低。</w:t>
      </w:r>
    </w:p>
    <w:p>
      <w:pPr>
        <w:pStyle w:val="5"/>
        <w:ind w:firstLine="602"/>
      </w:pPr>
      <w:r>
        <w:rPr>
          <w:rFonts w:hint="eastAsia"/>
        </w:rPr>
        <w:t>2、工业产业发展</w:t>
      </w:r>
      <w:r>
        <w:t>，诱发大气污染等环境问题</w:t>
      </w:r>
      <w:r>
        <w:rPr>
          <w:rFonts w:hint="eastAsia"/>
        </w:rPr>
        <w:t>。</w:t>
      </w:r>
    </w:p>
    <w:p>
      <w:r>
        <w:rPr>
          <w:rFonts w:hint="eastAsia"/>
        </w:rPr>
        <w:t>作为主城都市区工业化主战场，全区燃煤消耗量和公路货运量较大，工业以煤电、化工、建材等高耗能高排放行业为主，大气复合污染问题叠加，二次污染加剧，细颗粒物进一步降低难度大，臭氧浓度有升高的趋势，缺乏有效控制手段。工业园区关坝组团是市级煤电化产业园，集聚较多火电、化工类企业，未来还将陆续引入，涉及危险化学品种类较多、数量较大，生产、贮存、运输环节环境风险问题突出，环境风险防范责任重大。工业固体废物堆场存在环境风险隐患，渝南循环经济项目、污水处理厂、垃圾中转站、通信基站、机械涂装等项目建设可能产生“邻避效应”。</w:t>
      </w:r>
    </w:p>
    <w:p>
      <w:pPr>
        <w:pStyle w:val="5"/>
        <w:ind w:firstLine="602"/>
      </w:pPr>
      <w:r>
        <w:rPr>
          <w:rFonts w:hint="eastAsia"/>
        </w:rPr>
        <w:t>3、</w:t>
      </w:r>
      <w:r>
        <w:t>城市污水</w:t>
      </w:r>
      <w:r>
        <w:rPr>
          <w:rFonts w:hint="eastAsia"/>
        </w:rPr>
        <w:t>配套</w:t>
      </w:r>
      <w:r>
        <w:t>设施不完善，存在</w:t>
      </w:r>
      <w:r>
        <w:rPr>
          <w:rFonts w:hint="eastAsia"/>
        </w:rPr>
        <w:t>水体</w:t>
      </w:r>
      <w:r>
        <w:t>污染现象</w:t>
      </w:r>
      <w:r>
        <w:rPr>
          <w:rFonts w:hint="eastAsia"/>
        </w:rPr>
        <w:t>。</w:t>
      </w:r>
    </w:p>
    <w:p>
      <w:r>
        <w:rPr>
          <w:rFonts w:hint="eastAsia"/>
        </w:rPr>
        <w:t>城镇污水管网不完善，尤其是老旧城区雨污合流、污水管网破损、雨污管网错接混接、污水支管不到户等问题依然存在。主要是区域内溱溪河</w:t>
      </w:r>
      <w:r>
        <w:t>流域</w:t>
      </w:r>
      <w:r>
        <w:rPr>
          <w:rFonts w:hint="eastAsia"/>
        </w:rPr>
        <w:t>。</w:t>
      </w:r>
    </w:p>
    <w:p>
      <w:pPr>
        <w:pStyle w:val="4"/>
        <w:ind w:firstLine="643"/>
      </w:pPr>
      <w:r>
        <w:rPr>
          <w:rFonts w:hint="eastAsia"/>
        </w:rPr>
        <w:t>三、生产空间现状问题</w:t>
      </w:r>
    </w:p>
    <w:p>
      <w:pPr>
        <w:pStyle w:val="5"/>
        <w:ind w:firstLine="602"/>
      </w:pPr>
      <w:r>
        <w:rPr>
          <w:rFonts w:hint="eastAsia"/>
        </w:rPr>
        <w:t>1、</w:t>
      </w:r>
      <w:r>
        <w:t>农村局部环境亟待优化</w:t>
      </w:r>
    </w:p>
    <w:p>
      <w:r>
        <w:rPr>
          <w:rFonts w:hint="eastAsia"/>
        </w:rPr>
        <w:t>万盛区现有耕地</w:t>
      </w:r>
      <w:r>
        <w:t>98.34平方公里</w:t>
      </w:r>
      <w:r>
        <w:rPr>
          <w:rFonts w:hint="eastAsia"/>
        </w:rPr>
        <w:t>，占全域面积的1</w:t>
      </w:r>
      <w:r>
        <w:t>7.52</w:t>
      </w:r>
      <w:r>
        <w:rPr>
          <w:rFonts w:hint="eastAsia"/>
        </w:rPr>
        <w:t>%</w:t>
      </w:r>
      <w:r>
        <w:t>，分布相对集中。主要分布在西部、中部的低山和槽谷区域</w:t>
      </w:r>
      <w:r>
        <w:rPr>
          <w:rFonts w:hint="eastAsia"/>
        </w:rPr>
        <w:t>。</w:t>
      </w:r>
      <w:r>
        <w:rPr>
          <w:rFonts w:hint="eastAsia"/>
          <w:b/>
          <w:bCs/>
        </w:rPr>
        <w:t>耕地质量较差</w:t>
      </w:r>
      <w:r>
        <w:rPr>
          <w:rFonts w:hint="eastAsia"/>
        </w:rPr>
        <w:t>。平均质量</w:t>
      </w:r>
      <w:r>
        <w:t>9.6等，84%为中等地</w:t>
      </w:r>
      <w:r>
        <w:rPr>
          <w:rFonts w:hint="eastAsia"/>
        </w:rPr>
        <w:t>，优质耕地分布不均，部分区域耕作强度过大，耕地地力透支严重。</w:t>
      </w:r>
      <w:r>
        <w:rPr>
          <w:rFonts w:hint="eastAsia"/>
          <w:b/>
          <w:bCs/>
        </w:rPr>
        <w:t>化肥和农药使用量高，存在面源污染</w:t>
      </w:r>
      <w:r>
        <w:rPr>
          <w:rFonts w:hint="eastAsia"/>
        </w:rPr>
        <w:t>。</w:t>
      </w:r>
      <w:r>
        <w:t>2020年，全区化肥使用量（纯量）7731吨，全区农药使用量137.9吨</w:t>
      </w:r>
      <w:r>
        <w:rPr>
          <w:rFonts w:hint="eastAsia"/>
        </w:rPr>
        <w:t>，容易造成水体富营养化，导致水质变差，水生生物死亡。受采煤、隧道开挖等建设活动，以及不合理的农作物生产管理的影响，耕地有退化加剧趋势。全区以山地和丘陵地貌为主，</w:t>
      </w:r>
      <w:r>
        <w:rPr>
          <w:rFonts w:hint="eastAsia"/>
          <w:b/>
          <w:bCs/>
        </w:rPr>
        <w:t>区内坡耕地分布较多，容易发生水土流失</w:t>
      </w:r>
      <w:r>
        <w:rPr>
          <w:rFonts w:hint="eastAsia"/>
        </w:rPr>
        <w:t>。</w:t>
      </w:r>
      <w:r>
        <w:t>25°以上耕地28.60平方公里</w:t>
      </w:r>
      <w:r>
        <w:rPr>
          <w:rFonts w:hint="eastAsia"/>
        </w:rPr>
        <w:t>，占耕地总量的</w:t>
      </w:r>
      <w:r>
        <w:t>29.08%</w:t>
      </w:r>
      <w:r>
        <w:rPr>
          <w:rFonts w:hint="eastAsia"/>
        </w:rPr>
        <w:t>，分布集中，主要分布在金桥镇、石林镇、关坝镇。</w:t>
      </w:r>
    </w:p>
    <w:p>
      <w:pPr>
        <w:pStyle w:val="5"/>
        <w:ind w:firstLine="602"/>
      </w:pPr>
      <w:r>
        <w:rPr>
          <w:rFonts w:hint="eastAsia"/>
        </w:rPr>
        <w:t>2、建设用地污染形成低效用地</w:t>
      </w:r>
    </w:p>
    <w:p>
      <w:r>
        <w:rPr>
          <w:rFonts w:hint="eastAsia"/>
        </w:rPr>
        <w:t>南桐镇</w:t>
      </w:r>
      <w:r>
        <w:t xml:space="preserve"> 501 村</w:t>
      </w:r>
      <w:r>
        <w:rPr>
          <w:rFonts w:hint="eastAsia"/>
        </w:rPr>
        <w:t>和美机械配件加工厂地块的土壤镍的含量、砷的含量超过了《土壤环境质量</w:t>
      </w:r>
      <w:r>
        <w:t xml:space="preserve"> 建设用地土壤污染风险管控标准（试行）》（GB 36600-2018）中第一类用地筛选值。</w:t>
      </w:r>
      <w:r>
        <w:rPr>
          <w:rFonts w:hint="eastAsia"/>
        </w:rPr>
        <w:t>环境质量不满足</w:t>
      </w:r>
      <w:r>
        <w:t>GB36600-2018 中第一类用地性质</w:t>
      </w:r>
      <w:r>
        <w:rPr>
          <w:rFonts w:hint="eastAsia"/>
        </w:rPr>
        <w:t>。</w:t>
      </w:r>
    </w:p>
    <w:p>
      <w:r>
        <w:rPr>
          <w:rFonts w:hint="eastAsia"/>
        </w:rPr>
        <w:t>原晋林机械厂铸件加工区部分土壤样品中关注污染物镍、苯并</w:t>
      </w:r>
      <w:r>
        <w:t>(a)芘、苯并(a)蒽、苯并(b)荧蒽、二苯并(ah)蒽、茆并(1,2,3-cd)芘、钒和锰的含量超过了《土壤环境质量建设用地土壤污染风险管控标准（试行)》(GB 36600-2018)中第一类用地筛选值或依据HJ25.3等标准计算的风险控制值，其中部分样品中的镍、钒、苯并(a)芘的含量超过了第一类用地管制值;部分样品中苯并(a)芘、苯并(b)荧蒽的含量超过了第二类用地筛选值。地表水样品中关注因子均满足《地表水环境质量标准》(GB3838-2002)等相关标准限</w:t>
      </w:r>
      <w:r>
        <w:rPr>
          <w:rFonts w:hint="eastAsia"/>
        </w:rPr>
        <w:t>值。</w:t>
      </w:r>
      <w:r>
        <w:t>土壤环境质量不满足GB36600-2018中第一类用地要求，也不满足第二类用地要求。</w:t>
      </w:r>
    </w:p>
    <w:p>
      <w:pPr>
        <w:pStyle w:val="3"/>
        <w:rPr>
          <w:shd w:val="clear" w:color="auto" w:fill="FFFFFF"/>
        </w:rPr>
      </w:pPr>
      <w:bookmarkStart w:id="10" w:name="_Toc139015077"/>
      <w:r>
        <w:rPr>
          <w:rFonts w:hint="eastAsia"/>
          <w:shd w:val="clear" w:color="auto" w:fill="FFFFFF"/>
        </w:rPr>
        <w:t>第四节 生态保护修复工作成效</w:t>
      </w:r>
      <w:bookmarkEnd w:id="10"/>
    </w:p>
    <w:p>
      <w:r>
        <w:rPr>
          <w:rFonts w:hint="eastAsia"/>
        </w:rPr>
        <w:t>万盛经开区深入学习贯彻习近平生态文明思想以及市委、市政府各项决策部署，高度重视生态保护修复工作，践行“绿水青山就是金山银山”的理念。“十三五”时期，万盛经开区生态保护修复全面加强，渝南大娄山重要生态屏障进一步筑牢，资源型城市绿色转型发展取得积极进展</w:t>
      </w:r>
    </w:p>
    <w:p>
      <w:pPr>
        <w:ind w:firstLine="602"/>
      </w:pPr>
      <w:r>
        <w:rPr>
          <w:rFonts w:hint="eastAsia"/>
          <w:b/>
          <w:bCs/>
        </w:rPr>
        <w:t>生态保护修复深入开展。</w:t>
      </w:r>
      <w:r>
        <w:rPr>
          <w:rFonts w:hint="eastAsia"/>
        </w:rPr>
        <w:t>划定生态保护红线面积</w:t>
      </w:r>
      <w:r>
        <w:t>95.82平方公里，占区域总面积的17.07％。</w:t>
      </w:r>
      <w:r>
        <w:rPr>
          <w:rFonts w:hint="eastAsia"/>
        </w:rPr>
        <w:t>已完成黑山自然保护区内3</w:t>
      </w:r>
      <w:r>
        <w:t>6</w:t>
      </w:r>
      <w:r>
        <w:rPr>
          <w:rFonts w:hint="eastAsia"/>
        </w:rPr>
        <w:t>个问题点位整改工作</w:t>
      </w:r>
      <w:r>
        <w:t>。积极推进采煤沉陷区生态修复，落实马达洞煤矿等35宗废弃地块复垦和生态修复，完成营造林任务24.4万亩，工矿废弃地复垦、植被恢复2.9万亩，森林覆盖率由53%提高至55.97%，绿色矿山建成比例达80%、居全市前列，入选国家首批采煤沉陷区综合治理试点地区，成功创建青山湖国家湿地公园。通过建设山水园林城市，城市建成区绿化覆</w:t>
      </w:r>
      <w:r>
        <w:rPr>
          <w:rFonts w:hint="eastAsia"/>
        </w:rPr>
        <w:t>盖率提高</w:t>
      </w:r>
      <w:r>
        <w:t>9个百分点并达到46.18%，人均公园绿地面积从11.19平方米提高到14.5平方米，新增城市公园24个，各类城市公园数量达到45个，居民离家五百米左右便能遇到公园，初步实现“推窗见绿、出门见景、四季见花”。</w:t>
      </w:r>
    </w:p>
    <w:p>
      <w:pPr>
        <w:ind w:firstLine="602"/>
      </w:pPr>
      <w:bookmarkStart w:id="11" w:name="_Hlk124437769"/>
      <w:r>
        <w:rPr>
          <w:rFonts w:hint="eastAsia"/>
          <w:b/>
          <w:bCs/>
        </w:rPr>
        <w:t>绿色转型发展取得新成效</w:t>
      </w:r>
      <w:bookmarkEnd w:id="11"/>
      <w:r>
        <w:rPr>
          <w:rFonts w:hint="eastAsia"/>
          <w:b/>
          <w:bCs/>
        </w:rPr>
        <w:t>。</w:t>
      </w:r>
      <w:r>
        <w:rPr>
          <w:rFonts w:hint="eastAsia"/>
        </w:rPr>
        <w:t>开展《万盛经开区国土空间分区规划（</w:t>
      </w:r>
      <w:r>
        <w:t>2021-2035年）》编制工作，与綦江区一同配合完成《綦江万盛一体化国土空间规划》，共同打造主城都市区南向支点城市，推动生态系统一体化保护。优化全区国土空间开发布局，严格执行生态保护红线、永久基本农田、城镇开发边界三条控制线。编制完成“三线一单”，划定全区环境分类管控单元，明确环境管控单元具体生态环境准入要求。积极融入成渝地区双城经济圈建设，明确“一城三区一极”战略目标 ，加快打造成渝地区双城经济圈宜居宜业宜游的品质示范样板。深度融入全市“一区两群</w:t>
      </w:r>
      <w:r>
        <w:rPr>
          <w:rFonts w:hint="eastAsia"/>
        </w:rPr>
        <w:t>”协调发展，配合市级部门初步完成《綦万一体化发展规划》编制，开展两地协商，初步形成生态共建共保、污染协同治理机制。配合供给侧结构性改革，加快推动产业转型升级，完成关闭落后产能和污染治理不达标企业</w:t>
      </w:r>
      <w:r>
        <w:t>18家，全部关停境内煤矿，为全面绿色转型、推动高质量发展奠定了良好基础，战略性新兴产业占比由3%提升至31%，旅游业增加值占GDP比重达20.2%。煤电化工、新型材料、装备制造等支柱产业清洁生产水平显著提高，电子信息、医药健康等战略性新兴产业培育壮大，绿色循环低碳发展良好，资源枯竭城市转型绩效考核获评全国7个优秀城市</w:t>
      </w:r>
      <w:r>
        <w:rPr>
          <w:rFonts w:hint="eastAsia"/>
        </w:rPr>
        <w:t>之一。</w:t>
      </w:r>
    </w:p>
    <w:p>
      <w:pPr>
        <w:ind w:firstLine="602"/>
      </w:pPr>
      <w:r>
        <w:rPr>
          <w:rFonts w:hint="eastAsia"/>
          <w:b/>
          <w:bCs/>
        </w:rPr>
        <w:t>生态文明体制改革纵深推进。</w:t>
      </w:r>
      <w:r>
        <w:rPr>
          <w:rFonts w:hint="eastAsia"/>
        </w:rPr>
        <w:t>强化源头严防</w:t>
      </w:r>
      <w:r>
        <w:t>,以“三线一单”为经济绿色转型发展提供战略支撑，引导产业科学合理布局，严格执行环保准入制度，</w:t>
      </w:r>
      <w:r>
        <w:rPr>
          <w:rFonts w:hint="eastAsia"/>
        </w:rPr>
        <w:t>把好项目选址关，</w:t>
      </w:r>
      <w:r>
        <w:t>进一步强化建设项目环保“三同时”监管</w:t>
      </w:r>
      <w:r>
        <w:rPr>
          <w:rFonts w:hint="eastAsia"/>
        </w:rPr>
        <w:t>，规范建设项目落实环境保护工作，切实提高了建设项目环保“三同时”执行率。</w:t>
      </w:r>
      <w:r>
        <w:t>以第二次全国污染源普查数据为基础，建立了重点污染源档案和污染源信息数据库，形成了智慧环保体系。实施后果严惩，健全生态环境保护责任追究制度和生态环境损害赔偿制度，建立完善调查取证、行政处罚、移送司法机关、损害修复、鉴定评估等工作机制，强化环境</w:t>
      </w:r>
      <w:r>
        <w:rPr>
          <w:rFonts w:hint="eastAsia"/>
        </w:rPr>
        <w:t>执法力度，按照分片区监管和双随机抽查管理等方式，结合全员、全年、全过程练兵，全面提高生态环境执法监管效能，严厉打击各类生态环境违法行为，进一步优化环保考核奖惩制度，落实逗硬管理，产生震慑作用，生态文明治理能力和执法监管水平明显提升。</w:t>
      </w:r>
    </w:p>
    <w:p>
      <w:pPr>
        <w:pStyle w:val="3"/>
        <w:rPr>
          <w:shd w:val="clear" w:color="auto" w:fill="FFFFFF"/>
        </w:rPr>
      </w:pPr>
      <w:bookmarkStart w:id="12" w:name="_Toc139015078"/>
      <w:r>
        <w:rPr>
          <w:rFonts w:hint="eastAsia"/>
          <w:shd w:val="clear" w:color="auto" w:fill="FFFFFF"/>
        </w:rPr>
        <w:t>第五节 机遇与挑战</w:t>
      </w:r>
      <w:bookmarkEnd w:id="12"/>
    </w:p>
    <w:p>
      <w:pPr>
        <w:pStyle w:val="4"/>
        <w:ind w:firstLine="643"/>
      </w:pPr>
      <w:r>
        <w:rPr>
          <w:rFonts w:hint="eastAsia"/>
        </w:rPr>
        <w:t>一、重大机遇</w:t>
      </w:r>
    </w:p>
    <w:p>
      <w:pPr>
        <w:ind w:firstLine="602"/>
      </w:pPr>
      <w:r>
        <w:rPr>
          <w:rFonts w:hint="eastAsia"/>
          <w:b/>
          <w:bCs/>
        </w:rPr>
        <w:t>生态文明建设迈入新时期。</w:t>
      </w:r>
      <w:r>
        <w:rPr>
          <w:rFonts w:hint="eastAsia"/>
        </w:rPr>
        <w:t>以习近平同志为核心的党中央高度重视生态文明建设，习近平总书记更是多次发表重要讲话、作出重要指示批示，国土空间生态修复已上升为国家发展战略高度，政策与资金扶持力度不断加大。二十大提出，要坚持山水林田湖草沙一体化保护和系统治理，统筹产业结构调整、污染治理、生态保护、应对气候变化，协同推进降碳、减污、扩绿、增长，推进生态优先、节约集约、绿色低碳发展，对万盛经开区推进生态保护修复工作提出新的要求。</w:t>
      </w:r>
    </w:p>
    <w:p>
      <w:pPr>
        <w:ind w:firstLine="602"/>
      </w:pPr>
      <w:r>
        <w:rPr>
          <w:rFonts w:hint="eastAsia"/>
          <w:b/>
          <w:bCs/>
        </w:rPr>
        <w:t>重庆全面加强生态保护修复。</w:t>
      </w:r>
      <w:r>
        <w:rPr>
          <w:rFonts w:hint="eastAsia"/>
        </w:rPr>
        <w:t>重庆坚持“共抓大保护、不搞大开发”，深入贯彻习近平总书记对重庆提出的营造良好政治生态，坚持“两点”定位、“两地”“两高”目标、发挥“三个作用”和推动成渝地区双城经济圈建设等重要指示要求，坚决扛起在全国生态安全格局中肩负的重大责任，强化“上游意识”，把修复长江生态环境摆在压倒性位置，全力筑牢长江上游重要生态屏障，加快建设山清水秀美丽之地，为万盛经开区新区推进生态保护修复工作指明新的方向。</w:t>
      </w:r>
    </w:p>
    <w:p>
      <w:pPr>
        <w:ind w:firstLine="602"/>
        <w:rPr>
          <w:b/>
          <w:bCs/>
        </w:rPr>
      </w:pPr>
      <w:r>
        <w:rPr>
          <w:rFonts w:hint="eastAsia"/>
          <w:b/>
          <w:bCs/>
        </w:rPr>
        <w:t>重庆市发展新战略促进生态环境保护。</w:t>
      </w:r>
      <w:r>
        <w:rPr>
          <w:rFonts w:hint="eastAsia"/>
        </w:rPr>
        <w:t>习近平总书记对重庆提出生态的重要指示要求，赋予重庆新的重大使命，明确要求更加注重从全局谋划一域、以一域服务全局，这为具有独特体制优势的万盛带来重大机遇，有利于万盛在推进新时代西部大开发、共建“一带一路”和长江经济带绿色发展中展现表率、体现担当、发挥作用。重庆市“一区两群”协调发展机制不断健全，加快打造产业升级引领区、科技创新策源地、改革开放试验田、高品质生活宜居区为万盛明确了坚持绿色发展夯实生态本底的发展方向。特别是打造重庆主城都市区重要支点城市，加快綦江</w:t>
      </w:r>
      <w:r>
        <w:t>-万盛一体化、同城化、融合化“三化”步伐，共同打造百平方公里、百万人口的“双百”现代化城市，有助于万盛发挥优势、彰显特色、协同发展，加快建设全国资源型城市转型发展示范区。</w:t>
      </w:r>
    </w:p>
    <w:p>
      <w:pPr>
        <w:pStyle w:val="4"/>
        <w:ind w:firstLine="643"/>
      </w:pPr>
      <w:r>
        <w:rPr>
          <w:rFonts w:hint="eastAsia"/>
        </w:rPr>
        <w:t>二、面临挑战</w:t>
      </w:r>
    </w:p>
    <w:p>
      <w:pPr>
        <w:ind w:firstLine="602"/>
      </w:pPr>
      <w:r>
        <w:rPr>
          <w:rFonts w:hint="eastAsia"/>
          <w:b/>
          <w:bCs/>
        </w:rPr>
        <w:t>生态环境仍然面临局部风险。</w:t>
      </w:r>
      <w:r>
        <w:rPr>
          <w:rFonts w:hint="eastAsia"/>
        </w:rPr>
        <w:t>生态环境质量持续改善的成效还不稳固。生态环境保护结构性、根源性、趋势性压力总体上尚未根本缓解，生产与生活、城市与农村、工业与交通环境污染交织，污染物减排空间收窄，环境质量进一步改善难度增大。綦江</w:t>
      </w:r>
      <w:r>
        <w:t>-万盛一体化发展战略带来永城南桐新城启动建设，大规模开发活动带来一系列生态环境问题需要提前应对。全区工业发展集聚在三大组团中，产业分布差异明显，生态环境问题区域性特征突出，需要妥善解决。东部区域旅游业高度发达，保护与开发的矛盾始终存在</w:t>
      </w:r>
      <w:r>
        <w:rPr>
          <w:rFonts w:hint="eastAsia"/>
        </w:rPr>
        <w:t>。</w:t>
      </w:r>
    </w:p>
    <w:p>
      <w:pPr>
        <w:ind w:firstLine="602"/>
      </w:pPr>
      <w:r>
        <w:rPr>
          <w:rFonts w:hint="eastAsia"/>
          <w:b/>
          <w:bCs/>
        </w:rPr>
        <w:t>开发建设与生态保护协调能力有待提升。</w:t>
      </w:r>
      <w:r>
        <w:rPr>
          <w:rFonts w:hint="eastAsia"/>
        </w:rPr>
        <w:t>工业园区关坝组团是市级煤电化产业园，集聚较多火电、化工类企业，涉及危险化学品种类较多、数量较大，生产、贮存、运输环节环境风险问题突出，环境风险防范责任重大。工业固体废物堆场存在环境风险隐患。森林防火、林木病虫害防控的任务依然艰巨，生物多样性保护责任重大。</w:t>
      </w:r>
    </w:p>
    <w:p>
      <w:pPr>
        <w:ind w:firstLine="602"/>
      </w:pPr>
      <w:r>
        <w:rPr>
          <w:rFonts w:hint="eastAsia"/>
          <w:b/>
          <w:bCs/>
        </w:rPr>
        <w:t>生态修复治理能力亟需增强。</w:t>
      </w:r>
      <w:r>
        <w:rPr>
          <w:rFonts w:hint="eastAsia"/>
        </w:rPr>
        <w:t>生态保护修复治理技术和模式单一，生态治理能力现代化水平有待提升。生态保护修复激励措施亟需完善，社会资本参与积极性有待提高。生态产品价值实现、生态保护补偿、投融资、公众参与等保护修复制度不健全，一时之间难以形成政策合力。物联网、大数据、云计算、人工智能等现代信息技术的应用仍处于起步阶段，难以满足发展需求，生态保护修复领域监测监管能力有待加强。</w:t>
      </w:r>
      <w:r>
        <w:br w:type="page"/>
      </w:r>
    </w:p>
    <w:p>
      <w:pPr>
        <w:pStyle w:val="2"/>
        <w:jc w:val="center"/>
      </w:pPr>
      <w:bookmarkStart w:id="13" w:name="_Toc139015079"/>
      <w:r>
        <w:rPr>
          <w:rFonts w:hint="eastAsia"/>
        </w:rPr>
        <w:t>第二章</w:t>
      </w:r>
      <w:r>
        <w:t xml:space="preserve"> </w:t>
      </w:r>
      <w:r>
        <w:rPr>
          <w:rFonts w:hint="eastAsia"/>
        </w:rPr>
        <w:t>总体要求</w:t>
      </w:r>
      <w:bookmarkEnd w:id="13"/>
    </w:p>
    <w:p>
      <w:pPr>
        <w:pStyle w:val="3"/>
      </w:pPr>
      <w:bookmarkStart w:id="14" w:name="_Toc139015080"/>
      <w:r>
        <w:rPr>
          <w:rFonts w:hint="eastAsia"/>
          <w:shd w:val="clear" w:color="auto" w:fill="FFFFFF"/>
        </w:rPr>
        <w:t>第一节</w:t>
      </w:r>
      <w:r>
        <w:rPr>
          <w:rFonts w:hint="eastAsia"/>
        </w:rPr>
        <w:t xml:space="preserve"> </w:t>
      </w:r>
      <w:r>
        <w:t>规划定位</w:t>
      </w:r>
      <w:bookmarkEnd w:id="14"/>
    </w:p>
    <w:p>
      <w:pPr>
        <w:rPr>
          <w:snapToGrid w:val="0"/>
        </w:rPr>
      </w:pPr>
      <w:r>
        <w:rPr>
          <w:rFonts w:hint="eastAsia"/>
          <w:snapToGrid w:val="0"/>
        </w:rPr>
        <w:t>本规划是万盛经开区国土空间规划体系的重要专项规划，是落实万盛经开区区国土空间总体规划生态保护格局和自然资源保护目标，统筹全区生态保护修复工作的行动纲领，是编制全区生态修复年度计划、生态保护修复项目方案，开展生态保护修复活动的法定依据。万盛经开区全域范围内与国土空间生态保护修复相关的行为，应符合本规划。</w:t>
      </w:r>
    </w:p>
    <w:p>
      <w:pPr>
        <w:pStyle w:val="3"/>
      </w:pPr>
      <w:bookmarkStart w:id="15" w:name="_Toc139015081"/>
      <w:r>
        <w:rPr>
          <w:rFonts w:hint="eastAsia"/>
          <w:shd w:val="clear" w:color="auto" w:fill="FFFFFF"/>
        </w:rPr>
        <w:t>第二节</w:t>
      </w:r>
      <w:r>
        <w:rPr>
          <w:rFonts w:hint="eastAsia"/>
        </w:rPr>
        <w:t xml:space="preserve"> </w:t>
      </w:r>
      <w:r>
        <w:t>指导思想</w:t>
      </w:r>
      <w:bookmarkEnd w:id="15"/>
    </w:p>
    <w:p>
      <w:pPr>
        <w:rPr>
          <w:snapToGrid w:val="0"/>
        </w:rPr>
      </w:pPr>
      <w:r>
        <w:rPr>
          <w:rFonts w:hint="eastAsia"/>
          <w:snapToGrid w:val="0"/>
        </w:rPr>
        <w:t>以习近平新时代中国特色社会主义思想为指导，全面贯彻党的十九大、二十大等历次全会精神，牢固树立和践行绿水青山就是金山银山的理念，奋力书写建设山清水秀美丽之地新篇章。突出“双碳目标”，聚焦加快发展方式绿色转型。聚焦筑牢长江上游重要生态屏障，坚持山水林田湖草沙一体化保护和系统治理，加快实施重要生态系统保护和修复重大工程，加强自然保护地和生态保护红线监管，实施生物多样性保护，守好长江上游生态屏障的最后一道关口。坚决贯彻“共抓大保护、不搞大开发”方针，统筹山水林田湖草沙系统治理，以全面提升生态安全屏障质量、促进生态系统良性循环和永续利用为目标，以统筹山水林田湖草沙一体化保护和修复为主线，科学布局和组织实施重要生态系统保护和修复重点工程，着力提高生态系统自我修复能力，显著提升生态系统功能，推进形成生态保护和修复新格局，有力推动大娄山生态屏障和山清水秀美丽万盛建设，为万盛经开区绿色转型、生态旅游、产城景一体化的高品质公园城市夯实绿色基底。</w:t>
      </w:r>
    </w:p>
    <w:p>
      <w:pPr>
        <w:pStyle w:val="3"/>
        <w:rPr>
          <w:shd w:val="clear" w:color="auto" w:fill="FFFFFF"/>
        </w:rPr>
      </w:pPr>
      <w:bookmarkStart w:id="16" w:name="_Toc121341660"/>
      <w:bookmarkStart w:id="17" w:name="_Toc139015082"/>
      <w:r>
        <w:rPr>
          <w:rFonts w:hint="eastAsia"/>
          <w:shd w:val="clear" w:color="auto" w:fill="FFFFFF"/>
        </w:rPr>
        <w:t xml:space="preserve">第三节 </w:t>
      </w:r>
      <w:r>
        <w:rPr>
          <w:shd w:val="clear" w:color="auto" w:fill="FFFFFF"/>
        </w:rPr>
        <w:t>基本原则</w:t>
      </w:r>
      <w:bookmarkEnd w:id="16"/>
      <w:bookmarkEnd w:id="17"/>
    </w:p>
    <w:p>
      <w:pPr>
        <w:ind w:firstLine="602"/>
        <w:rPr>
          <w:snapToGrid w:val="0"/>
        </w:rPr>
      </w:pPr>
      <w:r>
        <w:rPr>
          <w:rFonts w:hint="eastAsia"/>
          <w:b/>
          <w:bCs/>
          <w:snapToGrid w:val="0"/>
        </w:rPr>
        <w:t>坚持保护优先，绿色发展。</w:t>
      </w:r>
      <w:r>
        <w:rPr>
          <w:rFonts w:hint="eastAsia"/>
          <w:snapToGrid w:val="0"/>
        </w:rPr>
        <w:t>秉持山水林田湖草生命共同体理念，牢固树立尊重自然、顺应自然、保护自然的基本原则，严守生态自然生态边界，以自然恢复为主，人工辅助修复为辅，统筹全域全要素系统修复，促进人与自然和谐共生。</w:t>
      </w:r>
    </w:p>
    <w:p>
      <w:pPr>
        <w:ind w:firstLine="602"/>
        <w:rPr>
          <w:snapToGrid w:val="0"/>
        </w:rPr>
      </w:pPr>
      <w:r>
        <w:rPr>
          <w:rFonts w:hint="eastAsia"/>
          <w:b/>
          <w:bCs/>
          <w:snapToGrid w:val="0"/>
        </w:rPr>
        <w:t>坚持统筹谋划，协同推进。</w:t>
      </w:r>
      <w:r>
        <w:rPr>
          <w:rFonts w:hint="eastAsia"/>
          <w:snapToGrid w:val="0"/>
        </w:rPr>
        <w:t>维护城市生态安全格局，发挥空间规划对于资源配置的先导、主导、统筹作用，引导生态系统向良性循环方向发展；坚持共同抓好大保护，协同推进大治理，全方位、全地域、全要素、全过程统筹推进生态保护修复工作。</w:t>
      </w:r>
    </w:p>
    <w:p>
      <w:pPr>
        <w:ind w:firstLine="602"/>
        <w:rPr>
          <w:snapToGrid w:val="0"/>
        </w:rPr>
      </w:pPr>
      <w:r>
        <w:rPr>
          <w:rFonts w:hint="eastAsia"/>
          <w:b/>
          <w:bCs/>
          <w:snapToGrid w:val="0"/>
        </w:rPr>
        <w:t>坚持目标引领，问题导向。</w:t>
      </w:r>
      <w:r>
        <w:rPr>
          <w:rFonts w:hint="eastAsia"/>
          <w:snapToGrid w:val="0"/>
        </w:rPr>
        <w:t>准确识别突出生态问题，科学预判主要生态风险，以资源环境承载能力为基础，因地制宜制定合理的修复目标，针对性采取基于自然的生态修复模式和保障措施。</w:t>
      </w:r>
    </w:p>
    <w:p>
      <w:pPr>
        <w:ind w:firstLine="602"/>
        <w:rPr>
          <w:snapToGrid w:val="0"/>
        </w:rPr>
      </w:pPr>
      <w:r>
        <w:rPr>
          <w:rFonts w:hint="eastAsia"/>
          <w:b/>
          <w:bCs/>
          <w:snapToGrid w:val="0"/>
        </w:rPr>
        <w:t>坚持机制创新，共同参与。</w:t>
      </w:r>
      <w:r>
        <w:rPr>
          <w:rFonts w:hint="eastAsia"/>
          <w:snapToGrid w:val="0"/>
        </w:rPr>
        <w:t>创新生态保护修复体制机制和适应性生态管理模式，构建以政府为主导、企业为主体、社会组织和公众共同参与的生态修复体系，探索多渠道、多元化的投融资模式，形成长效的实施保障机制。</w:t>
      </w:r>
    </w:p>
    <w:p>
      <w:pPr>
        <w:pStyle w:val="3"/>
        <w:rPr>
          <w:shd w:val="clear" w:color="auto" w:fill="FFFFFF"/>
        </w:rPr>
      </w:pPr>
      <w:bookmarkStart w:id="18" w:name="_Toc139015083"/>
      <w:bookmarkStart w:id="19" w:name="_Toc82622508"/>
      <w:bookmarkStart w:id="20" w:name="_Toc82622338"/>
      <w:r>
        <w:rPr>
          <w:rFonts w:hint="eastAsia"/>
          <w:shd w:val="clear" w:color="auto" w:fill="FFFFFF"/>
        </w:rPr>
        <w:t>第四节</w:t>
      </w:r>
      <w:r>
        <w:rPr>
          <w:shd w:val="clear" w:color="auto" w:fill="FFFFFF"/>
        </w:rPr>
        <w:t xml:space="preserve"> </w:t>
      </w:r>
      <w:r>
        <w:rPr>
          <w:rFonts w:hint="eastAsia"/>
          <w:shd w:val="clear" w:color="auto" w:fill="FFFFFF"/>
        </w:rPr>
        <w:t>规划目标</w:t>
      </w:r>
      <w:bookmarkEnd w:id="18"/>
      <w:bookmarkEnd w:id="19"/>
      <w:bookmarkEnd w:id="20"/>
    </w:p>
    <w:p>
      <w:pPr>
        <w:ind w:firstLine="602"/>
      </w:pPr>
      <w:r>
        <w:rPr>
          <w:rFonts w:hint="eastAsia"/>
          <w:b/>
          <w:bCs/>
        </w:rPr>
        <w:t>总体目标。</w:t>
      </w:r>
      <w:r>
        <w:rPr>
          <w:rFonts w:hint="eastAsia"/>
        </w:rPr>
        <w:t>深入贯彻落实习近平生态文明思想，基于自然的解决方案，统筹山水林田湖草沙一体化保护修复，保持山水生态的原真性和完整性，建立健全生态保护修复体制机制。以筑牢大娄山生态屏障为导向，立足大娄山区水源涵养与生物多样性保护功能区，以黑山自然保护区为重点，推进自然保护地能力建设，连通生态廊道，建设生态网络，加强生态多样性保护；大力推进水土流失综合治理、土地综合整治、矿山生态修复、采煤沉陷区综合治理，加强野生动植物栖息地保护修复，提升生态系统质量和稳定性，推进生物多样性优先区、示范区建设。打造绿色转型、生态旅游、产城景一体化的高品质公园城市。</w:t>
      </w:r>
    </w:p>
    <w:p>
      <w:pPr>
        <w:ind w:firstLine="602"/>
      </w:pPr>
      <w:r>
        <w:rPr>
          <w:rFonts w:hint="eastAsia"/>
          <w:b/>
          <w:bCs/>
        </w:rPr>
        <w:t>分期目标。至</w:t>
      </w:r>
      <w:r>
        <w:rPr>
          <w:b/>
          <w:bCs/>
        </w:rPr>
        <w:t>2025年</w:t>
      </w:r>
      <w:r>
        <w:rPr>
          <w:rFonts w:hint="eastAsia"/>
        </w:rPr>
        <w:t>，森林覆盖率</w:t>
      </w:r>
      <w:r>
        <w:t>60%，青山湖国家湿地公园、五步河、南木河、养生河、丛林河、孝子河、刘家河、小河、溱溪河等流域水生态水环境持续改善；完成金桥镇、南桐镇、万东镇、黑山镇历史遗留矿山生态修复，完成3.5万亩国家储备林建设，1.5万亩森林质量提升，把万盛经开区打造成为成渝地区双城经济圈高品质生活区、全国资源型城市转型发展示范区，山清水秀美丽万盛建设取得明显成效，资源型城市绿色转型发展取得新进展。</w:t>
      </w:r>
      <w:r>
        <w:rPr>
          <w:rFonts w:hint="eastAsia"/>
          <w:b/>
          <w:bCs/>
        </w:rPr>
        <w:t>至</w:t>
      </w:r>
      <w:r>
        <w:rPr>
          <w:b/>
          <w:bCs/>
        </w:rPr>
        <w:t>2035年</w:t>
      </w:r>
      <w:r>
        <w:rPr>
          <w:rFonts w:hint="eastAsia"/>
        </w:rPr>
        <w:t>，动态管理森林覆盖率</w:t>
      </w:r>
      <w:r>
        <w:t>60</w:t>
      </w:r>
      <w:r>
        <w:rPr>
          <w:rFonts w:hint="eastAsia"/>
        </w:rPr>
        <w:t>%</w:t>
      </w:r>
      <w:r>
        <w:t>，完成鲤鱼河流域、箐溪河、天星河、板辽湖水库水生态水环境持续改善工作，</w:t>
      </w:r>
      <w:r>
        <w:rPr>
          <w:rFonts w:hint="eastAsia"/>
        </w:rPr>
        <w:t>构筑关坝工业园区环境防护屏障，重庆渝南大娄山重要生态屏障全面筑牢，基本实现治理能力和体系现代化，人民群众对生态环境满意度显著提高，城乡颜值更高、气质更佳，山清水秀美丽万盛基本建成。</w:t>
      </w:r>
      <w:bookmarkStart w:id="21" w:name="_Toc82622509"/>
      <w:bookmarkStart w:id="22" w:name="_Toc82622339"/>
    </w:p>
    <w:p>
      <w:pPr>
        <w:ind w:firstLine="602"/>
      </w:pPr>
      <w:r>
        <w:rPr>
          <w:rFonts w:hint="eastAsia"/>
          <w:b/>
          <w:bCs/>
        </w:rPr>
        <w:t>指标体系</w:t>
      </w:r>
      <w:bookmarkEnd w:id="21"/>
      <w:bookmarkEnd w:id="22"/>
      <w:r>
        <w:rPr>
          <w:rFonts w:hint="eastAsia"/>
          <w:b/>
          <w:bCs/>
        </w:rPr>
        <w:t>。</w:t>
      </w:r>
      <w:r>
        <w:rPr>
          <w:rFonts w:hint="eastAsia"/>
        </w:rPr>
        <w:t>基于指标的可实现、可量化、可考核、可监管的要求，结合各相关部门的具体工作，确定万盛经开区国土空间生态修复指标为</w:t>
      </w:r>
      <w:r>
        <w:t>15项，其中生态保护类8项，生态修复类7项。</w:t>
      </w:r>
    </w:p>
    <w:p>
      <w:pPr>
        <w:adjustRightInd w:val="0"/>
        <w:snapToGrid w:val="0"/>
        <w:spacing w:line="360" w:lineRule="auto"/>
        <w:ind w:firstLine="560"/>
        <w:jc w:val="center"/>
        <w:rPr>
          <w:rFonts w:ascii="Times New Roman" w:hAnsi="Times New Roman" w:eastAsia="方正仿宋_GBK" w:cs="Times New Roman"/>
          <w:sz w:val="32"/>
          <w:szCs w:val="32"/>
        </w:rPr>
      </w:pPr>
      <w:r>
        <w:rPr>
          <w:rFonts w:ascii="Times New Roman" w:hAnsi="Times New Roman" w:eastAsia="方正黑体_GBK" w:cs="Times New Roman"/>
          <w:sz w:val="28"/>
          <w:szCs w:val="28"/>
        </w:rPr>
        <w:t xml:space="preserve">表1 </w:t>
      </w:r>
      <w:r>
        <w:rPr>
          <w:rFonts w:hint="eastAsia" w:ascii="Times New Roman" w:hAnsi="Times New Roman" w:eastAsia="方正黑体_GBK" w:cs="Times New Roman"/>
          <w:sz w:val="28"/>
          <w:szCs w:val="28"/>
        </w:rPr>
        <w:t>万盛经开</w:t>
      </w:r>
      <w:r>
        <w:rPr>
          <w:rFonts w:ascii="Times New Roman" w:hAnsi="Times New Roman" w:eastAsia="方正黑体_GBK" w:cs="Times New Roman"/>
          <w:sz w:val="28"/>
          <w:szCs w:val="28"/>
        </w:rPr>
        <w:t>区国土空间生态保护修复规划目标表</w:t>
      </w:r>
    </w:p>
    <w:tbl>
      <w:tblPr>
        <w:tblStyle w:val="24"/>
        <w:tblW w:w="0" w:type="auto"/>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84"/>
        <w:gridCol w:w="2093"/>
        <w:gridCol w:w="1418"/>
        <w:gridCol w:w="992"/>
        <w:gridCol w:w="992"/>
        <w:gridCol w:w="992"/>
        <w:gridCol w:w="1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shd w:val="clear" w:color="auto" w:fill="auto"/>
            <w:vAlign w:val="center"/>
          </w:tcPr>
          <w:p>
            <w:pPr>
              <w:spacing w:line="319" w:lineRule="auto"/>
              <w:ind w:firstLine="0" w:firstLineChars="0"/>
              <w:outlineLvl w:val="7"/>
              <w:rPr>
                <w:rFonts w:asciiTheme="majorHAnsi" w:hAnsiTheme="majorHAnsi" w:cstheme="majorBidi"/>
                <w:sz w:val="22"/>
                <w:szCs w:val="22"/>
              </w:rPr>
            </w:pPr>
            <w:bookmarkStart w:id="23" w:name="_Hlk124526767"/>
            <w:r>
              <w:rPr>
                <w:rFonts w:hint="eastAsia" w:asciiTheme="majorHAnsi" w:hAnsiTheme="majorHAnsi" w:cstheme="majorBidi"/>
                <w:sz w:val="22"/>
                <w:szCs w:val="22"/>
              </w:rPr>
              <w:t>序号</w:t>
            </w:r>
          </w:p>
        </w:tc>
        <w:tc>
          <w:tcPr>
            <w:tcW w:w="884"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类别</w:t>
            </w:r>
          </w:p>
        </w:tc>
        <w:tc>
          <w:tcPr>
            <w:tcW w:w="2093"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指标名称</w:t>
            </w:r>
          </w:p>
        </w:tc>
        <w:tc>
          <w:tcPr>
            <w:tcW w:w="1418"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单位</w:t>
            </w:r>
          </w:p>
        </w:tc>
        <w:tc>
          <w:tcPr>
            <w:tcW w:w="992"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属性</w:t>
            </w:r>
          </w:p>
        </w:tc>
        <w:tc>
          <w:tcPr>
            <w:tcW w:w="992"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2020年</w:t>
            </w:r>
          </w:p>
        </w:tc>
        <w:tc>
          <w:tcPr>
            <w:tcW w:w="992"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2025年</w:t>
            </w:r>
          </w:p>
        </w:tc>
        <w:tc>
          <w:tcPr>
            <w:tcW w:w="1015"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2035年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1</w:t>
            </w:r>
          </w:p>
        </w:tc>
        <w:tc>
          <w:tcPr>
            <w:tcW w:w="884" w:type="dxa"/>
            <w:vMerge w:val="restart"/>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生态修复</w:t>
            </w:r>
          </w:p>
        </w:tc>
        <w:tc>
          <w:tcPr>
            <w:tcW w:w="2093"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历史遗留和关闭矿山生态修复面积</w:t>
            </w:r>
          </w:p>
        </w:tc>
        <w:tc>
          <w:tcPr>
            <w:tcW w:w="1418"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公顷</w:t>
            </w:r>
          </w:p>
        </w:tc>
        <w:tc>
          <w:tcPr>
            <w:tcW w:w="992"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约束性</w:t>
            </w:r>
          </w:p>
        </w:tc>
        <w:tc>
          <w:tcPr>
            <w:tcW w:w="992"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w:t>
            </w:r>
          </w:p>
        </w:tc>
        <w:tc>
          <w:tcPr>
            <w:tcW w:w="992"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63</w:t>
            </w:r>
          </w:p>
        </w:tc>
        <w:tc>
          <w:tcPr>
            <w:tcW w:w="1015"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2</w:t>
            </w:r>
          </w:p>
        </w:tc>
        <w:tc>
          <w:tcPr>
            <w:tcW w:w="884" w:type="dxa"/>
            <w:vMerge w:val="continue"/>
            <w:shd w:val="clear" w:color="auto" w:fill="auto"/>
            <w:vAlign w:val="center"/>
          </w:tcPr>
          <w:p>
            <w:pPr>
              <w:spacing w:line="319" w:lineRule="auto"/>
              <w:ind w:firstLine="0" w:firstLineChars="0"/>
              <w:outlineLvl w:val="7"/>
              <w:rPr>
                <w:rFonts w:asciiTheme="majorHAnsi" w:hAnsiTheme="majorHAnsi" w:cstheme="majorBidi"/>
                <w:sz w:val="22"/>
                <w:szCs w:val="22"/>
              </w:rPr>
            </w:pPr>
          </w:p>
        </w:tc>
        <w:tc>
          <w:tcPr>
            <w:tcW w:w="2093"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新增水土流失综合治理面积</w:t>
            </w:r>
          </w:p>
        </w:tc>
        <w:tc>
          <w:tcPr>
            <w:tcW w:w="1418"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平方公里</w:t>
            </w:r>
          </w:p>
        </w:tc>
        <w:tc>
          <w:tcPr>
            <w:tcW w:w="992"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预期性</w:t>
            </w:r>
          </w:p>
        </w:tc>
        <w:tc>
          <w:tcPr>
            <w:tcW w:w="992"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w:t>
            </w:r>
          </w:p>
        </w:tc>
        <w:tc>
          <w:tcPr>
            <w:tcW w:w="992"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5</w:t>
            </w:r>
            <w:r>
              <w:rPr>
                <w:rFonts w:asciiTheme="majorHAnsi" w:hAnsiTheme="majorHAnsi" w:cstheme="majorBidi"/>
                <w:sz w:val="22"/>
                <w:szCs w:val="22"/>
              </w:rPr>
              <w:t>0</w:t>
            </w:r>
          </w:p>
        </w:tc>
        <w:tc>
          <w:tcPr>
            <w:tcW w:w="1015"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asciiTheme="majorHAnsi" w:hAnsiTheme="majorHAnsi" w:cstheme="majorBidi"/>
                <w:sz w:val="22"/>
                <w:szCs w:val="22"/>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asciiTheme="majorHAnsi" w:hAnsiTheme="majorHAnsi" w:cstheme="majorBidi"/>
                <w:sz w:val="22"/>
                <w:szCs w:val="22"/>
              </w:rPr>
              <w:t>3</w:t>
            </w:r>
          </w:p>
        </w:tc>
        <w:tc>
          <w:tcPr>
            <w:tcW w:w="884" w:type="dxa"/>
            <w:vMerge w:val="continue"/>
            <w:shd w:val="clear" w:color="auto" w:fill="auto"/>
            <w:vAlign w:val="center"/>
          </w:tcPr>
          <w:p>
            <w:pPr>
              <w:spacing w:line="319" w:lineRule="auto"/>
              <w:ind w:firstLine="0" w:firstLineChars="0"/>
              <w:outlineLvl w:val="7"/>
              <w:rPr>
                <w:rFonts w:asciiTheme="majorHAnsi" w:hAnsiTheme="majorHAnsi" w:cstheme="majorBidi"/>
                <w:sz w:val="22"/>
                <w:szCs w:val="22"/>
              </w:rPr>
            </w:pPr>
          </w:p>
        </w:tc>
        <w:tc>
          <w:tcPr>
            <w:tcW w:w="2093"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森林质量精准提升</w:t>
            </w:r>
          </w:p>
        </w:tc>
        <w:tc>
          <w:tcPr>
            <w:tcW w:w="1418"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万亩</w:t>
            </w:r>
          </w:p>
        </w:tc>
        <w:tc>
          <w:tcPr>
            <w:tcW w:w="992"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预期性</w:t>
            </w:r>
          </w:p>
        </w:tc>
        <w:tc>
          <w:tcPr>
            <w:tcW w:w="992"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w:t>
            </w:r>
          </w:p>
        </w:tc>
        <w:tc>
          <w:tcPr>
            <w:tcW w:w="992"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1.5</w:t>
            </w:r>
          </w:p>
        </w:tc>
        <w:tc>
          <w:tcPr>
            <w:tcW w:w="1015"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asciiTheme="majorHAnsi" w:hAnsiTheme="majorHAnsi" w:cstheme="majorBidi"/>
                <w:sz w:val="22"/>
                <w:szCs w:val="22"/>
              </w:rPr>
              <w:t>4</w:t>
            </w:r>
          </w:p>
        </w:tc>
        <w:tc>
          <w:tcPr>
            <w:tcW w:w="884" w:type="dxa"/>
            <w:vMerge w:val="continue"/>
            <w:shd w:val="clear" w:color="auto" w:fill="auto"/>
            <w:vAlign w:val="center"/>
          </w:tcPr>
          <w:p>
            <w:pPr>
              <w:spacing w:line="319" w:lineRule="auto"/>
              <w:ind w:firstLine="0" w:firstLineChars="0"/>
              <w:outlineLvl w:val="7"/>
              <w:rPr>
                <w:rFonts w:asciiTheme="majorHAnsi" w:hAnsiTheme="majorHAnsi" w:cstheme="majorBidi"/>
                <w:sz w:val="22"/>
                <w:szCs w:val="22"/>
              </w:rPr>
            </w:pPr>
          </w:p>
        </w:tc>
        <w:tc>
          <w:tcPr>
            <w:tcW w:w="2093"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有害生物控制率</w:t>
            </w:r>
          </w:p>
        </w:tc>
        <w:tc>
          <w:tcPr>
            <w:tcW w:w="1418"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w:t>
            </w:r>
          </w:p>
        </w:tc>
        <w:tc>
          <w:tcPr>
            <w:tcW w:w="992"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预期性</w:t>
            </w:r>
          </w:p>
        </w:tc>
        <w:tc>
          <w:tcPr>
            <w:tcW w:w="992"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w:t>
            </w:r>
          </w:p>
        </w:tc>
        <w:tc>
          <w:tcPr>
            <w:tcW w:w="992"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40</w:t>
            </w:r>
          </w:p>
        </w:tc>
        <w:tc>
          <w:tcPr>
            <w:tcW w:w="1015"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asciiTheme="majorHAnsi" w:hAnsiTheme="majorHAnsi" w:cstheme="majorBidi"/>
                <w:sz w:val="22"/>
                <w:szCs w:val="22"/>
              </w:rPr>
              <w:t>5</w:t>
            </w:r>
          </w:p>
        </w:tc>
        <w:tc>
          <w:tcPr>
            <w:tcW w:w="884" w:type="dxa"/>
            <w:vMerge w:val="continue"/>
            <w:shd w:val="clear" w:color="auto" w:fill="auto"/>
            <w:vAlign w:val="center"/>
          </w:tcPr>
          <w:p>
            <w:pPr>
              <w:spacing w:line="319" w:lineRule="auto"/>
              <w:ind w:firstLine="0" w:firstLineChars="0"/>
              <w:outlineLvl w:val="7"/>
              <w:rPr>
                <w:rFonts w:asciiTheme="majorHAnsi" w:hAnsiTheme="majorHAnsi" w:cstheme="majorBidi"/>
                <w:sz w:val="22"/>
                <w:szCs w:val="22"/>
              </w:rPr>
            </w:pPr>
          </w:p>
        </w:tc>
        <w:tc>
          <w:tcPr>
            <w:tcW w:w="2093"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 xml:space="preserve">高标准农田建设面积 </w:t>
            </w:r>
          </w:p>
        </w:tc>
        <w:tc>
          <w:tcPr>
            <w:tcW w:w="1418"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 xml:space="preserve">万亩 </w:t>
            </w:r>
          </w:p>
        </w:tc>
        <w:tc>
          <w:tcPr>
            <w:tcW w:w="992"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 xml:space="preserve">预期性 </w:t>
            </w:r>
          </w:p>
        </w:tc>
        <w:tc>
          <w:tcPr>
            <w:tcW w:w="992"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w:t>
            </w:r>
          </w:p>
        </w:tc>
        <w:tc>
          <w:tcPr>
            <w:tcW w:w="992"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14.5</w:t>
            </w:r>
          </w:p>
        </w:tc>
        <w:tc>
          <w:tcPr>
            <w:tcW w:w="1015"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asciiTheme="majorHAnsi" w:hAnsiTheme="majorHAnsi" w:cstheme="majorBidi"/>
                <w:sz w:val="22"/>
                <w:szCs w:val="22"/>
              </w:rPr>
              <w:t>6</w:t>
            </w:r>
          </w:p>
        </w:tc>
        <w:tc>
          <w:tcPr>
            <w:tcW w:w="884" w:type="dxa"/>
            <w:vMerge w:val="continue"/>
            <w:shd w:val="clear" w:color="auto" w:fill="auto"/>
            <w:vAlign w:val="center"/>
          </w:tcPr>
          <w:p>
            <w:pPr>
              <w:spacing w:line="319" w:lineRule="auto"/>
              <w:ind w:firstLine="0" w:firstLineChars="0"/>
              <w:outlineLvl w:val="7"/>
              <w:rPr>
                <w:rFonts w:asciiTheme="majorHAnsi" w:hAnsiTheme="majorHAnsi" w:cstheme="majorBidi"/>
                <w:sz w:val="22"/>
                <w:szCs w:val="22"/>
              </w:rPr>
            </w:pPr>
          </w:p>
        </w:tc>
        <w:tc>
          <w:tcPr>
            <w:tcW w:w="2093"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污染地块安全利用率</w:t>
            </w:r>
          </w:p>
        </w:tc>
        <w:tc>
          <w:tcPr>
            <w:tcW w:w="1418"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w:t>
            </w:r>
          </w:p>
        </w:tc>
        <w:tc>
          <w:tcPr>
            <w:tcW w:w="992"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约束性</w:t>
            </w:r>
          </w:p>
        </w:tc>
        <w:tc>
          <w:tcPr>
            <w:tcW w:w="992"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95</w:t>
            </w:r>
          </w:p>
        </w:tc>
        <w:tc>
          <w:tcPr>
            <w:tcW w:w="992"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95</w:t>
            </w:r>
          </w:p>
        </w:tc>
        <w:tc>
          <w:tcPr>
            <w:tcW w:w="1015"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asciiTheme="majorHAnsi" w:hAnsiTheme="majorHAnsi" w:cstheme="majorBidi"/>
                <w:sz w:val="22"/>
                <w:szCs w:val="22"/>
              </w:rPr>
              <w:t>7</w:t>
            </w:r>
          </w:p>
        </w:tc>
        <w:tc>
          <w:tcPr>
            <w:tcW w:w="884" w:type="dxa"/>
            <w:vMerge w:val="continue"/>
            <w:shd w:val="clear" w:color="auto" w:fill="auto"/>
            <w:vAlign w:val="center"/>
          </w:tcPr>
          <w:p>
            <w:pPr>
              <w:spacing w:line="319" w:lineRule="auto"/>
              <w:ind w:firstLine="0" w:firstLineChars="0"/>
              <w:outlineLvl w:val="7"/>
              <w:rPr>
                <w:rFonts w:asciiTheme="majorHAnsi" w:hAnsiTheme="majorHAnsi" w:cstheme="majorBidi"/>
                <w:sz w:val="22"/>
                <w:szCs w:val="22"/>
              </w:rPr>
            </w:pPr>
          </w:p>
        </w:tc>
        <w:tc>
          <w:tcPr>
            <w:tcW w:w="2093"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人均公园绿地面积</w:t>
            </w:r>
          </w:p>
        </w:tc>
        <w:tc>
          <w:tcPr>
            <w:tcW w:w="1418"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平方米</w:t>
            </w:r>
          </w:p>
        </w:tc>
        <w:tc>
          <w:tcPr>
            <w:tcW w:w="992"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预期性</w:t>
            </w:r>
          </w:p>
        </w:tc>
        <w:tc>
          <w:tcPr>
            <w:tcW w:w="992"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asciiTheme="majorHAnsi" w:hAnsiTheme="majorHAnsi" w:cstheme="majorBidi"/>
                <w:sz w:val="22"/>
                <w:szCs w:val="22"/>
              </w:rPr>
              <w:t>14.51</w:t>
            </w:r>
          </w:p>
        </w:tc>
        <w:tc>
          <w:tcPr>
            <w:tcW w:w="992"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15</w:t>
            </w:r>
          </w:p>
        </w:tc>
        <w:tc>
          <w:tcPr>
            <w:tcW w:w="1015"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1</w:t>
            </w:r>
          </w:p>
        </w:tc>
        <w:tc>
          <w:tcPr>
            <w:tcW w:w="884" w:type="dxa"/>
            <w:vMerge w:val="restart"/>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生态保护</w:t>
            </w:r>
          </w:p>
        </w:tc>
        <w:tc>
          <w:tcPr>
            <w:tcW w:w="2093"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生态保护红线面积</w:t>
            </w:r>
          </w:p>
        </w:tc>
        <w:tc>
          <w:tcPr>
            <w:tcW w:w="1418"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万平方公里</w:t>
            </w:r>
          </w:p>
        </w:tc>
        <w:tc>
          <w:tcPr>
            <w:tcW w:w="992"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约束性</w:t>
            </w:r>
          </w:p>
        </w:tc>
        <w:tc>
          <w:tcPr>
            <w:tcW w:w="992"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asciiTheme="majorHAnsi" w:hAnsiTheme="majorHAnsi" w:cstheme="majorBidi"/>
                <w:sz w:val="22"/>
                <w:szCs w:val="22"/>
              </w:rPr>
              <w:t>94.79</w:t>
            </w:r>
          </w:p>
        </w:tc>
        <w:tc>
          <w:tcPr>
            <w:tcW w:w="992"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asciiTheme="majorHAnsi" w:hAnsiTheme="majorHAnsi" w:cstheme="majorBidi"/>
                <w:sz w:val="22"/>
                <w:szCs w:val="22"/>
              </w:rPr>
              <w:t>94.79</w:t>
            </w:r>
          </w:p>
        </w:tc>
        <w:tc>
          <w:tcPr>
            <w:tcW w:w="1015"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94.79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2</w:t>
            </w:r>
          </w:p>
        </w:tc>
        <w:tc>
          <w:tcPr>
            <w:tcW w:w="884" w:type="dxa"/>
            <w:vMerge w:val="continue"/>
            <w:shd w:val="clear" w:color="auto" w:fill="auto"/>
            <w:vAlign w:val="center"/>
          </w:tcPr>
          <w:p>
            <w:pPr>
              <w:spacing w:line="319" w:lineRule="auto"/>
              <w:ind w:firstLine="0" w:firstLineChars="0"/>
              <w:outlineLvl w:val="7"/>
              <w:rPr>
                <w:rFonts w:asciiTheme="majorHAnsi" w:hAnsiTheme="majorHAnsi" w:cstheme="majorBidi"/>
                <w:sz w:val="22"/>
                <w:szCs w:val="22"/>
              </w:rPr>
            </w:pPr>
          </w:p>
        </w:tc>
        <w:tc>
          <w:tcPr>
            <w:tcW w:w="2093"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重要江河湖泊水功能区水质达标率</w:t>
            </w:r>
          </w:p>
        </w:tc>
        <w:tc>
          <w:tcPr>
            <w:tcW w:w="1418"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w:t>
            </w:r>
          </w:p>
        </w:tc>
        <w:tc>
          <w:tcPr>
            <w:tcW w:w="992"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约束性</w:t>
            </w:r>
          </w:p>
        </w:tc>
        <w:tc>
          <w:tcPr>
            <w:tcW w:w="992"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asciiTheme="majorHAnsi" w:hAnsiTheme="majorHAnsi" w:cstheme="majorBidi"/>
                <w:sz w:val="22"/>
                <w:szCs w:val="22"/>
              </w:rPr>
              <w:t>　</w:t>
            </w:r>
          </w:p>
        </w:tc>
        <w:tc>
          <w:tcPr>
            <w:tcW w:w="992"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asciiTheme="majorHAnsi" w:hAnsiTheme="majorHAnsi" w:cstheme="majorBidi"/>
                <w:sz w:val="22"/>
                <w:szCs w:val="22"/>
              </w:rPr>
              <w:t>　98</w:t>
            </w:r>
          </w:p>
        </w:tc>
        <w:tc>
          <w:tcPr>
            <w:tcW w:w="1015"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asciiTheme="majorHAnsi" w:hAnsiTheme="majorHAnsi" w:cstheme="majorBidi"/>
                <w:sz w:val="22"/>
                <w:szCs w:val="22"/>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3</w:t>
            </w:r>
          </w:p>
        </w:tc>
        <w:tc>
          <w:tcPr>
            <w:tcW w:w="884" w:type="dxa"/>
            <w:vMerge w:val="continue"/>
            <w:shd w:val="clear" w:color="auto" w:fill="auto"/>
            <w:vAlign w:val="center"/>
          </w:tcPr>
          <w:p>
            <w:pPr>
              <w:spacing w:line="319" w:lineRule="auto"/>
              <w:ind w:firstLine="0" w:firstLineChars="0"/>
              <w:outlineLvl w:val="7"/>
              <w:rPr>
                <w:rFonts w:asciiTheme="majorHAnsi" w:hAnsiTheme="majorHAnsi" w:cstheme="majorBidi"/>
                <w:sz w:val="22"/>
                <w:szCs w:val="22"/>
              </w:rPr>
            </w:pPr>
          </w:p>
        </w:tc>
        <w:tc>
          <w:tcPr>
            <w:tcW w:w="2093"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森林覆盖率</w:t>
            </w:r>
          </w:p>
        </w:tc>
        <w:tc>
          <w:tcPr>
            <w:tcW w:w="1418"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w:t>
            </w:r>
          </w:p>
        </w:tc>
        <w:tc>
          <w:tcPr>
            <w:tcW w:w="992"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约束性</w:t>
            </w:r>
          </w:p>
        </w:tc>
        <w:tc>
          <w:tcPr>
            <w:tcW w:w="992"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55.97</w:t>
            </w:r>
          </w:p>
        </w:tc>
        <w:tc>
          <w:tcPr>
            <w:tcW w:w="992"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60</w:t>
            </w:r>
          </w:p>
        </w:tc>
        <w:tc>
          <w:tcPr>
            <w:tcW w:w="1015"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4</w:t>
            </w:r>
          </w:p>
        </w:tc>
        <w:tc>
          <w:tcPr>
            <w:tcW w:w="884" w:type="dxa"/>
            <w:vMerge w:val="continue"/>
            <w:shd w:val="clear" w:color="auto" w:fill="auto"/>
            <w:vAlign w:val="center"/>
          </w:tcPr>
          <w:p>
            <w:pPr>
              <w:spacing w:line="319" w:lineRule="auto"/>
              <w:ind w:firstLine="0" w:firstLineChars="0"/>
              <w:outlineLvl w:val="7"/>
              <w:rPr>
                <w:rFonts w:asciiTheme="majorHAnsi" w:hAnsiTheme="majorHAnsi" w:cstheme="majorBidi"/>
                <w:sz w:val="22"/>
                <w:szCs w:val="22"/>
              </w:rPr>
            </w:pPr>
          </w:p>
        </w:tc>
        <w:tc>
          <w:tcPr>
            <w:tcW w:w="2093"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天然林保有量</w:t>
            </w:r>
          </w:p>
        </w:tc>
        <w:tc>
          <w:tcPr>
            <w:tcW w:w="1418"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万公顷</w:t>
            </w:r>
          </w:p>
        </w:tc>
        <w:tc>
          <w:tcPr>
            <w:tcW w:w="992"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约束性</w:t>
            </w:r>
          </w:p>
        </w:tc>
        <w:tc>
          <w:tcPr>
            <w:tcW w:w="992"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2.01</w:t>
            </w:r>
          </w:p>
        </w:tc>
        <w:tc>
          <w:tcPr>
            <w:tcW w:w="992"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2.01</w:t>
            </w:r>
          </w:p>
        </w:tc>
        <w:tc>
          <w:tcPr>
            <w:tcW w:w="1015"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5</w:t>
            </w:r>
          </w:p>
        </w:tc>
        <w:tc>
          <w:tcPr>
            <w:tcW w:w="884" w:type="dxa"/>
            <w:vMerge w:val="continue"/>
            <w:shd w:val="clear" w:color="auto" w:fill="auto"/>
            <w:vAlign w:val="center"/>
          </w:tcPr>
          <w:p>
            <w:pPr>
              <w:spacing w:line="319" w:lineRule="auto"/>
              <w:ind w:firstLine="0" w:firstLineChars="0"/>
              <w:outlineLvl w:val="7"/>
              <w:rPr>
                <w:rFonts w:asciiTheme="majorHAnsi" w:hAnsiTheme="majorHAnsi" w:cstheme="majorBidi"/>
                <w:sz w:val="22"/>
                <w:szCs w:val="22"/>
              </w:rPr>
            </w:pPr>
          </w:p>
        </w:tc>
        <w:tc>
          <w:tcPr>
            <w:tcW w:w="2093"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森林蓄积量</w:t>
            </w:r>
          </w:p>
        </w:tc>
        <w:tc>
          <w:tcPr>
            <w:tcW w:w="1418"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亿m3</w:t>
            </w:r>
          </w:p>
        </w:tc>
        <w:tc>
          <w:tcPr>
            <w:tcW w:w="992"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约束性</w:t>
            </w:r>
          </w:p>
        </w:tc>
        <w:tc>
          <w:tcPr>
            <w:tcW w:w="992"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asciiTheme="majorHAnsi" w:hAnsiTheme="majorHAnsi" w:cstheme="majorBidi"/>
                <w:sz w:val="22"/>
                <w:szCs w:val="22"/>
              </w:rPr>
              <w:t>　</w:t>
            </w:r>
          </w:p>
        </w:tc>
        <w:tc>
          <w:tcPr>
            <w:tcW w:w="992"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asciiTheme="majorHAnsi" w:hAnsiTheme="majorHAnsi" w:cstheme="majorBidi"/>
                <w:sz w:val="22"/>
                <w:szCs w:val="22"/>
              </w:rPr>
              <w:t>　</w:t>
            </w:r>
            <w:r>
              <w:rPr>
                <w:rFonts w:hint="eastAsia" w:asciiTheme="majorHAnsi" w:hAnsiTheme="majorHAnsi" w:cstheme="majorBidi"/>
                <w:sz w:val="22"/>
                <w:szCs w:val="22"/>
              </w:rPr>
              <w:t>3</w:t>
            </w:r>
            <w:r>
              <w:rPr>
                <w:rFonts w:asciiTheme="majorHAnsi" w:hAnsiTheme="majorHAnsi" w:cstheme="majorBidi"/>
                <w:sz w:val="22"/>
                <w:szCs w:val="22"/>
              </w:rPr>
              <w:t>21</w:t>
            </w:r>
          </w:p>
        </w:tc>
        <w:tc>
          <w:tcPr>
            <w:tcW w:w="1015"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asciiTheme="majorHAnsi" w:hAnsiTheme="majorHAnsi" w:cstheme="majorBidi"/>
                <w:sz w:val="22"/>
                <w:szCs w:val="22"/>
              </w:rPr>
              <w:t>　</w:t>
            </w:r>
            <w:r>
              <w:rPr>
                <w:rFonts w:hint="eastAsia" w:asciiTheme="majorHAnsi" w:hAnsiTheme="majorHAnsi" w:cstheme="majorBidi"/>
                <w:sz w:val="22"/>
                <w:szCs w:val="22"/>
              </w:rPr>
              <w:t>4</w:t>
            </w:r>
            <w:r>
              <w:rPr>
                <w:rFonts w:asciiTheme="majorHAnsi" w:hAnsiTheme="majorHAnsi" w:cstheme="majorBidi"/>
                <w:sz w:val="22"/>
                <w:szCs w:val="22"/>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6</w:t>
            </w:r>
          </w:p>
        </w:tc>
        <w:tc>
          <w:tcPr>
            <w:tcW w:w="884" w:type="dxa"/>
            <w:vMerge w:val="continue"/>
            <w:shd w:val="clear" w:color="auto" w:fill="auto"/>
            <w:vAlign w:val="center"/>
          </w:tcPr>
          <w:p>
            <w:pPr>
              <w:spacing w:line="319" w:lineRule="auto"/>
              <w:ind w:firstLine="0" w:firstLineChars="0"/>
              <w:outlineLvl w:val="7"/>
              <w:rPr>
                <w:rFonts w:asciiTheme="majorHAnsi" w:hAnsiTheme="majorHAnsi" w:cstheme="majorBidi"/>
                <w:sz w:val="22"/>
                <w:szCs w:val="22"/>
              </w:rPr>
            </w:pPr>
          </w:p>
        </w:tc>
        <w:tc>
          <w:tcPr>
            <w:tcW w:w="2093"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自然保护地占比</w:t>
            </w:r>
          </w:p>
        </w:tc>
        <w:tc>
          <w:tcPr>
            <w:tcW w:w="1418"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w:t>
            </w:r>
          </w:p>
        </w:tc>
        <w:tc>
          <w:tcPr>
            <w:tcW w:w="992"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预期性</w:t>
            </w:r>
          </w:p>
        </w:tc>
        <w:tc>
          <w:tcPr>
            <w:tcW w:w="992"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17.07</w:t>
            </w:r>
          </w:p>
        </w:tc>
        <w:tc>
          <w:tcPr>
            <w:tcW w:w="992"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17.07</w:t>
            </w:r>
          </w:p>
        </w:tc>
        <w:tc>
          <w:tcPr>
            <w:tcW w:w="1015"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17.07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asciiTheme="majorHAnsi" w:hAnsiTheme="majorHAnsi" w:cstheme="majorBidi"/>
                <w:sz w:val="22"/>
                <w:szCs w:val="22"/>
              </w:rPr>
              <w:t>7</w:t>
            </w:r>
          </w:p>
        </w:tc>
        <w:tc>
          <w:tcPr>
            <w:tcW w:w="884" w:type="dxa"/>
            <w:vMerge w:val="continue"/>
            <w:shd w:val="clear" w:color="auto" w:fill="auto"/>
            <w:vAlign w:val="center"/>
          </w:tcPr>
          <w:p>
            <w:pPr>
              <w:spacing w:line="319" w:lineRule="auto"/>
              <w:ind w:firstLine="0" w:firstLineChars="0"/>
              <w:outlineLvl w:val="7"/>
              <w:rPr>
                <w:rFonts w:asciiTheme="majorHAnsi" w:hAnsiTheme="majorHAnsi" w:cstheme="majorBidi"/>
                <w:sz w:val="22"/>
                <w:szCs w:val="22"/>
              </w:rPr>
            </w:pPr>
          </w:p>
        </w:tc>
        <w:tc>
          <w:tcPr>
            <w:tcW w:w="2093"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自然岸线保有率</w:t>
            </w:r>
          </w:p>
        </w:tc>
        <w:tc>
          <w:tcPr>
            <w:tcW w:w="1418"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w:t>
            </w:r>
          </w:p>
        </w:tc>
        <w:tc>
          <w:tcPr>
            <w:tcW w:w="992"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预期性</w:t>
            </w:r>
          </w:p>
        </w:tc>
        <w:tc>
          <w:tcPr>
            <w:tcW w:w="992"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72.63</w:t>
            </w:r>
          </w:p>
        </w:tc>
        <w:tc>
          <w:tcPr>
            <w:tcW w:w="992"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72.44</w:t>
            </w:r>
          </w:p>
        </w:tc>
        <w:tc>
          <w:tcPr>
            <w:tcW w:w="1015"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72.37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asciiTheme="majorHAnsi" w:hAnsiTheme="majorHAnsi" w:cstheme="majorBidi"/>
                <w:sz w:val="22"/>
                <w:szCs w:val="22"/>
              </w:rPr>
              <w:t>8</w:t>
            </w:r>
          </w:p>
        </w:tc>
        <w:tc>
          <w:tcPr>
            <w:tcW w:w="884" w:type="dxa"/>
            <w:vMerge w:val="continue"/>
            <w:shd w:val="clear" w:color="auto" w:fill="auto"/>
            <w:vAlign w:val="center"/>
          </w:tcPr>
          <w:p>
            <w:pPr>
              <w:spacing w:line="319" w:lineRule="auto"/>
              <w:ind w:firstLine="0" w:firstLineChars="0"/>
              <w:outlineLvl w:val="7"/>
              <w:rPr>
                <w:rFonts w:asciiTheme="majorHAnsi" w:hAnsiTheme="majorHAnsi" w:cstheme="majorBidi"/>
                <w:sz w:val="22"/>
                <w:szCs w:val="22"/>
              </w:rPr>
            </w:pPr>
          </w:p>
        </w:tc>
        <w:tc>
          <w:tcPr>
            <w:tcW w:w="2093"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水土流失率</w:t>
            </w:r>
          </w:p>
        </w:tc>
        <w:tc>
          <w:tcPr>
            <w:tcW w:w="1418"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w:t>
            </w:r>
          </w:p>
        </w:tc>
        <w:tc>
          <w:tcPr>
            <w:tcW w:w="992"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预期性</w:t>
            </w:r>
          </w:p>
        </w:tc>
        <w:tc>
          <w:tcPr>
            <w:tcW w:w="992"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asciiTheme="majorHAnsi" w:hAnsiTheme="majorHAnsi" w:cstheme="majorBidi"/>
                <w:sz w:val="22"/>
                <w:szCs w:val="22"/>
              </w:rPr>
              <w:t>　</w:t>
            </w:r>
            <w:r>
              <w:rPr>
                <w:rFonts w:hint="eastAsia" w:asciiTheme="majorHAnsi" w:hAnsiTheme="majorHAnsi" w:cstheme="majorBidi"/>
                <w:sz w:val="22"/>
                <w:szCs w:val="22"/>
              </w:rPr>
              <w:t>2</w:t>
            </w:r>
            <w:r>
              <w:rPr>
                <w:rFonts w:asciiTheme="majorHAnsi" w:hAnsiTheme="majorHAnsi" w:cstheme="majorBidi"/>
                <w:sz w:val="22"/>
                <w:szCs w:val="22"/>
              </w:rPr>
              <w:t>0.3</w:t>
            </w:r>
          </w:p>
        </w:tc>
        <w:tc>
          <w:tcPr>
            <w:tcW w:w="992"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w:t>
            </w:r>
            <w:r>
              <w:rPr>
                <w:rFonts w:asciiTheme="majorHAnsi" w:hAnsiTheme="majorHAnsi" w:cstheme="majorBidi"/>
                <w:sz w:val="22"/>
                <w:szCs w:val="22"/>
              </w:rPr>
              <w:t>15</w:t>
            </w:r>
          </w:p>
        </w:tc>
        <w:tc>
          <w:tcPr>
            <w:tcW w:w="1015" w:type="dxa"/>
            <w:shd w:val="clear" w:color="auto" w:fill="auto"/>
            <w:vAlign w:val="center"/>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w:t>
            </w:r>
            <w:r>
              <w:rPr>
                <w:rFonts w:asciiTheme="majorHAnsi" w:hAnsiTheme="majorHAnsi" w:cstheme="majorBidi"/>
                <w:sz w:val="22"/>
                <w:szCs w:val="22"/>
              </w:rPr>
              <w:t>13</w:t>
            </w:r>
          </w:p>
        </w:tc>
      </w:tr>
      <w:bookmarkEnd w:id="23"/>
    </w:tbl>
    <w:p>
      <w:pPr>
        <w:rPr>
          <w:snapToGrid w:val="0"/>
        </w:rPr>
      </w:pPr>
      <w:r>
        <w:rPr>
          <w:snapToGrid w:val="0"/>
        </w:rPr>
        <w:br w:type="page"/>
      </w:r>
    </w:p>
    <w:p>
      <w:pPr>
        <w:pStyle w:val="2"/>
        <w:jc w:val="center"/>
      </w:pPr>
      <w:bookmarkStart w:id="24" w:name="_Toc82622510"/>
      <w:bookmarkStart w:id="25" w:name="_Toc82622340"/>
      <w:bookmarkStart w:id="26" w:name="_Toc139015084"/>
      <w:r>
        <w:rPr>
          <w:rFonts w:hint="eastAsia"/>
        </w:rPr>
        <w:t>第三章</w:t>
      </w:r>
      <w:r>
        <w:t xml:space="preserve"> </w:t>
      </w:r>
      <w:bookmarkEnd w:id="24"/>
      <w:bookmarkEnd w:id="25"/>
      <w:bookmarkStart w:id="27" w:name="_Toc82622511"/>
      <w:bookmarkStart w:id="28" w:name="_Toc82622341"/>
      <w:r>
        <w:rPr>
          <w:rFonts w:hint="eastAsia"/>
        </w:rPr>
        <w:t>生态保护修复总体布局</w:t>
      </w:r>
      <w:bookmarkEnd w:id="26"/>
    </w:p>
    <w:p>
      <w:pPr>
        <w:pStyle w:val="3"/>
      </w:pPr>
      <w:bookmarkStart w:id="29" w:name="_Toc139015085"/>
      <w:r>
        <w:rPr>
          <w:rFonts w:hint="eastAsia"/>
        </w:rPr>
        <w:t>第一节</w:t>
      </w:r>
      <w:r>
        <w:t xml:space="preserve"> </w:t>
      </w:r>
      <w:r>
        <w:rPr>
          <w:rFonts w:hint="eastAsia"/>
        </w:rPr>
        <w:t>生态</w:t>
      </w:r>
      <w:bookmarkStart w:id="30" w:name="_Hlk68512729"/>
      <w:r>
        <w:rPr>
          <w:rFonts w:hint="eastAsia"/>
        </w:rPr>
        <w:t>安全格局</w:t>
      </w:r>
      <w:bookmarkEnd w:id="27"/>
      <w:bookmarkEnd w:id="28"/>
      <w:bookmarkEnd w:id="29"/>
      <w:bookmarkEnd w:id="30"/>
    </w:p>
    <w:p>
      <w:r>
        <w:rPr>
          <w:rFonts w:hint="eastAsia"/>
        </w:rPr>
        <w:t>基于万盛区域的生态环境自然本底、资源条件及承载能力，以山脉、水系为骨干，以山、水、林为要素，构建“一核一屏多网多点”的生态格局。</w:t>
      </w:r>
    </w:p>
    <w:p>
      <w:pPr>
        <w:ind w:firstLine="602"/>
      </w:pPr>
      <w:r>
        <w:rPr>
          <w:rFonts w:hint="eastAsia"/>
          <w:b/>
          <w:bCs/>
        </w:rPr>
        <w:t>“一核”。</w:t>
      </w:r>
      <w:r>
        <w:rPr>
          <w:rFonts w:hint="eastAsia"/>
        </w:rPr>
        <w:t>位于万盛经开区西部，是中心城区的生态核心，涉及八面山、二郎山、方家山等城市生态空间。</w:t>
      </w:r>
    </w:p>
    <w:p>
      <w:pPr>
        <w:ind w:firstLine="602"/>
      </w:pPr>
      <w:r>
        <w:rPr>
          <w:rFonts w:hint="eastAsia"/>
          <w:b/>
          <w:bCs/>
        </w:rPr>
        <w:t>“一屏”。</w:t>
      </w:r>
      <w:r>
        <w:rPr>
          <w:rFonts w:hint="eastAsia"/>
        </w:rPr>
        <w:t>即东部黑山森林生态屏障。以保护好“天然的物种基因库”为核心，持续推进森林质量精准提升、自然保护地能力建设，加强野生动植物栖息地保护修复，推进生物多样性优先区、示范区建设，加强森林防火，保护森林植被和生物多样性，发挥森林天然氧吧的功能，保护生态“绿肺”。</w:t>
      </w:r>
    </w:p>
    <w:p>
      <w:pPr>
        <w:ind w:firstLine="602"/>
      </w:pPr>
      <w:r>
        <w:rPr>
          <w:rFonts w:hint="eastAsia"/>
          <w:b/>
          <w:bCs/>
        </w:rPr>
        <w:t>“多网”。</w:t>
      </w:r>
      <w:r>
        <w:rPr>
          <w:rFonts w:hint="eastAsia"/>
        </w:rPr>
        <w:t>即山水绿网。由区域内的孝子河、藻渡河、溱溪河、从林河、清溪河、小河、刘家河、养生河、金鸡沟河、楠木河，鲤鱼河等水系，串联城镇绿化隔离带、山体、农田等，形成网络状的生态廊道，严控周边开发建设和入河污染物排放总量，推进水土流失区综合治理，强化主干水系河湖库岸植被保护，严格入湖入河水质管理，维护区域生态系统的完整性和系统性。</w:t>
      </w:r>
    </w:p>
    <w:p>
      <w:pPr>
        <w:ind w:firstLine="602"/>
      </w:pPr>
      <w:r>
        <w:rPr>
          <w:rFonts w:hint="eastAsia"/>
          <w:b/>
          <w:bCs/>
        </w:rPr>
        <w:t>“多点”。</w:t>
      </w:r>
      <w:r>
        <w:rPr>
          <w:rFonts w:hint="eastAsia"/>
        </w:rPr>
        <w:t>涉及黑山国家地质自然公园、黑山自然保护区、白龙湖市级森林自然公园、青山湖国家湿地公园、九锅箐市级森林自然公园等重要生态节点。通过绿道、绿廊连接各重要生态节点，同黑山等自然山脉及河湖水库等重要蓝色空间复合交织，组成区域内系统化的生态网络格局，形成多层次、多功能、立体化、复合型、网络式的区域生态空间骨架。</w:t>
      </w:r>
    </w:p>
    <w:p>
      <w:pPr>
        <w:pStyle w:val="3"/>
      </w:pPr>
      <w:bookmarkStart w:id="31" w:name="_Toc139015086"/>
      <w:r>
        <w:rPr>
          <w:rFonts w:hint="eastAsia"/>
        </w:rPr>
        <w:t>第二节</w:t>
      </w:r>
      <w:r>
        <w:t xml:space="preserve"> </w:t>
      </w:r>
      <w:r>
        <w:rPr>
          <w:rFonts w:hint="eastAsia"/>
        </w:rPr>
        <w:t>生态保护修复分区</w:t>
      </w:r>
      <w:bookmarkEnd w:id="31"/>
    </w:p>
    <w:p>
      <w:bookmarkStart w:id="32" w:name="_Hlk126764032"/>
      <w:r>
        <w:rPr>
          <w:rFonts w:hint="eastAsia"/>
        </w:rPr>
        <w:t>在万盛</w:t>
      </w:r>
      <w:r>
        <w:t>经开区</w:t>
      </w:r>
      <w:r>
        <w:rPr>
          <w:rFonts w:hint="eastAsia"/>
        </w:rPr>
        <w:t>生态系统特征分析、生态敏感性评价和生态系统服务功能重要性评价基础上，综合考虑全国、重庆市生态功能区划、万盛经开区生态安全总体格局、国土空间开发保护格局对不同区域的功能要求，结合万盛区域其他专项规划，利用主导因素法，坚持系统性保护、与上位规划衔接、主导功能等原则，按照保证流域单元的完整性以自然流域划分结果为基础，尊重自然地理格局，以大型山脉、重要山体为补充，充分衔接《万盛经开区国土空间总体规划》确定的主导功能区块的思路，形成万盛区国土空间生态保护修复北部丘陵绿色发展区、孝子河流域生态品质提升区、南部丘陵生态品质提升区、大娄山生态屏障区“四大片区”</w:t>
      </w:r>
    </w:p>
    <w:bookmarkEnd w:id="32"/>
    <w:p>
      <w:pPr>
        <w:pStyle w:val="4"/>
        <w:ind w:firstLine="643"/>
      </w:pPr>
      <w:r>
        <w:rPr>
          <w:rFonts w:hint="eastAsia"/>
        </w:rPr>
        <w:t>一、</w:t>
      </w:r>
      <w:bookmarkStart w:id="33" w:name="_Hlk126764070"/>
      <w:r>
        <w:rPr>
          <w:rFonts w:hint="eastAsia"/>
        </w:rPr>
        <w:t>北部丘陵绿色发展区</w:t>
      </w:r>
    </w:p>
    <w:p>
      <w:pPr>
        <w:pStyle w:val="5"/>
        <w:ind w:firstLine="602"/>
      </w:pPr>
      <w:r>
        <w:rPr>
          <w:rFonts w:hint="eastAsia"/>
        </w:rPr>
        <w:t>1、区域现状</w:t>
      </w:r>
    </w:p>
    <w:p>
      <w:r>
        <w:rPr>
          <w:rFonts w:hint="eastAsia"/>
        </w:rPr>
        <w:t>该区域位于万盛区北部，涉及金桥、丛林两镇，规模</w:t>
      </w:r>
      <w:r>
        <w:t>96.6平方公里，占万盛区土地总面积的17%。</w:t>
      </w:r>
      <w:r>
        <w:rPr>
          <w:rFonts w:hint="eastAsia"/>
        </w:rPr>
        <w:t>区域耕地空间较多，是万盛农业生产集中区域。地形以低山为主，土地利用以林地为主，三调林地规模</w:t>
      </w:r>
      <w:r>
        <w:t>49.33平里，占区域总面积的51%。以公益林为主，公益林规模6.25平方公里，主要分布在孝子河北段。</w:t>
      </w:r>
      <w:r>
        <w:rPr>
          <w:rFonts w:hint="eastAsia"/>
        </w:rPr>
        <w:t>河流分布较多，范围内主要河流为丛林河、养生河、孝子河北段，南木河、木洞河，其中南木河、木洞北向流入万盛经开汇入长江。山地湿地与水库湿地典型代表区，范围内青山湖国家湿地自然公园涉及生态红线</w:t>
      </w:r>
      <w:r>
        <w:t>155.7公顷，为自然与人工复合湿地系统，是山地湿地与水库湿地的典型代表</w:t>
      </w:r>
      <w:r>
        <w:rPr>
          <w:rFonts w:hint="eastAsia"/>
        </w:rPr>
        <w:t>。</w:t>
      </w:r>
    </w:p>
    <w:p>
      <w:pPr>
        <w:pStyle w:val="5"/>
        <w:ind w:firstLine="602"/>
      </w:pPr>
      <w:r>
        <w:t>2、主要生态问题</w:t>
      </w:r>
    </w:p>
    <w:p>
      <w:pPr>
        <w:rPr>
          <w:rFonts w:asciiTheme="majorHAnsi" w:hAnsiTheme="majorHAnsi" w:cstheme="majorBidi"/>
          <w:b/>
          <w:bCs/>
          <w:szCs w:val="28"/>
        </w:rPr>
      </w:pPr>
      <w:r>
        <w:t>一是湿地生态功能退化，主要为青山湖湿地，由于城市开发过程中对湿地面积的侵占与不合理的土地利用方式对湿地生态系统服务功能的弱化，导致湿地功能提升不足。二是河道生态基流不足，主要表现在木洞河、南木河流量相对较小，均在0.3m³/s下，丛林河、养生河上段亦存在生态基流较小情况，致使河流自净能力减弱。三是采煤沉陷区范围广，人地矛盾日渐突出，由于地面塌陷，造成道路、水利设施和地下水系遭到破坏，对区域社会经济的可持续发展造成较大的制约。主要涉及丛林镇永胜村、绿水村、红岩村、新建村。四是水土流失范围较广，区域内水土流失面</w:t>
      </w:r>
      <w:r>
        <w:rPr>
          <w:rFonts w:hint="eastAsia"/>
        </w:rPr>
        <w:t>积</w:t>
      </w:r>
      <w:r>
        <w:t>3173公顷，占全区面积的30.8%，其中星河村、金堰村、新木村、马头桥村为水土流失重点治理区域。</w:t>
      </w:r>
    </w:p>
    <w:p>
      <w:pPr>
        <w:pStyle w:val="5"/>
        <w:ind w:firstLine="602"/>
      </w:pPr>
      <w:r>
        <w:t>3</w:t>
      </w:r>
      <w:r>
        <w:rPr>
          <w:rFonts w:hint="eastAsia"/>
        </w:rPr>
        <w:t>、主攻方向</w:t>
      </w:r>
    </w:p>
    <w:p>
      <w:r>
        <w:rPr>
          <w:rFonts w:hint="eastAsia"/>
        </w:rPr>
        <w:t>以强化耕地保护，提高农村人居环境品质为导向，重点突出农田综合整治、农村人居环境提升、水环境治理、生物多样性保育等生态修复工作。开展高标准农田连片建设，加强农田生态保育，提高耕地质量和农田生态系统稳定性。加快农村低效建设用地整理及生态用地修复，构建建设用地集约高效的空间格局。提高农业废物回收利用率，治理农业面源污染。以南木河、木洞河等重要支流及相关影响区为重点，持续开展水生态系统修复和环境治理。加强山体保护，开展低效林改造，持续提升森林质量，提高水源涵养、气体调节等服务功能。持续推进区域产业融合、产村融合，培育和发展农业新产业、新业态和新模式，积极打造田园体。</w:t>
      </w:r>
    </w:p>
    <w:p>
      <w:pPr>
        <w:pStyle w:val="4"/>
        <w:ind w:firstLine="643"/>
      </w:pPr>
      <w:r>
        <w:rPr>
          <w:rFonts w:hint="eastAsia"/>
        </w:rPr>
        <w:t>二</w:t>
      </w:r>
      <w:r>
        <w:t>、</w:t>
      </w:r>
      <w:r>
        <w:rPr>
          <w:rFonts w:hint="eastAsia"/>
        </w:rPr>
        <w:t>孝子河流域生态品质提升区</w:t>
      </w:r>
    </w:p>
    <w:p>
      <w:pPr>
        <w:pStyle w:val="5"/>
        <w:ind w:firstLine="602"/>
      </w:pPr>
      <w:r>
        <w:rPr>
          <w:rFonts w:hint="eastAsia"/>
        </w:rPr>
        <w:t>1、区域现状</w:t>
      </w:r>
    </w:p>
    <w:p>
      <w:r>
        <w:rPr>
          <w:rFonts w:hint="eastAsia"/>
        </w:rPr>
        <w:t>该区域位于万盛区中部，涉及万东镇、南桐镇、石林镇、黑山镇，规模</w:t>
      </w:r>
      <w:r>
        <w:t>179平方公里，占万盛区土地总面积的32%。</w:t>
      </w:r>
      <w:r>
        <w:rPr>
          <w:rFonts w:hint="eastAsia"/>
        </w:rPr>
        <w:t>地形相对平缓，是万盛城镇建设集中发展区，同时是煤矿产业主要区域。林地分布规模大，三调林地规模</w:t>
      </w:r>
      <w:r>
        <w:t>105平方公里，占区域总面积58.7%</w:t>
      </w:r>
      <w:r>
        <w:rPr>
          <w:rFonts w:hint="eastAsia"/>
        </w:rPr>
        <w:t>，公益林规模</w:t>
      </w:r>
      <w:r>
        <w:t>23.7平方公里，主要分布在箐溪沟、鱼子河（清溪河）、天星河岸线附近。</w:t>
      </w:r>
      <w:r>
        <w:rPr>
          <w:rFonts w:hint="eastAsia"/>
        </w:rPr>
        <w:t>水域分布集中，范围内河流主要为孝子河及其支流小河、箐溪沟、清溪河、天星河、养生河、刘家河、金鸡沟。</w:t>
      </w:r>
    </w:p>
    <w:p>
      <w:pPr>
        <w:pStyle w:val="5"/>
        <w:ind w:firstLine="602"/>
      </w:pPr>
      <w:r>
        <w:t>2</w:t>
      </w:r>
      <w:r>
        <w:rPr>
          <w:rFonts w:hint="eastAsia"/>
        </w:rPr>
        <w:t>、主要生态问题</w:t>
      </w:r>
    </w:p>
    <w:p>
      <w:pPr>
        <w:rPr>
          <w:b/>
          <w:bCs/>
        </w:rPr>
      </w:pPr>
      <w:r>
        <w:rPr>
          <w:rFonts w:hint="eastAsia"/>
        </w:rPr>
        <w:t>一是岸线治理不完善，生态功能与服务功能欠佳；城区小河、刘家河上游河段、养生河平山产业园下游至河口段，沿江水岸地表硬化问题突出，自然岸线损毁严重，河道生态功能和服务功能减弱。二是土壤污染、采煤沉陷区面积大，土地潜在风险较大；区域内矿山分布集中，矿山废水排放、废石尾矿的堆放等造成土壤污染，煤炭开采造成采煤沉陷区面积较大，其中南桐镇、万东镇分布最多，土地潜在的风险较大。三是水土流失问题</w:t>
      </w:r>
      <w:r>
        <w:rPr>
          <w:rFonts w:hint="eastAsia"/>
          <w:lang w:eastAsia="zh-CN"/>
        </w:rPr>
        <w:t>突</w:t>
      </w:r>
      <w:r>
        <w:rPr>
          <w:rFonts w:hint="eastAsia"/>
        </w:rPr>
        <w:t>出，水生态空间功能不足，局部形象不佳；区域内水土流失主要集中在城市及工业园区开发和基础设施建设，侵蚀强度高，危害较大，且局部岸线生态景观与生产生活发展融合度不足，影响旅游产业发展。四是石漠化严重；区域内南桐镇是万盛石漠化现象最集中的区域，制约区域农业产业发展。</w:t>
      </w:r>
    </w:p>
    <w:p>
      <w:pPr>
        <w:pStyle w:val="5"/>
        <w:ind w:firstLine="602"/>
      </w:pPr>
      <w:r>
        <w:t>3</w:t>
      </w:r>
      <w:r>
        <w:rPr>
          <w:rFonts w:hint="eastAsia"/>
        </w:rPr>
        <w:t>、主攻方向</w:t>
      </w:r>
    </w:p>
    <w:p>
      <w:r>
        <w:rPr>
          <w:rFonts w:hint="eastAsia"/>
        </w:rPr>
        <w:t>以协调人地关系、提升城市韧性，优化城市蓝绿空间，建设高品质生态宜居区为导向。重点突出滨江岸线景观、城市边坡治理、生态环境品质的保护与修复。强化对孝子河等主要支流水系脉络的保护，提升河流水质，修复受损岸线，提升城中山体、滨江公园整体品质，推进城市立体绿化建设等，恢复城市生态系统的自我调节功能，有效提升城市生态系统健康，提升城市生态品质。</w:t>
      </w:r>
    </w:p>
    <w:p>
      <w:pPr>
        <w:pStyle w:val="4"/>
        <w:ind w:firstLine="643"/>
      </w:pPr>
      <w:r>
        <w:rPr>
          <w:rFonts w:hint="eastAsia"/>
        </w:rPr>
        <w:t>三</w:t>
      </w:r>
      <w:r>
        <w:t>、</w:t>
      </w:r>
      <w:r>
        <w:rPr>
          <w:rFonts w:hint="eastAsia"/>
        </w:rPr>
        <w:t>南部丘陵生态提升区</w:t>
      </w:r>
    </w:p>
    <w:p>
      <w:pPr>
        <w:pStyle w:val="5"/>
        <w:ind w:firstLine="602"/>
      </w:pPr>
      <w:r>
        <w:rPr>
          <w:rFonts w:hint="eastAsia"/>
        </w:rPr>
        <w:t>1、区域现状</w:t>
      </w:r>
    </w:p>
    <w:p>
      <w:r>
        <w:rPr>
          <w:rFonts w:hint="eastAsia"/>
        </w:rPr>
        <w:t>该区域位于万盛区南部，涉及关坝镇、青年镇，规模</w:t>
      </w:r>
      <w:r>
        <w:t>81.8平方公里，占万盛区土地总面积的14.5%。</w:t>
      </w:r>
      <w:r>
        <w:rPr>
          <w:rFonts w:hint="eastAsia"/>
        </w:rPr>
        <w:t>地形以丘陵、河谷为主，是万盛物流产业、工业产业集中发展区，三调林地规模</w:t>
      </w:r>
      <w:r>
        <w:t>36.5平方公里，占区域总面积的44%。</w:t>
      </w:r>
      <w:r>
        <w:rPr>
          <w:rFonts w:hint="eastAsia"/>
        </w:rPr>
        <w:t>公益林规模</w:t>
      </w:r>
      <w:r>
        <w:t>7.06平方公里，主要分布在青年镇山体。</w:t>
      </w:r>
      <w:r>
        <w:rPr>
          <w:rFonts w:hint="eastAsia"/>
        </w:rPr>
        <w:t>区域内溱溪河，自东向西流入綦江，金鸡沟自南向北流入孝子河。大槽水库为生态红线保护区（水源），占地面积约</w:t>
      </w:r>
      <w:r>
        <w:t>15公顷。</w:t>
      </w:r>
    </w:p>
    <w:p>
      <w:pPr>
        <w:pStyle w:val="5"/>
        <w:ind w:firstLine="602"/>
      </w:pPr>
      <w:r>
        <w:t>2</w:t>
      </w:r>
      <w:r>
        <w:rPr>
          <w:rFonts w:hint="eastAsia"/>
        </w:rPr>
        <w:t>、主要生态问题</w:t>
      </w:r>
    </w:p>
    <w:p>
      <w:pPr>
        <w:rPr>
          <w:b/>
          <w:bCs/>
        </w:rPr>
      </w:pPr>
      <w:r>
        <w:rPr>
          <w:rFonts w:hint="eastAsia"/>
        </w:rPr>
        <w:t>一是工业、物流产业发展，引发环境矛盾；关坝</w:t>
      </w:r>
      <w:r>
        <w:t>-扶环循环经济产业园、青年镇工业产业园工业发展诱发环境质量问题。</w:t>
      </w:r>
      <w:r>
        <w:rPr>
          <w:rFonts w:hint="eastAsia"/>
        </w:rPr>
        <w:t>二是万元</w:t>
      </w:r>
      <w:r>
        <w:t>GDP用水量高，导致河流生态基流不足</w:t>
      </w:r>
      <w:r>
        <w:rPr>
          <w:rFonts w:hint="eastAsia"/>
        </w:rPr>
        <w:t>，工业等产业发展用水量大，溱溪河下游水量不足，且沿线存在污水直排现象。三是石漠化分布较多，水土流失相对较重；关坝镇光明村、兴隆村、田坝村存在较多石漠化现象。</w:t>
      </w:r>
    </w:p>
    <w:p>
      <w:pPr>
        <w:pStyle w:val="5"/>
        <w:ind w:firstLine="602"/>
      </w:pPr>
      <w:r>
        <w:t>3</w:t>
      </w:r>
      <w:r>
        <w:rPr>
          <w:rFonts w:hint="eastAsia"/>
        </w:rPr>
        <w:t>、主攻方向</w:t>
      </w:r>
    </w:p>
    <w:p>
      <w:pPr>
        <w:rPr>
          <w:b/>
          <w:bCs/>
        </w:rPr>
      </w:pPr>
      <w:r>
        <w:rPr>
          <w:rFonts w:hint="eastAsia"/>
        </w:rPr>
        <w:t>以优化城市蓝绿空间，夯实绿色发展基底，助力建设生态创新协调区导向，开展河流综合整治，提升河流水源涵养能力，促进生态环境提升，提高生态净化能力，开展全域国土综合整治，修复石漠化问题。促进形成蓝绿交织的生态网络体系。同时，积极发展和培育生态创新产业集群，重点培育生态经济、国际商贸物流、国际交往、智造创新。</w:t>
      </w:r>
    </w:p>
    <w:p>
      <w:pPr>
        <w:pStyle w:val="4"/>
        <w:ind w:firstLine="643"/>
      </w:pPr>
      <w:r>
        <w:rPr>
          <w:rFonts w:hint="eastAsia"/>
        </w:rPr>
        <w:t>四</w:t>
      </w:r>
      <w:r>
        <w:t>、</w:t>
      </w:r>
      <w:r>
        <w:rPr>
          <w:rFonts w:hint="eastAsia"/>
        </w:rPr>
        <w:t>大娄山生态屏障区</w:t>
      </w:r>
    </w:p>
    <w:p>
      <w:pPr>
        <w:pStyle w:val="5"/>
        <w:ind w:firstLine="602"/>
      </w:pPr>
      <w:r>
        <w:rPr>
          <w:rFonts w:hint="eastAsia"/>
        </w:rPr>
        <w:t>1、区域现状</w:t>
      </w:r>
    </w:p>
    <w:p>
      <w:r>
        <w:rPr>
          <w:rFonts w:hint="eastAsia"/>
        </w:rPr>
        <w:t>该区域位于万盛区东部、东南部，为大娄山脉主山脉区，规模</w:t>
      </w:r>
      <w:r>
        <w:t>203.9平方公里，占万盛区土地总面积的36.3%。</w:t>
      </w:r>
      <w:r>
        <w:rPr>
          <w:rFonts w:hint="eastAsia"/>
        </w:rPr>
        <w:t>地形以山地地形为主，现状用地以林地为主，三调林地规模</w:t>
      </w:r>
      <w:r>
        <w:t>175.3平方公里，占区域总面积的86%。</w:t>
      </w:r>
      <w:r>
        <w:rPr>
          <w:rFonts w:hint="eastAsia"/>
        </w:rPr>
        <w:t>是万盛林地集中区域，其中黑山森林公园、九锅箐森林公园位于其中分别占地</w:t>
      </w:r>
      <w:r>
        <w:t>26.52平方公里、6.24平方公里，</w:t>
      </w:r>
      <w:r>
        <w:rPr>
          <w:rFonts w:hint="eastAsia"/>
        </w:rPr>
        <w:t>公益林规模</w:t>
      </w:r>
      <w:r>
        <w:t>96.28平方公里，占林地总面积的55%。</w:t>
      </w:r>
      <w:r>
        <w:rPr>
          <w:rFonts w:hint="eastAsia"/>
        </w:rPr>
        <w:t>生态红线面积约</w:t>
      </w:r>
      <w:r>
        <w:t>92.55平方公里，占区域的45%。</w:t>
      </w:r>
    </w:p>
    <w:p>
      <w:pPr>
        <w:pStyle w:val="5"/>
        <w:ind w:firstLine="602"/>
      </w:pPr>
      <w:r>
        <w:t>2</w:t>
      </w:r>
      <w:r>
        <w:rPr>
          <w:rFonts w:hint="eastAsia"/>
        </w:rPr>
        <w:t>、主要生态问题</w:t>
      </w:r>
    </w:p>
    <w:p>
      <w:r>
        <w:rPr>
          <w:rFonts w:hint="eastAsia"/>
        </w:rPr>
        <w:t>一是生态保护与开发利用矛盾突出，发展与环境矛盾未能有效解决。二是存在历史遗留问题，有</w:t>
      </w:r>
      <w:r>
        <w:t>违建</w:t>
      </w:r>
      <w:r>
        <w:rPr>
          <w:rFonts w:hint="eastAsia"/>
        </w:rPr>
        <w:t>现象</w:t>
      </w:r>
      <w:r>
        <w:t>存在，且有</w:t>
      </w:r>
      <w:r>
        <w:rPr>
          <w:rFonts w:hint="eastAsia"/>
        </w:rPr>
        <w:t>部分</w:t>
      </w:r>
      <w:r>
        <w:t>乱搭乱建的取水管线，</w:t>
      </w:r>
      <w:r>
        <w:rPr>
          <w:rFonts w:hint="eastAsia"/>
        </w:rPr>
        <w:t>影响区域</w:t>
      </w:r>
      <w:r>
        <w:t>景观形象</w:t>
      </w:r>
      <w:r>
        <w:rPr>
          <w:rFonts w:hint="eastAsia"/>
        </w:rPr>
        <w:t>及水体</w:t>
      </w:r>
      <w:r>
        <w:t>污染隐患。</w:t>
      </w:r>
      <w:r>
        <w:rPr>
          <w:rFonts w:hint="eastAsia"/>
        </w:rPr>
        <w:t>三是石漠化严重，石林镇东侧、丛林镇东侧均存在较大面积石漠化区域。四是</w:t>
      </w:r>
      <w:bookmarkStart w:id="125" w:name="_GoBack"/>
      <w:bookmarkEnd w:id="125"/>
      <w:r>
        <w:rPr>
          <w:rFonts w:hint="eastAsia"/>
          <w:lang w:eastAsia="zh-CN"/>
        </w:rPr>
        <w:t>森林防火</w:t>
      </w:r>
      <w:r>
        <w:rPr>
          <w:rFonts w:hint="eastAsia"/>
        </w:rPr>
        <w:t>通道、预警设施、消防设施配套未能完全到位，存在森林防火安全风险。</w:t>
      </w:r>
    </w:p>
    <w:p>
      <w:pPr>
        <w:pStyle w:val="5"/>
        <w:ind w:firstLine="602"/>
      </w:pPr>
      <w:r>
        <w:t>3</w:t>
      </w:r>
      <w:r>
        <w:rPr>
          <w:rFonts w:hint="eastAsia"/>
        </w:rPr>
        <w:t>、主攻方向</w:t>
      </w:r>
      <w:bookmarkStart w:id="34" w:name="_Toc17985"/>
    </w:p>
    <w:p>
      <w:r>
        <w:rPr>
          <w:rFonts w:hint="eastAsia"/>
        </w:rPr>
        <w:t>以保持自然山体形态，持续发挥生态系统服务功能，筑牢绿色生态屏障为导向，重点突出生态保护、森林提质、历史遗留与废弃矿山治理、生物多样性维护等保护修复工作。保护大娄山，协同开展森林质量精准提升、废弃矿山生态修复、水土流失及石漠化综合治理，持续增强生态系统稳定性和固碳能力，强化山体屏障和森林氧吧功能。维护生物多样性，保护森林的多样性和完整性，营造为野生动物生活、栖息的自然生境，建立珍稀濒危物种动态监测。充分利用温泉、森林等优质生态资源，积极培育生态休闲产业，促进生态产品价值实现。</w:t>
      </w:r>
      <w:bookmarkStart w:id="35" w:name="_Toc121730904"/>
      <w:bookmarkStart w:id="36" w:name="_Toc25286"/>
    </w:p>
    <w:bookmarkEnd w:id="33"/>
    <w:p>
      <w:pPr>
        <w:ind w:firstLineChars="0"/>
      </w:pPr>
      <w:r>
        <w:br w:type="page"/>
      </w:r>
    </w:p>
    <w:p>
      <w:pPr>
        <w:pStyle w:val="2"/>
        <w:jc w:val="center"/>
      </w:pPr>
      <w:bookmarkStart w:id="37" w:name="_Toc139015087"/>
      <w:r>
        <w:rPr>
          <w:rFonts w:hint="eastAsia"/>
        </w:rPr>
        <w:t xml:space="preserve">第四章 </w:t>
      </w:r>
      <w:r>
        <w:t>规划任务及修复策略</w:t>
      </w:r>
      <w:bookmarkEnd w:id="37"/>
    </w:p>
    <w:p>
      <w:pPr>
        <w:pStyle w:val="4"/>
        <w:ind w:firstLine="643"/>
      </w:pPr>
      <w:r>
        <w:rPr>
          <w:rFonts w:hint="eastAsia"/>
        </w:rPr>
        <w:t>一、自然修复、综合</w:t>
      </w:r>
      <w:r>
        <w:t>治理</w:t>
      </w:r>
      <w:r>
        <w:rPr>
          <w:rFonts w:hint="eastAsia"/>
        </w:rPr>
        <w:t>采煤</w:t>
      </w:r>
      <w:r>
        <w:t>沉陷区</w:t>
      </w:r>
    </w:p>
    <w:p>
      <w:r>
        <w:rPr>
          <w:rFonts w:hint="eastAsia"/>
        </w:rPr>
        <w:t>优先开展采煤沉陷区</w:t>
      </w:r>
      <w:r>
        <w:t>生态问题严重的废弃矿山生态修复，探索形成“政府主导、政策扶持、社会参与、利用式治理、市场化运作”的矿山修复模式，把矿山生态环境修复与区域景观生态建设、生态经济相结合，对政策性或整合性关闭的矿山进行植被恢复和复垦，打造矿山地质公园，实现矿山环境治理多元化。按照“整体推进、分步实施”的原则，</w:t>
      </w:r>
      <w:r>
        <w:rPr>
          <w:rFonts w:hint="eastAsia"/>
        </w:rPr>
        <w:t>合</w:t>
      </w:r>
      <w:r>
        <w:t>理部署矿山环境恢复治理重点工程</w:t>
      </w:r>
      <w:r>
        <w:rPr>
          <w:rFonts w:hint="eastAsia"/>
        </w:rPr>
        <w:t>。</w:t>
      </w:r>
    </w:p>
    <w:p>
      <w:pPr>
        <w:pStyle w:val="5"/>
        <w:ind w:firstLine="602"/>
      </w:pPr>
      <w:r>
        <w:rPr>
          <w:rFonts w:hint="eastAsia"/>
        </w:rPr>
        <w:t>1、废弃</w:t>
      </w:r>
      <w:r>
        <w:t>矿山生态治理</w:t>
      </w:r>
    </w:p>
    <w:p>
      <w:r>
        <w:t>深化矿山“三废”利用、治理恢复、土地复垦；继续实行并完善“谁复垦、谁使用、谁受益”的鼓励政策，引</w:t>
      </w:r>
      <w:r>
        <w:rPr>
          <w:rFonts w:hint="eastAsia"/>
        </w:rPr>
        <w:t>导和鼓励各方力量从事矿区土地复垦。重点</w:t>
      </w:r>
      <w:r>
        <w:t>完成</w:t>
      </w:r>
      <w:r>
        <w:rPr>
          <w:rFonts w:hint="eastAsia"/>
        </w:rPr>
        <w:t>南桐镇</w:t>
      </w:r>
      <w:r>
        <w:t>-东林街道-丛林镇一带矿山地质环境治理</w:t>
      </w:r>
      <w:r>
        <w:rPr>
          <w:rFonts w:hint="eastAsia"/>
        </w:rPr>
        <w:t>工作</w:t>
      </w:r>
      <w:r>
        <w:t>，</w:t>
      </w:r>
      <w:r>
        <w:rPr>
          <w:rFonts w:hint="eastAsia"/>
        </w:rPr>
        <w:t>重点</w:t>
      </w:r>
      <w:r>
        <w:t>整治地面裂缝和塌陷、矿山环境污染、土地资源遭到占用与破坏、地表水漏失、地下水疏干等</w:t>
      </w:r>
      <w:r>
        <w:rPr>
          <w:rFonts w:hint="eastAsia"/>
        </w:rPr>
        <w:t>问题。</w:t>
      </w:r>
    </w:p>
    <w:p>
      <w:pPr>
        <w:pStyle w:val="5"/>
        <w:ind w:firstLine="602"/>
      </w:pPr>
      <w:r>
        <w:rPr>
          <w:rFonts w:hint="eastAsia"/>
        </w:rPr>
        <w:t>2、规范化国家</w:t>
      </w:r>
      <w:r>
        <w:t>绿色矿山开采</w:t>
      </w:r>
      <w:r>
        <w:rPr>
          <w:rFonts w:hint="eastAsia"/>
        </w:rPr>
        <w:t>建设</w:t>
      </w:r>
    </w:p>
    <w:p>
      <w:r>
        <w:rPr>
          <w:rFonts w:hint="eastAsia"/>
        </w:rPr>
        <w:t>结合自身发展特征，开展国家级绿色矿山建设工作。对照国家级绿色矿山基本条件和相关指标要求，实施资源节约与高效利用、矿山环境保护与综合治理、科技创新、节能减排建设任务，开展资源综合利用类、科技</w:t>
      </w:r>
      <w:r>
        <w:rPr>
          <w:rFonts w:hint="eastAsia"/>
          <w:lang w:eastAsia="zh-CN"/>
        </w:rPr>
        <w:t>攻关</w:t>
      </w:r>
      <w:r>
        <w:rPr>
          <w:rFonts w:hint="eastAsia"/>
        </w:rPr>
        <w:t>类、矿山环境恢复治理类以及和谐社区建设类工程，科学、合理、有序的开展绿色矿山建设工作，</w:t>
      </w:r>
      <w:r>
        <w:t>将绿色矿业理念贯穿于矿产资源开发的全过程，将经济效益、生态效益、社会效益有机的统一起来，资源集约节约利用水平显著提高，矿山环境得到有效保护，矿区土地复垦水平全面提升，矿山企业与地方和谐发展，实现矿山的科学发展、安全发展、绿色发展、协调发展。</w:t>
      </w:r>
    </w:p>
    <w:p>
      <w:pPr>
        <w:pStyle w:val="4"/>
        <w:ind w:firstLine="643"/>
      </w:pPr>
      <w:r>
        <w:rPr>
          <w:rFonts w:hint="eastAsia"/>
        </w:rPr>
        <w:t>二、锚固生态本底，筑牢大娄山生态屏障</w:t>
      </w:r>
    </w:p>
    <w:p>
      <w:pPr>
        <w:pStyle w:val="5"/>
        <w:ind w:firstLine="602"/>
      </w:pPr>
      <w:r>
        <w:rPr>
          <w:rFonts w:hint="eastAsia"/>
        </w:rPr>
        <w:t>1、保护“物种基因库”</w:t>
      </w:r>
      <w:r>
        <w:t>生物多样性</w:t>
      </w:r>
    </w:p>
    <w:p>
      <w:r>
        <w:rPr>
          <w:rFonts w:hint="eastAsia"/>
        </w:rPr>
        <w:t>立足大娄山区水源涵养与生物多样性保护功能区，以黑山自然保护区为重点，推进自然保护地能力建设，连通生态廊道，建设生态网络，加强生态多样性保护梳理完善自然保护地体系，强化珍</w:t>
      </w:r>
      <w:r>
        <w:rPr>
          <w:rFonts w:hint="eastAsia"/>
          <w:lang w:eastAsia="zh-CN"/>
        </w:rPr>
        <w:t>稀</w:t>
      </w:r>
      <w:r>
        <w:rPr>
          <w:rFonts w:hint="eastAsia"/>
        </w:rPr>
        <w:t>动植物栖息地建设，维护生物多样性。</w:t>
      </w:r>
    </w:p>
    <w:p>
      <w:pPr>
        <w:pStyle w:val="6"/>
        <w:ind w:firstLine="602"/>
      </w:pPr>
      <w:r>
        <w:rPr>
          <w:rFonts w:hint="eastAsia"/>
        </w:rPr>
        <w:t>1.</w:t>
      </w:r>
      <w:r>
        <w:t>1</w:t>
      </w:r>
      <w:r>
        <w:rPr>
          <w:rFonts w:hint="eastAsia"/>
        </w:rPr>
        <w:t>珍稀濒危野生动植物保护</w:t>
      </w:r>
    </w:p>
    <w:p>
      <w:r>
        <w:rPr>
          <w:rFonts w:hint="eastAsia"/>
        </w:rPr>
        <w:t>建立珍稀植物保护培育基地，购置配套设施，培养专业技术人员。在重点保护野生植物分布地附近，设置警示标志和科普解说牌；在宣教中心对保护区分布的重点野生保护植物进行科普解说教育。野生动物生存和繁衍的栖息地和生存环境禁止开展破坏野生动物栖息地生活环境的活动；在重点野生保护动物出没地点开展监测活动；建设野生动物救护站，对受伤的野生动物进行救助，并开展救助之后的野放研究。</w:t>
      </w:r>
    </w:p>
    <w:p>
      <w:pPr>
        <w:pStyle w:val="6"/>
        <w:ind w:firstLine="602"/>
      </w:pPr>
      <w:r>
        <w:t>1.2有害生物防治</w:t>
      </w:r>
    </w:p>
    <w:p>
      <w:r>
        <w:rPr>
          <w:rFonts w:hint="eastAsia"/>
        </w:rPr>
        <w:t>预防为主、科学防控、综合治理。实施以营林措施为主，生物、化学和物理防治相结合的综合治理措施，逐步改善森林生态环境，提高森林抗御病虫害的能力。</w:t>
      </w:r>
    </w:p>
    <w:p>
      <w:r>
        <w:rPr>
          <w:rFonts w:hint="eastAsia"/>
        </w:rPr>
        <w:t>搭建林业有害生物监测信息系统以其系统监测为主，人工巡查为辅，对管护区域内的森林进行监测，对新造林（补植）、幼龄林及古树名木进行重点监测。对监测数据和往期相关参数进行总结分析，对病虫害的发生期、发生范围、发生量进行初步预报，并及时上报上级管理机构。收集记录整理病虫害一个周期内的发生、发展的各项数据，为当代或下代病虫害防治提供依据。划定疫区和保护区，禁止疫区的森林植物和其他相关物品交叉传播蔓延。</w:t>
      </w:r>
    </w:p>
    <w:p>
      <w:pPr>
        <w:pStyle w:val="5"/>
        <w:ind w:firstLine="602"/>
      </w:pPr>
      <w:r>
        <w:rPr>
          <w:rFonts w:hint="eastAsia"/>
        </w:rPr>
        <w:t>2、优化林森林资源</w:t>
      </w:r>
      <w:r>
        <w:t>结构，提高</w:t>
      </w:r>
      <w:r>
        <w:rPr>
          <w:rFonts w:hint="eastAsia"/>
        </w:rPr>
        <w:t>林地生产力</w:t>
      </w:r>
    </w:p>
    <w:p>
      <w:r>
        <w:rPr>
          <w:rFonts w:hint="eastAsia"/>
        </w:rPr>
        <w:t>优化林地结构，提升林地质量，提高碳汇能力，构建绿色生态产业。重点区域开展生态型综合整治，恢复和提升生态系统服务功能。</w:t>
      </w:r>
    </w:p>
    <w:p>
      <w:r>
        <w:rPr>
          <w:rFonts w:hint="eastAsia"/>
        </w:rPr>
        <w:t>生态屏障区封山育林</w:t>
      </w:r>
      <w:r>
        <w:t>160</w:t>
      </w:r>
      <w:r>
        <w:rPr>
          <w:rFonts w:hint="eastAsia"/>
        </w:rPr>
        <w:t>平方公里</w:t>
      </w:r>
      <w:r>
        <w:t>，人工促进天然更新180</w:t>
      </w:r>
      <w:r>
        <w:rPr>
          <w:rFonts w:hint="eastAsia"/>
        </w:rPr>
        <w:t>平方公里</w:t>
      </w:r>
      <w:r>
        <w:t>。</w:t>
      </w:r>
      <w:r>
        <w:rPr>
          <w:rFonts w:hint="eastAsia"/>
        </w:rPr>
        <w:t>主要交通路线两侧建设景观生态林，形成连续的林带，树种采用</w:t>
      </w:r>
      <w:r>
        <w:t>彩色树种，打造</w:t>
      </w:r>
      <w:r>
        <w:rPr>
          <w:rFonts w:hint="eastAsia"/>
        </w:rPr>
        <w:t>宜</w:t>
      </w:r>
      <w:r>
        <w:t>景宜</w:t>
      </w:r>
      <w:r>
        <w:rPr>
          <w:rFonts w:hint="eastAsia"/>
        </w:rPr>
        <w:t>游</w:t>
      </w:r>
      <w:r>
        <w:t>的生态旅游</w:t>
      </w:r>
      <w:r>
        <w:rPr>
          <w:rFonts w:hint="eastAsia"/>
        </w:rPr>
        <w:t>通道</w:t>
      </w:r>
      <w:r>
        <w:t>。</w:t>
      </w:r>
    </w:p>
    <w:p>
      <w:r>
        <w:rPr>
          <w:rFonts w:hint="eastAsia"/>
        </w:rPr>
        <w:t>保护黑山自然</w:t>
      </w:r>
      <w:r>
        <w:t>保护区、</w:t>
      </w:r>
      <w:r>
        <w:rPr>
          <w:rFonts w:hint="eastAsia"/>
        </w:rPr>
        <w:t>九锅箐</w:t>
      </w:r>
      <w:r>
        <w:t>森林公园内</w:t>
      </w:r>
      <w:r>
        <w:rPr>
          <w:rFonts w:hint="eastAsia"/>
        </w:rPr>
        <w:t>河流、溪流形成的内陆湿地和水域生态系统，水生和两栖生物及其生境共同形成的湿地和水域生态系统作为主要保护对象。</w:t>
      </w:r>
    </w:p>
    <w:p>
      <w:r>
        <w:rPr>
          <w:rFonts w:hint="eastAsia"/>
        </w:rPr>
        <w:t>规划建设生态廊道</w:t>
      </w:r>
      <w:r>
        <w:t>，构建山脚至山脊、不同森林群落之间、周边森林之间的生态廊道。</w:t>
      </w:r>
    </w:p>
    <w:p>
      <w:pPr>
        <w:pStyle w:val="5"/>
        <w:ind w:firstLine="602"/>
      </w:pPr>
      <w:r>
        <w:rPr>
          <w:rFonts w:hint="eastAsia"/>
        </w:rPr>
        <w:t>3、</w:t>
      </w:r>
      <w:r>
        <w:t>完善生物多样性监测网络、监测技术体系</w:t>
      </w:r>
    </w:p>
    <w:p>
      <w:r>
        <w:t>建立健全</w:t>
      </w:r>
      <w:r>
        <w:rPr>
          <w:rFonts w:hint="eastAsia"/>
        </w:rPr>
        <w:t>万盛经开区</w:t>
      </w:r>
      <w:r>
        <w:t>区物种资源数据库、生物多样性数据库和信息平台。推进野生动物疫源疫病监测防控体系建设，严防疫病疫情、外来有害生物入侵。至2035年，全区珍稀濒危野生动、植物保护率达100%。</w:t>
      </w:r>
    </w:p>
    <w:p>
      <w:pPr>
        <w:pStyle w:val="4"/>
        <w:ind w:firstLine="643"/>
      </w:pPr>
      <w:r>
        <w:rPr>
          <w:rFonts w:hint="eastAsia"/>
        </w:rPr>
        <w:t>三、培育大美田园，发展山地特色高效农业</w:t>
      </w:r>
    </w:p>
    <w:p>
      <w:r>
        <w:rPr>
          <w:rFonts w:hint="eastAsia"/>
        </w:rPr>
        <w:t>乡村山水林田湖草进行全要素综合整治，提升生态产品价值，以乡村生态振兴，助推乡村产业、人口、文化和组织全面振兴。</w:t>
      </w:r>
    </w:p>
    <w:p>
      <w:pPr>
        <w:pStyle w:val="5"/>
        <w:ind w:firstLine="602"/>
      </w:pPr>
      <w:r>
        <w:t>1</w:t>
      </w:r>
      <w:r>
        <w:rPr>
          <w:rFonts w:hint="eastAsia"/>
        </w:rPr>
        <w:t>、农村生态环境修复与保护</w:t>
      </w:r>
    </w:p>
    <w:p>
      <w:r>
        <w:rPr>
          <w:rFonts w:hint="eastAsia"/>
        </w:rPr>
        <w:t>严格控制村域范围内生态用地面积，调整村域范围内林地、水域等生态用地布局。着力推进村域内生态环境整治修复、矿山环境生态治理、水环境保护工程项目，使山水、乡村、城市融为一体。健全完善回收处置模式和政策监管体系，加强废弃农膜回收利用，加快推广可降解农膜，逐步建立农药肥料包装废弃物回收处置机制。加快农作物秸秆肥料化、饲料化、基料化、燃料化、原料化“五化”综合利用。强化畜禽养殖污染源头防控，推广清洁生产技术，推进畜禽粪污资源化利用。</w:t>
      </w:r>
    </w:p>
    <w:p>
      <w:pPr>
        <w:pStyle w:val="5"/>
        <w:ind w:firstLine="602"/>
      </w:pPr>
      <w:r>
        <w:t>2</w:t>
      </w:r>
      <w:r>
        <w:rPr>
          <w:rFonts w:hint="eastAsia"/>
        </w:rPr>
        <w:t>、提升田园生态景观品质</w:t>
      </w:r>
    </w:p>
    <w:p>
      <w:r>
        <w:rPr>
          <w:rFonts w:hint="eastAsia"/>
        </w:rPr>
        <w:t>以“绿色示范村”建设为目标，充分考虑规划区村庄分布情况，因地制宜，在零星空地、闲置地见缝插绿，增加村片林、庭院绿化、水岸绿化、道路绿化，提高村庄森林覆盖率、居民区绿化覆盖率。北部探索都市农业新模式，在不破坏土壤耕作层和控制污染源的前提下，结合城市，发展科普型农旅、植入城市田园体验观光等功能。加大对中部农产品主产区耕地的集中保护，结合耕地与各类生态用地相融相嵌的生态保护格局，展现中部农业自然风貌，宣扬巴渝农耕文化。</w:t>
      </w:r>
    </w:p>
    <w:p>
      <w:r>
        <w:rPr>
          <w:rFonts w:hint="eastAsia"/>
        </w:rPr>
        <w:t>加强耕地三位一体保护，夯实农业生产基础。强化土壤污染防治，提升耕地质量。加强入侵动植物防控，改善农田生态。开展高标准农田建设，刻画独</w:t>
      </w:r>
      <w:r>
        <w:rPr>
          <w:rFonts w:hint="eastAsia"/>
          <w:lang w:eastAsia="zh-CN"/>
        </w:rPr>
        <w:t>具</w:t>
      </w:r>
      <w:r>
        <w:rPr>
          <w:rFonts w:hint="eastAsia"/>
        </w:rPr>
        <w:t>魅力的山地农田景观，提升人居环境。</w:t>
      </w:r>
    </w:p>
    <w:p>
      <w:pPr>
        <w:pStyle w:val="5"/>
        <w:ind w:firstLine="602"/>
      </w:pPr>
      <w:r>
        <w:t>3</w:t>
      </w:r>
      <w:r>
        <w:rPr>
          <w:rFonts w:hint="eastAsia"/>
        </w:rPr>
        <w:t>、实施乡村土地综合整治</w:t>
      </w:r>
    </w:p>
    <w:p>
      <w:r>
        <w:rPr>
          <w:rFonts w:hint="eastAsia"/>
        </w:rPr>
        <w:t>优化万盛农用地结构布局，增加耕地数量、提高耕地质量、减少耕地“碎片化”，统筹推进高标准农田建设；综合确定治理空间范围，开展土壤污染治理，分类确立不同类型污染治理的主导方式；适应发展现代农业和适度规模经营的需要，对现代农业产业园区、田园综合体、农旅复合项目、三产融合发展类项目，统一安排生产型整治；实行耕地修复养护，建立耕地轮作制度，因地制宜调整种植结构，促进农业生产和耕地资源保护协调发展。集体建设用地综合整治。按照节约集约高效利用的原则，推进存量农村建设用地整治利用，充分盘活利用农村存量建设用地，优化各类建设用地选址与空间布局，抓好农民新村居民点规划和建设；有序开展废弃农村宅基地、工矿废弃地以及其他低效闲置建设用地复垦，推进村域内生态环境整治修复，保障农村新产业发展用地空间，促进农村一二三产业融合发展。近期重点开展</w:t>
      </w:r>
      <w:r>
        <w:t>关坝镇、</w:t>
      </w:r>
      <w:r>
        <w:rPr>
          <w:rFonts w:hint="eastAsia"/>
        </w:rPr>
        <w:t>丛林镇</w:t>
      </w:r>
      <w:r>
        <w:t>、金桥镇</w:t>
      </w:r>
      <w:r>
        <w:rPr>
          <w:rFonts w:hint="eastAsia"/>
        </w:rPr>
        <w:t>等美丽乡村居民点环境改善项目。至</w:t>
      </w:r>
      <w:r>
        <w:t>2035年，农田集中连片规模大幅提高，建设用地集聚程度明显提升。</w:t>
      </w:r>
    </w:p>
    <w:p>
      <w:pPr>
        <w:pStyle w:val="5"/>
        <w:ind w:firstLine="602"/>
      </w:pPr>
      <w:r>
        <w:t>4</w:t>
      </w:r>
      <w:r>
        <w:rPr>
          <w:rFonts w:hint="eastAsia"/>
        </w:rPr>
        <w:t>、开展水土流失综合治理</w:t>
      </w:r>
    </w:p>
    <w:p>
      <w:r>
        <w:rPr>
          <w:rFonts w:hint="eastAsia"/>
        </w:rPr>
        <w:t>加强重点治理区水土流失治理，实现水土资源可持续利用和生态环境可持续维护。有效保护与恢复林草植被，提高林草植被覆盖面积，降低水土流失面积和侵蚀强度，减少江河泥沙输入，减少人为水土流失。</w:t>
      </w:r>
    </w:p>
    <w:p>
      <w:r>
        <w:rPr>
          <w:rFonts w:hint="eastAsia"/>
        </w:rPr>
        <w:t>建成与全区经济社会发展和生态文明相适应的水土流失综合防治体系和综合监管体系，县级以上重点预防区得到有效预防保护，重点治理区得到基本治理，基本实现水土资源实现可持续利用和生态环境良性循环。到</w:t>
      </w:r>
      <w:r>
        <w:t>2025 年累计新增水土流失治理面积 50 平方公里，到2035 年累计新增水土流失治理面积110 平方公里。水土保持率持续巩固提升，由2020年的79.7%提高到2025年的81%，2035年的85%”</w:t>
      </w:r>
      <w:r>
        <w:rPr>
          <w:rFonts w:hint="eastAsia"/>
        </w:rPr>
        <w:t>。</w:t>
      </w:r>
    </w:p>
    <w:p>
      <w:r>
        <w:rPr>
          <w:rFonts w:hint="eastAsia"/>
        </w:rPr>
        <w:t>重点开展青年镇、南桐镇及关坝镇等岩溶地区石漠化综合治理；对坡耕地集中区域，实施坡耕地水土流失综合整治，建设高标准基本农田；对关坝镇、青年镇、南桐镇等矿山开采区域，积极推进绿色矿山建设。加强地质灾害监测预警和防治。监督管理方面，强化关坝煤电化工业园区、平山工业园区建设中的水土保持预防监督管理，有效控制人为水土流失。</w:t>
      </w:r>
    </w:p>
    <w:p>
      <w:pPr>
        <w:pStyle w:val="4"/>
        <w:ind w:firstLine="643"/>
      </w:pPr>
      <w:r>
        <w:rPr>
          <w:rFonts w:hint="eastAsia"/>
        </w:rPr>
        <w:t>四、改善城市生态环境质量，提升城市生活品质</w:t>
      </w:r>
    </w:p>
    <w:p>
      <w:r>
        <w:rPr>
          <w:rFonts w:hint="eastAsia"/>
        </w:rPr>
        <w:t>通过城市绿系保护和利用，提升城市宜居宜业宜游水平，为“生态秀美城市”建设提供生态支撑。</w:t>
      </w:r>
    </w:p>
    <w:p>
      <w:pPr>
        <w:pStyle w:val="5"/>
        <w:ind w:firstLine="602"/>
      </w:pPr>
      <w:r>
        <w:rPr>
          <w:rFonts w:hint="eastAsia"/>
        </w:rPr>
        <w:t>1、提升城市生态韧性</w:t>
      </w:r>
    </w:p>
    <w:p>
      <w:r>
        <w:rPr>
          <w:rFonts w:hint="eastAsia"/>
        </w:rPr>
        <w:t>通过城市生态用地管控与调适，城市建设用地开发管控与景观设计、城市绿色基础设施建设等方面，强调城市开发建设过程中植物、绿地、水体等自然条件的生态化景观设计，如植被缓冲带、植物浅沟、湿地等，以获得环境、生态、景观等多重效益，共同提升城市生态系统韧性，增强城市抵御高温、干旱、暴雨、洪水等突变事件的能力。获得环境、生态、景观等多重效益，共同提升城市生态系统韧性，增强城市抵御高温、干旱、暴雨、洪水等突变事件的能力。依托城市绿色基础设施重点项目建设，积极推进海绵城市建设。水利用处理技术应用上非工程的生态技术开发与综合运用。在城市建设过程中，推动地下综合管廊建设工作；规划建设自行车道，倡导低碳出行，推进多功能复合的生态绿道网络系统建设。</w:t>
      </w:r>
    </w:p>
    <w:p>
      <w:pPr>
        <w:pStyle w:val="5"/>
        <w:ind w:firstLine="602"/>
      </w:pPr>
      <w:r>
        <w:rPr>
          <w:rFonts w:hint="eastAsia"/>
        </w:rPr>
        <w:t>2、积极推进公园城市建设</w:t>
      </w:r>
    </w:p>
    <w:p>
      <w:r>
        <w:rPr>
          <w:rFonts w:hint="eastAsia"/>
        </w:rPr>
        <w:t>加大城区绿化力度，推动城市公园体系建设，打造绿色城市空间，结合城市更新新建一批综合公园、社区公园、专类公园和游园，增加公园绿地总量，优化公园绿地布局，提升公园绿地功能，形成“布局均衡、类型多样、功能丰富、特色鲜明”的城市公园体系；建设城市绿道环线，结合城市绿化美化亮化工程，构建“</w:t>
      </w:r>
      <w:r>
        <w:t>300米见绿、500米见园”的城市生态格局。鼓励打造一批“生态园区”“绿色工厂”，探索</w:t>
      </w:r>
      <w:r>
        <w:rPr>
          <w:rFonts w:hint="eastAsia"/>
        </w:rPr>
        <w:t>关坝煤电化</w:t>
      </w:r>
      <w:r>
        <w:t>园</w:t>
      </w:r>
      <w:r>
        <w:rPr>
          <w:rFonts w:hint="eastAsia"/>
        </w:rPr>
        <w:t>、</w:t>
      </w:r>
      <w:r>
        <w:t>与</w:t>
      </w:r>
      <w:r>
        <w:rPr>
          <w:rFonts w:hint="eastAsia"/>
        </w:rPr>
        <w:t>城镇</w:t>
      </w:r>
      <w:r>
        <w:t>融合发展问题，推动全区“产城景”融合。积极推进垂直绿化、屋顶绿化为重点的城市空间立体绿化，实施裸露边坡绿化</w:t>
      </w:r>
      <w:r>
        <w:rPr>
          <w:rFonts w:hint="eastAsia"/>
        </w:rPr>
        <w:t>整治，整体提升绿色基础设施的生态保护和生态服务功能。</w:t>
      </w:r>
    </w:p>
    <w:p>
      <w:pPr>
        <w:pStyle w:val="5"/>
        <w:ind w:firstLine="602"/>
      </w:pPr>
      <w:r>
        <w:rPr>
          <w:rFonts w:hint="eastAsia"/>
        </w:rPr>
        <w:t>3、探索城市生态用地复合利用</w:t>
      </w:r>
    </w:p>
    <w:p>
      <w:r>
        <w:rPr>
          <w:rFonts w:hint="eastAsia"/>
        </w:rPr>
        <w:t>全面统筹城镇内外河流、湖泊、山体、湿地、公园绿地等各类蓝绿空间，划定蓝线和绿线，合理布局绿廊、绿环、绿楔、绿心等城乡融合的生态网络；加强城市河湖湿地沿线绿化和亲水空间建设，构建蓝绿交织的生态网络体系。推动城市内部绿地、水系同城市外围山、水、林、田、湖等自然生态要素有机连接，构建功能复合、包容联通的城市生态廊道系统和城市间生态绿廊、滨水绿带及城乡休闲游憩绿道体系。结合城市外部自然空间和内部开敞空间建设多尺度通风廊道，将清洁空气引入城市中心；促进局部地区风循环，建设街区尺度通风廊道，推进气候友好型城市生态系统构建。</w:t>
      </w:r>
    </w:p>
    <w:p>
      <w:pPr>
        <w:pStyle w:val="5"/>
        <w:ind w:firstLine="602"/>
      </w:pPr>
      <w:r>
        <w:rPr>
          <w:rFonts w:hint="eastAsia"/>
        </w:rPr>
        <w:t>4、着力解决功能冲突空间</w:t>
      </w:r>
    </w:p>
    <w:p>
      <w:pPr>
        <w:pStyle w:val="6"/>
        <w:ind w:firstLine="602"/>
      </w:pPr>
      <w:r>
        <w:rPr>
          <w:rFonts w:hint="eastAsia"/>
        </w:rPr>
        <w:t>4.1建立冲突区域协调机制，解决复合空间功能冲突</w:t>
      </w:r>
    </w:p>
    <w:p>
      <w:r>
        <w:rPr>
          <w:rFonts w:hint="eastAsia"/>
        </w:rPr>
        <w:t>明确功能冲突区域的位置、规模和土地利用结构，着力解决因不合理的利用方式和资源错配造成的用地矛盾。深化国土空间用途管制制度，建立功能冲突区域调控机制，按照“宜耕则耕、宜林则林、宜草则草、宜湿则湿、宜荒则荒”的原则，对违背自然地理规律和不符合主体功能定位的用地结构进行调整，优化生态空间管控模式。</w:t>
      </w:r>
    </w:p>
    <w:p>
      <w:pPr>
        <w:pStyle w:val="6"/>
        <w:ind w:firstLine="602"/>
      </w:pPr>
      <w:r>
        <w:rPr>
          <w:rFonts w:hint="eastAsia"/>
        </w:rPr>
        <w:t>4.2开展冲突区域综合管治，优化国土空间功能布局</w:t>
      </w:r>
    </w:p>
    <w:p>
      <w:r>
        <w:rPr>
          <w:rFonts w:hint="eastAsia"/>
        </w:rPr>
        <w:t>有序退出不符合生态保护红线和自然保护地管控要求的农田和建设用地，实施生态保护红线保护与修复，分区分类开展受损生态系统修复，改善和提升生态功能。大力开展农村土地综合整治，优化永久基本农田布局，建设生态良田，增强农业的生态、景观和间隔功能，提升农业的生态效能，促进农业空间与生态空间协调布局。优化农业空间与城镇空间布局，促进城乡空间优化和统筹发展。</w:t>
      </w:r>
    </w:p>
    <w:p>
      <w:pPr>
        <w:pStyle w:val="6"/>
        <w:ind w:firstLine="602"/>
      </w:pPr>
      <w:r>
        <w:rPr>
          <w:rFonts w:hint="eastAsia"/>
        </w:rPr>
        <w:t>4</w:t>
      </w:r>
      <w:r>
        <w:t>.3</w:t>
      </w:r>
      <w:r>
        <w:rPr>
          <w:rFonts w:hint="eastAsia"/>
        </w:rPr>
        <w:t>实施生态廊道建设，构建区域生态网络</w:t>
      </w:r>
    </w:p>
    <w:p>
      <w:r>
        <w:rPr>
          <w:rFonts w:hint="eastAsia"/>
        </w:rPr>
        <w:t>保护和维持自然保护地等现有的核心生境，以重要山脉、河流水系、重要动物栖息地、重要交通水利基础设施为脉络，建设生态廊道，构建关键生态节点，连通生物多样性网络。开展生态缓冲区建设，修复受损生境，营造河湖岸线防护林带，恢复自然驳岸，建设城镇生态绿隔，改善流域水系之间、重要生态系统之间的连通性。</w:t>
      </w:r>
    </w:p>
    <w:p>
      <w:pPr>
        <w:pStyle w:val="4"/>
        <w:ind w:firstLine="643"/>
      </w:pPr>
      <w:r>
        <w:rPr>
          <w:rFonts w:hint="eastAsia"/>
        </w:rPr>
        <w:t>五、强化生态保护</w:t>
      </w:r>
    </w:p>
    <w:p>
      <w:r>
        <w:t>规划区内涉及涉及生态保护红线94.79km²，生态保护红线内按自然保护地核心保护区和其他区域进行分类管控。</w:t>
      </w:r>
    </w:p>
    <w:p>
      <w:r>
        <w:t>自然保护地核心保护区原则上禁止人为活动，不得建设任何生产设施，保护自然资源、生物多样性以及所承载的景观、</w:t>
      </w:r>
      <w:r>
        <w:rPr>
          <w:rFonts w:hint="eastAsia"/>
        </w:rPr>
        <w:t>地质地貌和文化多样性，发挥生态系统服务功能，持续为人民提供优质生态产品。</w:t>
      </w:r>
    </w:p>
    <w:p>
      <w:r>
        <w:t>其他区域严格禁止开发性、生产</w:t>
      </w:r>
      <w:r>
        <w:rPr>
          <w:rFonts w:hint="eastAsia"/>
          <w:lang w:eastAsia="zh-CN"/>
        </w:rPr>
        <w:t>型</w:t>
      </w:r>
      <w:r>
        <w:t>等不符合主体功能定位的各类建设活动，严禁任意改变用途；优先保护良好生态系统</w:t>
      </w:r>
      <w:r>
        <w:rPr>
          <w:rFonts w:hint="eastAsia"/>
        </w:rPr>
        <w:t>和重要物种栖息地，建立和完善生态廊道，提高生态系统完整性和连通性。在符合现行法律法规前提下，除国家重大战略项目外，仅允许开展对生态功能不造成破坏的有限人为活动。</w:t>
      </w:r>
    </w:p>
    <w:p>
      <w:r>
        <w:t>对生态保护红线保护成效进行考核，结果纳入生态文明建设目标评价考核体系。建立生态保护红线监管平台，强化生态状况监测和生态风险预警。</w:t>
      </w:r>
    </w:p>
    <w:p>
      <w:r>
        <w:rPr>
          <w:rFonts w:hint="eastAsia"/>
        </w:rPr>
        <w:t>其中万盛经开区自然保护地名录共5个，保护面积8</w:t>
      </w:r>
      <w:r>
        <w:t>535.13</w:t>
      </w:r>
      <w:r>
        <w:rPr>
          <w:rFonts w:hint="eastAsia"/>
        </w:rPr>
        <w:t>公顷，占生态保护红线的9</w:t>
      </w:r>
      <w:r>
        <w:t>0</w:t>
      </w:r>
      <w:r>
        <w:rPr>
          <w:rFonts w:hint="eastAsia"/>
        </w:rPr>
        <w:t>%，保护压力大。</w:t>
      </w:r>
    </w:p>
    <w:p>
      <w:pPr>
        <w:adjustRightInd w:val="0"/>
        <w:snapToGrid w:val="0"/>
        <w:spacing w:line="360" w:lineRule="auto"/>
        <w:ind w:firstLine="560"/>
        <w:jc w:val="center"/>
        <w:rPr>
          <w:rFonts w:ascii="Times New Roman" w:hAnsi="Times New Roman" w:eastAsia="方正仿宋_GBK" w:cs="Times New Roman"/>
          <w:sz w:val="32"/>
          <w:szCs w:val="32"/>
        </w:rPr>
      </w:pPr>
      <w:r>
        <w:rPr>
          <w:rFonts w:ascii="Times New Roman" w:hAnsi="Times New Roman" w:eastAsia="方正黑体_GBK" w:cs="Times New Roman"/>
          <w:sz w:val="28"/>
          <w:szCs w:val="28"/>
        </w:rPr>
        <w:t>表2</w:t>
      </w:r>
      <w:r>
        <w:rPr>
          <w:rFonts w:hint="eastAsia" w:ascii="Times New Roman" w:hAnsi="Times New Roman" w:eastAsia="方正黑体_GBK" w:cs="Times New Roman"/>
          <w:sz w:val="28"/>
          <w:szCs w:val="28"/>
        </w:rPr>
        <w:t>万盛经开</w:t>
      </w:r>
      <w:r>
        <w:rPr>
          <w:rFonts w:ascii="Times New Roman" w:hAnsi="Times New Roman" w:eastAsia="方正黑体_GBK" w:cs="Times New Roman"/>
          <w:sz w:val="28"/>
          <w:szCs w:val="28"/>
        </w:rPr>
        <w:t>区</w:t>
      </w:r>
      <w:r>
        <w:rPr>
          <w:rFonts w:hint="eastAsia" w:ascii="Times New Roman" w:hAnsi="Times New Roman" w:eastAsia="方正黑体_GBK" w:cs="Times New Roman"/>
          <w:sz w:val="28"/>
          <w:szCs w:val="28"/>
        </w:rPr>
        <w:t>自然保护地名录</w:t>
      </w:r>
      <w:r>
        <w:rPr>
          <w:rFonts w:ascii="Times New Roman" w:hAnsi="Times New Roman" w:eastAsia="方正黑体_GBK" w:cs="Times New Roman"/>
          <w:sz w:val="28"/>
          <w:szCs w:val="28"/>
        </w:rPr>
        <w:t>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2"/>
        <w:gridCol w:w="5582"/>
        <w:gridCol w:w="2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75" w:type="pct"/>
            <w:noWrap/>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序号</w:t>
            </w:r>
          </w:p>
        </w:tc>
        <w:tc>
          <w:tcPr>
            <w:tcW w:w="3080" w:type="pct"/>
            <w:noWrap/>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自然保护地名称</w:t>
            </w:r>
          </w:p>
        </w:tc>
        <w:tc>
          <w:tcPr>
            <w:tcW w:w="1345" w:type="pct"/>
            <w:noWrap/>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面积（公顷）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75" w:type="pct"/>
            <w:noWrap/>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1</w:t>
            </w:r>
          </w:p>
        </w:tc>
        <w:tc>
          <w:tcPr>
            <w:tcW w:w="3080" w:type="pct"/>
            <w:noWrap/>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重庆万盛白龙湖市级森林自然公园</w:t>
            </w:r>
          </w:p>
        </w:tc>
        <w:tc>
          <w:tcPr>
            <w:tcW w:w="1345" w:type="pct"/>
            <w:noWrap/>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 xml:space="preserve">1021.05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75" w:type="pct"/>
            <w:noWrap/>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2</w:t>
            </w:r>
          </w:p>
        </w:tc>
        <w:tc>
          <w:tcPr>
            <w:tcW w:w="3080" w:type="pct"/>
            <w:noWrap/>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重庆万盛黑山国家地质自然公园</w:t>
            </w:r>
          </w:p>
        </w:tc>
        <w:tc>
          <w:tcPr>
            <w:tcW w:w="1345" w:type="pct"/>
            <w:noWrap/>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 xml:space="preserve">3020.60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75" w:type="pct"/>
            <w:noWrap/>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3</w:t>
            </w:r>
          </w:p>
        </w:tc>
        <w:tc>
          <w:tcPr>
            <w:tcW w:w="3080" w:type="pct"/>
            <w:noWrap/>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重庆万盛黑山市级自然保护区</w:t>
            </w:r>
          </w:p>
        </w:tc>
        <w:tc>
          <w:tcPr>
            <w:tcW w:w="1345" w:type="pct"/>
            <w:noWrap/>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 xml:space="preserve">3784.94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75" w:type="pct"/>
            <w:noWrap/>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4</w:t>
            </w:r>
          </w:p>
        </w:tc>
        <w:tc>
          <w:tcPr>
            <w:tcW w:w="3080" w:type="pct"/>
            <w:noWrap/>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重庆万盛九锅箐市级森林自然公园</w:t>
            </w:r>
          </w:p>
        </w:tc>
        <w:tc>
          <w:tcPr>
            <w:tcW w:w="1345" w:type="pct"/>
            <w:noWrap/>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 xml:space="preserve">552.80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75" w:type="pct"/>
            <w:noWrap/>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5</w:t>
            </w:r>
          </w:p>
        </w:tc>
        <w:tc>
          <w:tcPr>
            <w:tcW w:w="3080" w:type="pct"/>
            <w:noWrap/>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重庆万盛青山湖国家湿地自然公园</w:t>
            </w:r>
          </w:p>
        </w:tc>
        <w:tc>
          <w:tcPr>
            <w:tcW w:w="1345" w:type="pct"/>
            <w:noWrap/>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 xml:space="preserve">155.74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75" w:type="pct"/>
            <w:noWrap/>
          </w:tcPr>
          <w:p>
            <w:pPr>
              <w:spacing w:line="319" w:lineRule="auto"/>
              <w:ind w:firstLine="0" w:firstLineChars="0"/>
              <w:outlineLvl w:val="7"/>
              <w:rPr>
                <w:rFonts w:asciiTheme="majorHAnsi" w:hAnsiTheme="majorHAnsi" w:cstheme="majorBidi"/>
                <w:sz w:val="22"/>
                <w:szCs w:val="22"/>
              </w:rPr>
            </w:pPr>
          </w:p>
        </w:tc>
        <w:tc>
          <w:tcPr>
            <w:tcW w:w="3080" w:type="pct"/>
            <w:noWrap/>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共计</w:t>
            </w:r>
          </w:p>
        </w:tc>
        <w:tc>
          <w:tcPr>
            <w:tcW w:w="1345" w:type="pct"/>
            <w:noWrap/>
          </w:tcPr>
          <w:p>
            <w:pPr>
              <w:spacing w:line="319" w:lineRule="auto"/>
              <w:ind w:firstLine="0" w:firstLineChars="0"/>
              <w:outlineLvl w:val="7"/>
              <w:rPr>
                <w:rFonts w:asciiTheme="majorHAnsi" w:hAnsiTheme="majorHAnsi" w:cstheme="majorBidi"/>
                <w:sz w:val="22"/>
                <w:szCs w:val="22"/>
              </w:rPr>
            </w:pPr>
            <w:r>
              <w:rPr>
                <w:rFonts w:hint="eastAsia" w:asciiTheme="majorHAnsi" w:hAnsiTheme="majorHAnsi" w:cstheme="majorBidi"/>
                <w:sz w:val="22"/>
                <w:szCs w:val="22"/>
              </w:rPr>
              <w:t xml:space="preserve">8535.13 </w:t>
            </w:r>
          </w:p>
        </w:tc>
      </w:tr>
    </w:tbl>
    <w:p>
      <w:r>
        <w:rPr>
          <w:rFonts w:hint="eastAsia"/>
        </w:rPr>
        <w:t>严格按《关于建立以国家公园为主体的自然保护地体系的指导意见》及相关法律法规对各类自然保护地实施统一设置、分级管理、分区管控，形成以国家公园为主体，自然保护区为基础、各类自然公园为补充的自然保护地管理体系。</w:t>
      </w:r>
    </w:p>
    <w:p>
      <w:r>
        <w:br w:type="page"/>
      </w:r>
    </w:p>
    <w:p>
      <w:pPr>
        <w:pStyle w:val="37"/>
        <w:numPr>
          <w:ilvl w:val="0"/>
          <w:numId w:val="1"/>
        </w:numPr>
        <w:ind w:left="1021" w:firstLineChars="0"/>
        <w:jc w:val="center"/>
        <w:outlineLvl w:val="0"/>
      </w:pPr>
      <w:bookmarkStart w:id="38" w:name="_Toc139015088"/>
      <w:r>
        <w:rPr>
          <w:rFonts w:hint="eastAsia" w:eastAsia="黑体"/>
          <w:b/>
          <w:bCs/>
          <w:kern w:val="44"/>
          <w:sz w:val="44"/>
          <w:szCs w:val="44"/>
        </w:rPr>
        <w:t>生态保护修复重点工程</w:t>
      </w:r>
      <w:bookmarkEnd w:id="35"/>
      <w:bookmarkEnd w:id="36"/>
      <w:bookmarkEnd w:id="38"/>
    </w:p>
    <w:p>
      <w:pPr>
        <w:pStyle w:val="3"/>
      </w:pPr>
      <w:bookmarkStart w:id="39" w:name="_Toc121730905"/>
      <w:bookmarkStart w:id="40" w:name="_Toc139015089"/>
      <w:r>
        <w:rPr>
          <w:rFonts w:hint="eastAsia"/>
        </w:rPr>
        <w:t xml:space="preserve">第一节 </w:t>
      </w:r>
      <w:r>
        <w:t>重点区域</w:t>
      </w:r>
      <w:bookmarkEnd w:id="39"/>
      <w:bookmarkEnd w:id="40"/>
    </w:p>
    <w:p>
      <w:bookmarkStart w:id="41" w:name="_Hlk126763473"/>
      <w:r>
        <w:rPr>
          <w:rFonts w:hint="eastAsia"/>
        </w:rPr>
        <w:t>基于万盛经开区生态状况及生态问题分布、严重程度，兼顾生态功能，聚焦重要生态功能区、重大战略支撑区等关键区域，衔接万盛经开区生态环境保护</w:t>
      </w:r>
      <w:r>
        <w:rPr>
          <w:rFonts w:hint="eastAsia"/>
          <w:lang w:eastAsia="zh-CN"/>
        </w:rPr>
        <w:t>“</w:t>
      </w:r>
      <w:r>
        <w:rPr>
          <w:rFonts w:hint="eastAsia"/>
        </w:rPr>
        <w:t>十四五</w:t>
      </w:r>
      <w:r>
        <w:rPr>
          <w:rFonts w:hint="eastAsia"/>
          <w:lang w:eastAsia="zh-CN"/>
        </w:rPr>
        <w:t>”</w:t>
      </w:r>
      <w:r>
        <w:rPr>
          <w:rFonts w:hint="eastAsia"/>
        </w:rPr>
        <w:t>规划、国民经济和社会发展</w:t>
      </w:r>
      <w:r>
        <w:rPr>
          <w:rFonts w:hint="eastAsia"/>
          <w:lang w:eastAsia="zh-CN"/>
        </w:rPr>
        <w:t>“</w:t>
      </w:r>
      <w:r>
        <w:rPr>
          <w:rFonts w:hint="eastAsia"/>
        </w:rPr>
        <w:t>十四五</w:t>
      </w:r>
      <w:r>
        <w:rPr>
          <w:rFonts w:hint="eastAsia"/>
          <w:lang w:eastAsia="zh-CN"/>
        </w:rPr>
        <w:t>”</w:t>
      </w:r>
      <w:r>
        <w:rPr>
          <w:rFonts w:hint="eastAsia"/>
        </w:rPr>
        <w:t>规划等相关规划对生态保护修复作出的安排，形成万盛经开区采煤沉陷区生态修复、水环境综合治理、人居环境提升、生态屏障建设、湿地生态修复</w:t>
      </w:r>
      <w:r>
        <w:t>5类保护修复重点区。</w:t>
      </w:r>
    </w:p>
    <w:p>
      <w:pPr>
        <w:ind w:firstLine="602"/>
      </w:pPr>
      <w:bookmarkStart w:id="42" w:name="_Toc121507372"/>
      <w:bookmarkStart w:id="43" w:name="_Toc121730906"/>
      <w:r>
        <w:rPr>
          <w:rFonts w:hint="eastAsia"/>
          <w:b/>
          <w:bCs/>
        </w:rPr>
        <w:t>采煤沉陷区生态修复</w:t>
      </w:r>
      <w:bookmarkEnd w:id="42"/>
      <w:bookmarkEnd w:id="43"/>
      <w:r>
        <w:rPr>
          <w:rFonts w:hint="eastAsia"/>
          <w:b/>
          <w:bCs/>
        </w:rPr>
        <w:t>重点区</w:t>
      </w:r>
      <w:r>
        <w:rPr>
          <w:rFonts w:hint="eastAsia"/>
        </w:rPr>
        <w:t>。主要涉及金桥镇、丛林镇、南桐镇、万东镇东林街道、桥镇三台村、南桐镇温塘村、营寨村、民权村、沙坝村、黑山镇鱼子村等区域，存在地面坍塌隐患、水土流失风险、地下水源污染等问题，以及矿山关闭后未及时修复使区域生态环境承载力减弱，景观效果差，亟需开展修复。</w:t>
      </w:r>
    </w:p>
    <w:p>
      <w:pPr>
        <w:ind w:firstLine="602"/>
      </w:pPr>
      <w:bookmarkStart w:id="44" w:name="_Toc121507373"/>
      <w:bookmarkStart w:id="45" w:name="_Toc121730907"/>
      <w:r>
        <w:rPr>
          <w:rFonts w:hint="eastAsia"/>
          <w:b/>
          <w:bCs/>
        </w:rPr>
        <w:t>水环境综合治理</w:t>
      </w:r>
      <w:bookmarkEnd w:id="44"/>
      <w:bookmarkEnd w:id="45"/>
      <w:r>
        <w:rPr>
          <w:rFonts w:hint="eastAsia"/>
          <w:b/>
          <w:bCs/>
        </w:rPr>
        <w:t>重点区。</w:t>
      </w:r>
      <w:r>
        <w:rPr>
          <w:rFonts w:hint="eastAsia"/>
        </w:rPr>
        <w:t>主要涉及五步河、木洞河、丛林河、溱溪河、孝子河等区域。针对区域内河流水量较小、生态环境抗压能力弱，河流源头区域及沿线缺少水源涵养地，以及生活垃圾污染、污水直排、干流企业污水漏排等问题。亟需明确风险管控与修复重点，精准开展污染治理。</w:t>
      </w:r>
    </w:p>
    <w:p>
      <w:pPr>
        <w:ind w:firstLine="602"/>
      </w:pPr>
      <w:bookmarkStart w:id="46" w:name="_Toc121507374"/>
      <w:bookmarkStart w:id="47" w:name="_Toc121730908"/>
      <w:r>
        <w:rPr>
          <w:rFonts w:hint="eastAsia"/>
          <w:b/>
          <w:bCs/>
        </w:rPr>
        <w:t>人居环境提升</w:t>
      </w:r>
      <w:bookmarkEnd w:id="46"/>
      <w:bookmarkEnd w:id="47"/>
      <w:r>
        <w:rPr>
          <w:rFonts w:hint="eastAsia"/>
          <w:b/>
          <w:bCs/>
        </w:rPr>
        <w:t>重点区</w:t>
      </w:r>
      <w:r>
        <w:rPr>
          <w:rFonts w:hint="eastAsia"/>
        </w:rPr>
        <w:t>。主要涉及万盛街道、东林街道、南桐镇等区域，其中又以关坝镇煤电化产业园为代表，工业生产与人居环境矛盾日渐突出，存在城市绿地分布不均衡，边角地、坡坎崖等绿地空间利用率不高，部分区域缺树少绿等生态问题。需分类分级采取修复措施，及时增强绿地生态系统的整体效能，为人民群众提供舒适、自然的城市绿地空间。</w:t>
      </w:r>
    </w:p>
    <w:p>
      <w:pPr>
        <w:ind w:firstLine="602"/>
      </w:pPr>
      <w:bookmarkStart w:id="48" w:name="_Toc121507375"/>
      <w:bookmarkStart w:id="49" w:name="_Toc121730909"/>
      <w:r>
        <w:rPr>
          <w:rFonts w:hint="eastAsia"/>
          <w:b/>
          <w:bCs/>
        </w:rPr>
        <w:t>生态屏障建设</w:t>
      </w:r>
      <w:bookmarkEnd w:id="48"/>
      <w:bookmarkEnd w:id="49"/>
      <w:r>
        <w:rPr>
          <w:rFonts w:hint="eastAsia"/>
          <w:b/>
          <w:bCs/>
        </w:rPr>
        <w:t>重点区。</w:t>
      </w:r>
      <w:r>
        <w:rPr>
          <w:rFonts w:hint="eastAsia"/>
        </w:rPr>
        <w:t>主要涉及黑山森林公园、九锅箐森林公园等区域，现状林地多存在退化林、林分结构不完善，景观林不足等生态问题。同时因旅游开发导致的人为干扰加重，亟需开展修复，需建立有效的生态保护机制、提升林地结构质量、完善生态监测和预警体系。</w:t>
      </w:r>
    </w:p>
    <w:p>
      <w:pPr>
        <w:ind w:firstLine="602"/>
      </w:pPr>
      <w:bookmarkStart w:id="50" w:name="_Toc121730910"/>
      <w:bookmarkStart w:id="51" w:name="_Toc121507376"/>
      <w:r>
        <w:rPr>
          <w:rFonts w:hint="eastAsia"/>
          <w:b/>
          <w:bCs/>
        </w:rPr>
        <w:t>湿地生态修复</w:t>
      </w:r>
      <w:bookmarkEnd w:id="50"/>
      <w:bookmarkEnd w:id="51"/>
      <w:r>
        <w:rPr>
          <w:rFonts w:hint="eastAsia"/>
          <w:b/>
          <w:bCs/>
        </w:rPr>
        <w:t>重点区。</w:t>
      </w:r>
      <w:r>
        <w:rPr>
          <w:rFonts w:hint="eastAsia"/>
        </w:rPr>
        <w:t>主要涉及朝阳沟、藻渡河、金兰坝养殖场、白龙湖水库、刘家河、茅里水库、金桥水库、青山湖湿地公园等区域，主要存在湿地区域无保护管理机制、人工干预过重、生态湿地功能退化等生态问题，亟需开展修复，需明确保护形式，建立健全管理保护机制。</w:t>
      </w:r>
    </w:p>
    <w:p>
      <w:pPr>
        <w:ind w:firstLine="602"/>
      </w:pPr>
      <w:r>
        <w:rPr>
          <w:rFonts w:hint="eastAsia"/>
          <w:b/>
          <w:bCs/>
        </w:rPr>
        <w:t>国土综合整治区</w:t>
      </w:r>
      <w:r>
        <w:rPr>
          <w:rFonts w:hint="eastAsia"/>
        </w:rPr>
        <w:t>：在万盛经开区</w:t>
      </w:r>
      <w:r>
        <w:rPr>
          <w:rFonts w:hint="eastAsia" w:ascii="仿宋_GB2312" w:hAnsi="仿宋_GB2312" w:cs="仿宋_GB2312"/>
          <w:bCs/>
        </w:rPr>
        <w:t>石林镇、青年镇</w:t>
      </w:r>
      <w:r>
        <w:rPr>
          <w:rFonts w:hint="eastAsia"/>
        </w:rPr>
        <w:t>布设土地平整工程、灌溉排水工程、田间道路工程、其他工程，计划实施</w:t>
      </w:r>
      <w:r>
        <w:rPr>
          <w:rFonts w:ascii="仿宋_GB2312" w:hAnsi="仿宋_GB2312" w:cs="仿宋_GB2312"/>
          <w:bCs/>
        </w:rPr>
        <w:t>244</w:t>
      </w:r>
      <w:r>
        <w:rPr>
          <w:rFonts w:hint="eastAsia" w:ascii="仿宋_GB2312" w:hAnsi="仿宋_GB2312" w:cs="仿宋_GB2312"/>
          <w:bCs/>
        </w:rPr>
        <w:t>公顷</w:t>
      </w:r>
      <w:r>
        <w:t>，</w:t>
      </w:r>
      <w:r>
        <w:rPr>
          <w:rFonts w:hint="eastAsia" w:ascii="仿宋_GB2312" w:hAnsi="仿宋_GB2312" w:cs="仿宋_GB2312"/>
          <w:bCs/>
        </w:rPr>
        <w:t>预计增加新增耕地1</w:t>
      </w:r>
      <w:r>
        <w:rPr>
          <w:rFonts w:ascii="仿宋_GB2312" w:hAnsi="仿宋_GB2312" w:cs="仿宋_GB2312"/>
          <w:bCs/>
        </w:rPr>
        <w:t>2</w:t>
      </w:r>
      <w:r>
        <w:rPr>
          <w:rFonts w:hint="eastAsia" w:ascii="仿宋_GB2312" w:hAnsi="仿宋_GB2312" w:cs="仿宋_GB2312"/>
          <w:bCs/>
        </w:rPr>
        <w:t>公顷</w:t>
      </w:r>
      <w:r>
        <w:t>，提高耕地质量，改善经开区</w:t>
      </w:r>
      <w:r>
        <w:rPr>
          <w:rFonts w:hint="eastAsia"/>
        </w:rPr>
        <w:t>农业</w:t>
      </w:r>
      <w:r>
        <w:t>生态环境。</w:t>
      </w:r>
    </w:p>
    <w:bookmarkEnd w:id="41"/>
    <w:p>
      <w:pPr>
        <w:pStyle w:val="3"/>
      </w:pPr>
      <w:bookmarkStart w:id="52" w:name="_Toc121730911"/>
      <w:bookmarkStart w:id="53" w:name="_Toc139015090"/>
      <w:r>
        <w:rPr>
          <w:rFonts w:hint="eastAsia"/>
        </w:rPr>
        <w:t>第二节 重点</w:t>
      </w:r>
      <w:r>
        <w:t>工程</w:t>
      </w:r>
      <w:bookmarkEnd w:id="52"/>
      <w:bookmarkEnd w:id="53"/>
    </w:p>
    <w:p>
      <w:pPr>
        <w:pStyle w:val="10"/>
        <w:pBdr>
          <w:top w:val="none" w:color="auto" w:sz="0" w:space="1"/>
          <w:left w:val="none" w:color="auto" w:sz="0" w:space="4"/>
          <w:bottom w:val="none" w:color="auto" w:sz="0" w:space="1"/>
          <w:right w:val="none" w:color="auto" w:sz="0" w:space="4"/>
        </w:pBdr>
        <w:rPr>
          <w:sz w:val="30"/>
          <w:szCs w:val="30"/>
        </w:rPr>
      </w:pPr>
      <w:r>
        <w:rPr>
          <w:rFonts w:hint="eastAsia"/>
          <w:sz w:val="30"/>
          <w:szCs w:val="30"/>
        </w:rPr>
        <w:t>根据全区“一核一屏多网多点”的生态安全总体格局，聚焦全区生态、农业、城镇以及矿山主要生态问题和主攻方向，按照提高生态质量、改善生态功能、提升生态品质、促进和谐发展的规划目标和重点任务，扎实推进以重大工程为抓手的全区生态修复工作</w:t>
      </w:r>
      <w:r>
        <w:rPr>
          <w:sz w:val="30"/>
          <w:szCs w:val="30"/>
        </w:rPr>
        <w:t>。</w:t>
      </w:r>
      <w:r>
        <w:rPr>
          <w:rFonts w:hint="eastAsia"/>
          <w:sz w:val="30"/>
          <w:szCs w:val="30"/>
        </w:rPr>
        <w:t>同时基于识别的重点区域，注重自然地理单元的完整性、生态系统的关联性、跨区域的协同性和修复目标的综合性，将5类重点区域进行重组、整合，促进生态保护修复工程由点、线的分散实施转向片、面的集中布局，整体谋划万盛经开区生态保护修复重点工程。</w:t>
      </w:r>
    </w:p>
    <w:p>
      <w:pPr>
        <w:pStyle w:val="4"/>
        <w:ind w:firstLine="643"/>
      </w:pPr>
      <w:bookmarkStart w:id="54" w:name="_Toc121730912"/>
      <w:r>
        <w:rPr>
          <w:rFonts w:hint="eastAsia"/>
        </w:rPr>
        <w:t>一</w:t>
      </w:r>
      <w:r>
        <w:t>、</w:t>
      </w:r>
      <w:bookmarkStart w:id="55" w:name="_Hlk126766090"/>
      <w:r>
        <w:rPr>
          <w:rFonts w:hint="eastAsia"/>
        </w:rPr>
        <w:t>水环境治理与水生态综合治理重点工程</w:t>
      </w:r>
      <w:bookmarkEnd w:id="54"/>
    </w:p>
    <w:bookmarkEnd w:id="55"/>
    <w:p>
      <w:pPr>
        <w:spacing w:line="360" w:lineRule="auto"/>
      </w:pPr>
      <w:bookmarkStart w:id="56" w:name="_Hlk126766133"/>
      <w:r>
        <w:rPr>
          <w:rFonts w:hint="eastAsia"/>
        </w:rPr>
        <w:t>该重点工程主要涉及大娄山区、</w:t>
      </w:r>
      <w:r>
        <w:rPr>
          <w:rFonts w:hint="eastAsia" w:ascii="仿宋_GB2312" w:hAnsi="仿宋_GB2312" w:cs="仿宋_GB2312"/>
        </w:rPr>
        <w:t>木洞河、孝子河、</w:t>
      </w:r>
      <w:r>
        <w:rPr>
          <w:rFonts w:hint="eastAsia"/>
        </w:rPr>
        <w:t>五布河、蒲河等</w:t>
      </w:r>
      <w:r>
        <w:rPr>
          <w:rFonts w:hint="eastAsia" w:ascii="仿宋_GB2312" w:hAnsi="仿宋_GB2312" w:cs="仿宋_GB2312"/>
        </w:rPr>
        <w:t>流域</w:t>
      </w:r>
      <w:r>
        <w:rPr>
          <w:rFonts w:hint="eastAsia"/>
        </w:rPr>
        <w:t>。针对道路边坡裸露、污水直排、河道淤塞，河岸生境不佳、水资源年际分配不均、生态流量不足、消落区湿地功能缺失、林地结构不合理、林带稠密无序、生长空间受限、耕地减少且退化严重、基础设施配套不完善，旅游品质较差等生态问题，实施边坡治理、河道两侧绿化美化、河道综合整治和环境恢复治理、森林抚育与质量提升等措施，包含大娄山区（青山湖流域）山水林田湖草生态保护修复、万盛</w:t>
      </w:r>
      <w:r>
        <w:t>2022年水土保持重点工程金蝶湖、农林片区生态清洁型小流域建设项目</w:t>
      </w:r>
      <w:r>
        <w:rPr>
          <w:rFonts w:hint="eastAsia"/>
        </w:rPr>
        <w:t>、孝子河流域综合治理、508库箐溪河水体生态修复、重庆市万盛经开区五布河、蒲河流域中小河流治理、丛林河上段水源涵养、板辽湖水体生态治理、万盛经开区关闭煤矿碰头岩涌水点矿井废水治理</w:t>
      </w:r>
      <w:r>
        <w:t>8</w:t>
      </w:r>
      <w:r>
        <w:rPr>
          <w:rFonts w:hint="eastAsia"/>
        </w:rPr>
        <w:t>个重点项目，主要目标是协同完善与提升万盛经开区水资源环境生态质量。</w:t>
      </w:r>
    </w:p>
    <w:tbl>
      <w:tblPr>
        <w:tblStyle w:val="24"/>
        <w:tblW w:w="5000" w:type="pct"/>
        <w:tblInd w:w="0" w:type="dxa"/>
        <w:tblLayout w:type="autofit"/>
        <w:tblCellMar>
          <w:top w:w="0" w:type="dxa"/>
          <w:left w:w="108" w:type="dxa"/>
          <w:bottom w:w="0" w:type="dxa"/>
          <w:right w:w="108" w:type="dxa"/>
        </w:tblCellMar>
      </w:tblPr>
      <w:tblGrid>
        <w:gridCol w:w="9061"/>
      </w:tblGrid>
      <w:tr>
        <w:tblPrEx>
          <w:tblCellMar>
            <w:top w:w="0" w:type="dxa"/>
            <w:left w:w="108" w:type="dxa"/>
            <w:bottom w:w="0" w:type="dxa"/>
            <w:right w:w="108" w:type="dxa"/>
          </w:tblCellMar>
        </w:tblPrEx>
        <w:trPr>
          <w:trHeight w:val="765" w:hRule="atLeast"/>
        </w:trPr>
        <w:tc>
          <w:tcPr>
            <w:tcW w:w="5000" w:type="pct"/>
            <w:tcBorders>
              <w:top w:val="single" w:color="auto" w:sz="8" w:space="0"/>
              <w:left w:val="single" w:color="auto" w:sz="8" w:space="0"/>
              <w:bottom w:val="single" w:color="auto" w:sz="8" w:space="0"/>
              <w:right w:val="single" w:color="auto" w:sz="8" w:space="0"/>
            </w:tcBorders>
            <w:shd w:val="clear" w:color="auto" w:fill="auto"/>
            <w:vAlign w:val="center"/>
          </w:tcPr>
          <w:p>
            <w:pPr>
              <w:pStyle w:val="4"/>
              <w:ind w:firstLine="643"/>
              <w:rPr>
                <w:rFonts w:ascii="方正黑体_GBK" w:hAnsi="宋体" w:eastAsia="方正黑体_GBK" w:cs="宋体"/>
                <w:kern w:val="0"/>
                <w:sz w:val="28"/>
                <w:szCs w:val="28"/>
              </w:rPr>
            </w:pPr>
            <w:r>
              <w:rPr>
                <w:rFonts w:hint="eastAsia"/>
              </w:rPr>
              <w:t>专栏1</w:t>
            </w:r>
            <w:r>
              <w:rPr>
                <w:rFonts w:hint="eastAsia"/>
                <w:b w:val="0"/>
                <w:bCs w:val="0"/>
                <w:sz w:val="30"/>
                <w:szCs w:val="24"/>
              </w:rPr>
              <w:t xml:space="preserve"> </w:t>
            </w:r>
            <w:r>
              <w:rPr>
                <w:rFonts w:hint="eastAsia"/>
              </w:rPr>
              <w:t>水环境治理与水生态综合治理重点工程</w:t>
            </w:r>
          </w:p>
        </w:tc>
      </w:tr>
      <w:tr>
        <w:tblPrEx>
          <w:tblCellMar>
            <w:top w:w="0" w:type="dxa"/>
            <w:left w:w="108" w:type="dxa"/>
            <w:bottom w:w="0" w:type="dxa"/>
            <w:right w:w="108" w:type="dxa"/>
          </w:tblCellMar>
        </w:tblPrEx>
        <w:trPr>
          <w:trHeight w:val="3468" w:hRule="atLeast"/>
        </w:trPr>
        <w:tc>
          <w:tcPr>
            <w:tcW w:w="5000" w:type="pct"/>
            <w:tcBorders>
              <w:top w:val="single" w:color="auto" w:sz="8" w:space="0"/>
              <w:left w:val="single" w:color="auto" w:sz="8" w:space="0"/>
              <w:right w:val="single" w:color="auto" w:sz="8" w:space="0"/>
            </w:tcBorders>
            <w:shd w:val="clear" w:color="auto" w:fill="auto"/>
            <w:vAlign w:val="center"/>
          </w:tcPr>
          <w:p>
            <w:pPr>
              <w:widowControl/>
              <w:ind w:firstLine="301" w:firstLineChars="100"/>
            </w:pPr>
            <w:r>
              <w:rPr>
                <w:rFonts w:hint="eastAsia" w:ascii="仿宋_GB2312" w:hAnsi="仿宋_GB2312" w:cs="仿宋_GB2312"/>
                <w:b/>
                <w:bCs/>
              </w:rPr>
              <w:t>1、</w:t>
            </w:r>
            <w:r>
              <w:rPr>
                <w:rFonts w:hint="eastAsia"/>
                <w:b/>
                <w:bCs/>
              </w:rPr>
              <w:t>大娄山区（青山湖流域）山水林田湖草生态保护修复项目</w:t>
            </w:r>
            <w:r>
              <w:rPr>
                <w:rFonts w:hint="eastAsia" w:ascii="Times New Roman" w:hAnsi="Times New Roman" w:eastAsia="方正仿宋_GBK" w:cs="Times New Roman"/>
                <w:sz w:val="28"/>
              </w:rPr>
              <w:t>。</w:t>
            </w:r>
            <w:r>
              <w:rPr>
                <w:rFonts w:hint="eastAsia"/>
              </w:rPr>
              <w:t>涉及金桥镇青山村全域、马头桥村全域、三台村部分区域、万东镇五合村部分区域。主要建设生态护坡</w:t>
            </w:r>
            <w:r>
              <w:t>4km，清理红石路和万金路道路里侧土石、砌石挡墙局部加固边坡，沿途栽种本土灌木、草本、藤本植被，打造立体</w:t>
            </w:r>
            <w:r>
              <w:rPr>
                <w:rFonts w:hint="eastAsia"/>
              </w:rPr>
              <w:t>生态景观带。新建堤防段</w:t>
            </w:r>
            <w:r>
              <w:t>6.9km</w:t>
            </w:r>
            <w:r>
              <w:rPr>
                <w:rFonts w:hint="eastAsia"/>
              </w:rPr>
              <w:t>；</w:t>
            </w:r>
            <w:r>
              <w:t>新建排洪渠5处，新建排洪管涵8处；疏浚长度3.8km；新建生产步道总长6.5km。</w:t>
            </w:r>
            <w:r>
              <w:rPr>
                <w:rFonts w:hint="eastAsia"/>
              </w:rPr>
              <w:t>建设湖滨湿地生态缓冲带</w:t>
            </w:r>
            <w:r>
              <w:t>7公顷，在青山湖环湖道路与水面之间开展植被恢复工程，构建乔灌草带、挺水植物带、浮叶植物带、沉水植物带齐全的生态岸坡</w:t>
            </w:r>
            <w:r>
              <w:rPr>
                <w:rFonts w:hint="eastAsia"/>
              </w:rPr>
              <w:t>。实施森林抚育</w:t>
            </w:r>
            <w:r>
              <w:t>70公顷，对青山湖周边山体的林地进行</w:t>
            </w:r>
            <w:r>
              <w:rPr>
                <w:rFonts w:hint="eastAsia"/>
              </w:rPr>
              <w:t>适度</w:t>
            </w:r>
            <w:r>
              <w:t>采伐、补植、修枝、浇水施肥、割除灌草等抚育</w:t>
            </w:r>
            <w:r>
              <w:rPr>
                <w:rFonts w:hint="eastAsia"/>
              </w:rPr>
              <w:t>措施。</w:t>
            </w:r>
            <w:r>
              <w:t>完成土地整理2.33km²，对马头桥村及周边区域的土地进行台面重构、水田边角地整治、水田旱化修复，道路整修、新建排水沟等</w:t>
            </w:r>
            <w:r>
              <w:rPr>
                <w:rFonts w:hint="eastAsia"/>
              </w:rPr>
              <w:t>。</w:t>
            </w:r>
          </w:p>
        </w:tc>
      </w:tr>
      <w:tr>
        <w:tblPrEx>
          <w:tblCellMar>
            <w:top w:w="0" w:type="dxa"/>
            <w:left w:w="108" w:type="dxa"/>
            <w:bottom w:w="0" w:type="dxa"/>
            <w:right w:w="108" w:type="dxa"/>
          </w:tblCellMar>
        </w:tblPrEx>
        <w:trPr>
          <w:trHeight w:val="1256" w:hRule="atLeast"/>
        </w:trPr>
        <w:tc>
          <w:tcPr>
            <w:tcW w:w="5000" w:type="pct"/>
            <w:tcBorders>
              <w:left w:val="single" w:color="auto" w:sz="8" w:space="0"/>
              <w:bottom w:val="single" w:color="auto" w:sz="8" w:space="0"/>
              <w:right w:val="single" w:color="auto" w:sz="8" w:space="0"/>
            </w:tcBorders>
            <w:shd w:val="clear" w:color="auto" w:fill="auto"/>
            <w:vAlign w:val="center"/>
          </w:tcPr>
          <w:p>
            <w:pPr>
              <w:widowControl/>
              <w:ind w:firstLine="602"/>
              <w:rPr>
                <w:rFonts w:ascii="Times New Roman" w:hAnsi="Times New Roman" w:eastAsia="方正仿宋_GBK" w:cs="Times New Roman"/>
                <w:sz w:val="28"/>
              </w:rPr>
            </w:pPr>
            <w:r>
              <w:rPr>
                <w:rFonts w:hint="eastAsia" w:ascii="仿宋_GB2312" w:hAnsi="仿宋_GB2312" w:cs="仿宋_GB2312"/>
                <w:b/>
              </w:rPr>
              <w:t>2、</w:t>
            </w:r>
            <w:bookmarkStart w:id="57" w:name="_Hlk130393775"/>
            <w:r>
              <w:rPr>
                <w:rFonts w:hint="eastAsia" w:ascii="仿宋_GB2312" w:hAnsi="仿宋_GB2312" w:cs="仿宋_GB2312"/>
                <w:b/>
                <w:bCs/>
              </w:rPr>
              <w:t>万盛</w:t>
            </w:r>
            <w:r>
              <w:rPr>
                <w:rFonts w:ascii="仿宋_GB2312" w:hAnsi="仿宋_GB2312" w:cs="仿宋_GB2312"/>
                <w:b/>
                <w:bCs/>
              </w:rPr>
              <w:t>2022年水土保持重点工程金蝶湖、农林片区生态清洁型小流域建设项目</w:t>
            </w:r>
            <w:bookmarkEnd w:id="57"/>
            <w:r>
              <w:rPr>
                <w:rFonts w:hint="eastAsia" w:ascii="仿宋_GB2312" w:hAnsi="仿宋_GB2312" w:cs="仿宋_GB2312"/>
                <w:b/>
                <w:bCs/>
              </w:rPr>
              <w:t>。</w:t>
            </w:r>
            <w:r>
              <w:rPr>
                <w:rFonts w:hint="eastAsia"/>
              </w:rPr>
              <w:t>主要涉及金桥镇和石林镇。通过开展清洁小流域建设，综合治理水土流失面积</w:t>
            </w:r>
            <w:r>
              <w:t>41k</w:t>
            </w:r>
            <w:r>
              <w:rPr>
                <w:rFonts w:hint="eastAsia" w:ascii="Segoe UI Symbol" w:hAnsi="Segoe UI Symbol" w:cs="Segoe UI Symbol"/>
              </w:rPr>
              <w:t>㎡</w:t>
            </w:r>
            <w:r>
              <w:t>”。</w:t>
            </w:r>
          </w:p>
        </w:tc>
      </w:tr>
      <w:tr>
        <w:tblPrEx>
          <w:tblCellMar>
            <w:top w:w="0" w:type="dxa"/>
            <w:left w:w="108" w:type="dxa"/>
            <w:bottom w:w="0" w:type="dxa"/>
            <w:right w:w="108" w:type="dxa"/>
          </w:tblCellMar>
        </w:tblPrEx>
        <w:trPr>
          <w:trHeight w:val="3765" w:hRule="atLeast"/>
        </w:trPr>
        <w:tc>
          <w:tcPr>
            <w:tcW w:w="5000" w:type="pct"/>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602"/>
              <w:rPr>
                <w:rFonts w:ascii="Times New Roman" w:hAnsi="Times New Roman" w:cs="Times New Roman"/>
                <w:b/>
                <w:bCs/>
                <w:kern w:val="0"/>
                <w:sz w:val="28"/>
                <w:szCs w:val="28"/>
              </w:rPr>
            </w:pPr>
            <w:r>
              <w:rPr>
                <w:rFonts w:hint="eastAsia" w:ascii="仿宋_GB2312" w:hAnsi="仿宋_GB2312" w:cs="仿宋_GB2312"/>
                <w:b/>
              </w:rPr>
              <w:t>3</w:t>
            </w:r>
            <w:r>
              <w:rPr>
                <w:rFonts w:hint="eastAsia"/>
                <w:b/>
                <w:bCs/>
              </w:rPr>
              <w:t>、孝子河流域综合治理项目。</w:t>
            </w:r>
            <w:r>
              <w:rPr>
                <w:rFonts w:hint="eastAsia"/>
              </w:rPr>
              <w:t>主要涉及丛林镇、金桥镇、万东镇、黑山镇、南桐镇</w:t>
            </w:r>
            <w:r>
              <w:t>5个镇</w:t>
            </w:r>
            <w:r>
              <w:rPr>
                <w:rFonts w:hint="eastAsia"/>
              </w:rPr>
              <w:t>，以丛林河、养生河、箐溪沟、大垭槽河、刘家河王家坝段</w:t>
            </w:r>
            <w:r>
              <w:t>5条河流</w:t>
            </w:r>
            <w:r>
              <w:rPr>
                <w:rFonts w:hint="eastAsia"/>
              </w:rPr>
              <w:t>为治理重点</w:t>
            </w:r>
            <w:r>
              <w:rPr>
                <w:rFonts w:hint="eastAsia" w:ascii="Times New Roman" w:hAnsi="Times New Roman" w:eastAsia="方正仿宋_GBK" w:cs="Times New Roman"/>
                <w:sz w:val="28"/>
              </w:rPr>
              <w:t>，</w:t>
            </w:r>
            <w:r>
              <w:rPr>
                <w:rFonts w:hint="eastAsia"/>
              </w:rPr>
              <w:t>从流域层面出发，梳理清楚污染要素、统筹上下游关系，统筹干支流效应，形成合力，加强水量调度，逐步改善河流生态，发挥城市经济功能，实施城市河流清淤疏浚，实现河湖水系连通，改善水生态，提升河流水生生物多样性。对于城市地区河段、水体，结合城市总体规划，因地制宜建设亲水生态岸线，开展黑臭水体综合治理，提升河湖纵向和横向连通性，提高水体自净能力，对于农村地区，以生活污水处理、生活垃圾处理为重点，加强农村水环境综合整治。</w:t>
            </w:r>
            <w:r>
              <w:rPr>
                <w:rFonts w:ascii="Times New Roman" w:hAnsi="Times New Roman" w:cs="Times New Roman"/>
                <w:b/>
                <w:bCs/>
                <w:kern w:val="0"/>
                <w:sz w:val="28"/>
                <w:szCs w:val="28"/>
              </w:rPr>
              <w:t xml:space="preserve"> </w:t>
            </w:r>
          </w:p>
        </w:tc>
      </w:tr>
      <w:tr>
        <w:tblPrEx>
          <w:tblCellMar>
            <w:top w:w="0" w:type="dxa"/>
            <w:left w:w="108" w:type="dxa"/>
            <w:bottom w:w="0" w:type="dxa"/>
            <w:right w:w="108" w:type="dxa"/>
          </w:tblCellMar>
        </w:tblPrEx>
        <w:trPr>
          <w:trHeight w:val="3765" w:hRule="atLeast"/>
        </w:trPr>
        <w:tc>
          <w:tcPr>
            <w:tcW w:w="5000" w:type="pct"/>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602"/>
            </w:pPr>
            <w:r>
              <w:rPr>
                <w:rFonts w:hint="eastAsia" w:ascii="仿宋_GB2312" w:hAnsi="仿宋_GB2312" w:cs="仿宋_GB2312"/>
                <w:b/>
                <w:bCs/>
              </w:rPr>
              <w:t>4、508库箐溪河水体生态修复项目。</w:t>
            </w:r>
            <w:r>
              <w:rPr>
                <w:rFonts w:hint="eastAsia" w:ascii="仿宋_GB2312" w:hAnsi="仿宋_GB2312" w:cs="仿宋_GB2312"/>
              </w:rPr>
              <w:t>涉及箐溪河至万东南路4.5公里流域，采取措施保障流域基本生态流量，恢复自然水道，科学建设人工水道。</w:t>
            </w:r>
          </w:p>
        </w:tc>
      </w:tr>
      <w:tr>
        <w:tblPrEx>
          <w:tblCellMar>
            <w:top w:w="0" w:type="dxa"/>
            <w:left w:w="108" w:type="dxa"/>
            <w:bottom w:w="0" w:type="dxa"/>
            <w:right w:w="108" w:type="dxa"/>
          </w:tblCellMar>
        </w:tblPrEx>
        <w:trPr>
          <w:trHeight w:val="3765" w:hRule="atLeast"/>
        </w:trPr>
        <w:tc>
          <w:tcPr>
            <w:tcW w:w="5000" w:type="pct"/>
            <w:tcBorders>
              <w:top w:val="single" w:color="auto" w:sz="8" w:space="0"/>
              <w:left w:val="single" w:color="auto" w:sz="8" w:space="0"/>
              <w:bottom w:val="single" w:color="auto" w:sz="8" w:space="0"/>
              <w:right w:val="single" w:color="auto" w:sz="8" w:space="0"/>
            </w:tcBorders>
            <w:shd w:val="clear" w:color="auto" w:fill="auto"/>
            <w:vAlign w:val="center"/>
          </w:tcPr>
          <w:p>
            <w:pPr>
              <w:pStyle w:val="4"/>
              <w:ind w:firstLine="602"/>
            </w:pPr>
            <w:r>
              <w:rPr>
                <w:rFonts w:hint="eastAsia" w:ascii="仿宋_GB2312" w:hAnsi="仿宋_GB2312" w:cs="仿宋_GB2312"/>
                <w:bCs w:val="0"/>
                <w:sz w:val="30"/>
                <w:szCs w:val="24"/>
              </w:rPr>
              <w:t>5、重庆市万盛经开区五布河、蒲河流域中小河流治理项目</w:t>
            </w:r>
            <w:r>
              <w:rPr>
                <w:rFonts w:hint="eastAsia" w:ascii="仿宋_GB2312" w:hAnsi="仿宋_GB2312" w:cs="仿宋_GB2312"/>
                <w:b w:val="0"/>
                <w:bCs w:val="0"/>
                <w:sz w:val="30"/>
                <w:szCs w:val="24"/>
              </w:rPr>
              <w:t>。涉及五布河、蒲河，以河道清淤疏浚、堤防工程及水生态景观整治主要建设内容治理提升河道37.863km，同时提升河湖水生生物多样性，加强水土流失监测预防，推进河湖流域内水土流失治理。</w:t>
            </w:r>
          </w:p>
        </w:tc>
      </w:tr>
      <w:tr>
        <w:tblPrEx>
          <w:tblCellMar>
            <w:top w:w="0" w:type="dxa"/>
            <w:left w:w="108" w:type="dxa"/>
            <w:bottom w:w="0" w:type="dxa"/>
            <w:right w:w="108" w:type="dxa"/>
          </w:tblCellMar>
        </w:tblPrEx>
        <w:trPr>
          <w:trHeight w:val="90" w:hRule="atLeast"/>
        </w:trPr>
        <w:tc>
          <w:tcPr>
            <w:tcW w:w="5000" w:type="pct"/>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602"/>
            </w:pPr>
            <w:r>
              <w:rPr>
                <w:rFonts w:hint="eastAsia" w:ascii="仿宋_GB2312" w:hAnsi="仿宋_GB2312" w:cs="仿宋_GB2312"/>
                <w:b/>
              </w:rPr>
              <w:t>6、丛林河上段水源涵养项目</w:t>
            </w:r>
            <w:r>
              <w:rPr>
                <w:rFonts w:hint="eastAsia" w:ascii="仿宋_GB2312" w:hAnsi="仿宋_GB2312" w:cs="仿宋_GB2312"/>
              </w:rPr>
              <w:t>。涉及丛林河上段区域，对河道进行清理及河道两岸进行综合治理，临河增设水源涵养林，对河道6.6公里清淤，种植面积约12000㎡生态隔离带，提高净水、蓄水功能。加固沿河两岸土质边坡，长800m河岸砌筑驳岸石。</w:t>
            </w:r>
          </w:p>
        </w:tc>
      </w:tr>
      <w:tr>
        <w:tblPrEx>
          <w:tblCellMar>
            <w:top w:w="0" w:type="dxa"/>
            <w:left w:w="108" w:type="dxa"/>
            <w:bottom w:w="0" w:type="dxa"/>
            <w:right w:w="108" w:type="dxa"/>
          </w:tblCellMar>
        </w:tblPrEx>
        <w:trPr>
          <w:trHeight w:val="3765" w:hRule="atLeast"/>
        </w:trPr>
        <w:tc>
          <w:tcPr>
            <w:tcW w:w="5000" w:type="pct"/>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602"/>
            </w:pPr>
            <w:r>
              <w:rPr>
                <w:rFonts w:hint="eastAsia" w:ascii="仿宋_GB2312" w:hAnsi="仿宋_GB2312" w:cs="仿宋_GB2312"/>
                <w:b/>
              </w:rPr>
              <w:t>7、板辽湖水体生态治理项目</w:t>
            </w:r>
            <w:r>
              <w:rPr>
                <w:rFonts w:hint="eastAsia" w:ascii="仿宋_GB2312" w:hAnsi="仿宋_GB2312" w:cs="仿宋_GB2312"/>
              </w:rPr>
              <w:t>。涉及板辽水库，对板辽湖上游水系所有主、支干流进行河道的修复，对污染较重河段进行清淤，严禁将河道硬化。在河内种植适宜的水生、陆生植物，增加水体自净能力。建设沿岸绿色长廊，沿岸绿化宽度50m 以上，构成绿化隔离带，维护河流良性生态系统。加强山丘林地、农田林网、梯田地堰和公路、村旁绿化建设。</w:t>
            </w:r>
          </w:p>
        </w:tc>
      </w:tr>
      <w:tr>
        <w:tblPrEx>
          <w:tblCellMar>
            <w:top w:w="0" w:type="dxa"/>
            <w:left w:w="108" w:type="dxa"/>
            <w:bottom w:w="0" w:type="dxa"/>
            <w:right w:w="108" w:type="dxa"/>
          </w:tblCellMar>
        </w:tblPrEx>
        <w:trPr>
          <w:trHeight w:val="3765" w:hRule="atLeast"/>
        </w:trPr>
        <w:tc>
          <w:tcPr>
            <w:tcW w:w="5000" w:type="pct"/>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602"/>
              <w:rPr>
                <w:rFonts w:ascii="仿宋_GB2312" w:hAnsi="仿宋_GB2312" w:cs="仿宋_GB2312"/>
                <w:b/>
              </w:rPr>
            </w:pPr>
            <w:r>
              <w:rPr>
                <w:rFonts w:hint="eastAsia" w:ascii="仿宋_GB2312" w:hAnsi="仿宋_GB2312" w:cs="仿宋_GB2312"/>
                <w:b/>
              </w:rPr>
              <w:t>8、万盛经开区关闭煤矿碰头岩涌水点矿井废水治理项目。</w:t>
            </w:r>
            <w:r>
              <w:rPr>
                <w:rFonts w:hint="eastAsia" w:ascii="仿宋_GB2312" w:hAnsi="仿宋_GB2312" w:cs="仿宋_GB2312"/>
                <w:bCs/>
              </w:rPr>
              <w:t>生态工艺处理现状关闭矿山废水</w:t>
            </w:r>
            <w:r>
              <w:rPr>
                <w:rFonts w:hint="eastAsia" w:ascii="仿宋_GB2312" w:hAnsi="仿宋_GB2312" w:cs="仿宋_GB2312"/>
              </w:rPr>
              <w:t>，处理工艺为截水收集+调节池+中和曝气池+矿井水高效处理一体化设备+清水池，出水水质达到《煤炭工业污染物排放标准》GB20426-2006中表2要求。</w:t>
            </w:r>
          </w:p>
        </w:tc>
      </w:tr>
    </w:tbl>
    <w:p>
      <w:pPr>
        <w:ind w:firstLine="0" w:firstLineChars="0"/>
      </w:pPr>
    </w:p>
    <w:p>
      <w:pPr>
        <w:pStyle w:val="4"/>
        <w:ind w:firstLine="643"/>
      </w:pPr>
      <w:bookmarkStart w:id="58" w:name="_Toc121730913"/>
      <w:r>
        <w:rPr>
          <w:rFonts w:hint="eastAsia"/>
        </w:rPr>
        <w:t>二、采煤沉陷区综合整治重点</w:t>
      </w:r>
      <w:r>
        <w:t>工程</w:t>
      </w:r>
      <w:bookmarkEnd w:id="58"/>
    </w:p>
    <w:p>
      <w:pPr>
        <w:rPr>
          <w:rFonts w:ascii="仿宋_GB2312" w:hAnsi="仿宋_GB2312" w:cs="仿宋_GB2312"/>
        </w:rPr>
      </w:pPr>
      <w:r>
        <w:rPr>
          <w:rFonts w:hint="eastAsia" w:ascii="仿宋_GB2312" w:hAnsi="仿宋_GB2312" w:cs="仿宋_GB2312"/>
        </w:rPr>
        <w:t>该重点工程主要涉及金桥镇、南桐镇、万东镇、黑山镇、丛林镇、红岩-砚石台片区。针对历史遗留矿山、矸石山污染、地下水资源流失等生态问题，实施边坡绿化、植被恢复、土地复垦、智能监测，包含南桐镇采煤沉陷区生态生产修复、红岩-砚石台片区矿山生态修复、矸石山地质灾害防治、历史遗留关闭矿山生态修复、万盛采煤沉陷区矿山地质环境监测</w:t>
      </w:r>
      <w:r>
        <w:rPr>
          <w:rFonts w:ascii="仿宋_GB2312" w:hAnsi="仿宋_GB2312" w:cs="仿宋_GB2312"/>
        </w:rPr>
        <w:t>5</w:t>
      </w:r>
      <w:r>
        <w:rPr>
          <w:rFonts w:hint="eastAsia" w:ascii="仿宋_GB2312" w:hAnsi="仿宋_GB2312" w:cs="仿宋_GB2312"/>
        </w:rPr>
        <w:t>个重点项目，主要目标是丰富现有植被种植种类，提高林地生态质量，重点改善万盛关闭未治理矿山遗留生态问题及</w:t>
      </w:r>
      <w:r>
        <w:rPr>
          <w:rFonts w:hint="eastAsia"/>
        </w:rPr>
        <w:t>采煤沉陷区污染问题</w:t>
      </w:r>
      <w:r>
        <w:rPr>
          <w:rFonts w:hint="eastAsia" w:ascii="仿宋_GB2312" w:hAnsi="仿宋_GB2312" w:cs="仿宋_GB2312"/>
        </w:rPr>
        <w:t>。</w:t>
      </w:r>
    </w:p>
    <w:tbl>
      <w:tblPr>
        <w:tblStyle w:val="24"/>
        <w:tblW w:w="4988" w:type="pct"/>
        <w:tblInd w:w="0" w:type="dxa"/>
        <w:tblLayout w:type="autofit"/>
        <w:tblCellMar>
          <w:top w:w="0" w:type="dxa"/>
          <w:left w:w="108" w:type="dxa"/>
          <w:bottom w:w="0" w:type="dxa"/>
          <w:right w:w="108" w:type="dxa"/>
        </w:tblCellMar>
      </w:tblPr>
      <w:tblGrid>
        <w:gridCol w:w="9039"/>
      </w:tblGrid>
      <w:tr>
        <w:tblPrEx>
          <w:tblCellMar>
            <w:top w:w="0" w:type="dxa"/>
            <w:left w:w="108" w:type="dxa"/>
            <w:bottom w:w="0" w:type="dxa"/>
            <w:right w:w="108" w:type="dxa"/>
          </w:tblCellMar>
        </w:tblPrEx>
        <w:trPr>
          <w:trHeight w:val="413" w:hRule="atLeast"/>
        </w:trPr>
        <w:tc>
          <w:tcPr>
            <w:tcW w:w="5000" w:type="pct"/>
            <w:tcBorders>
              <w:top w:val="single" w:color="auto" w:sz="8" w:space="0"/>
              <w:left w:val="single" w:color="auto" w:sz="8" w:space="0"/>
              <w:bottom w:val="single" w:color="auto" w:sz="8" w:space="0"/>
              <w:right w:val="single" w:color="auto" w:sz="8" w:space="0"/>
            </w:tcBorders>
            <w:shd w:val="clear" w:color="auto" w:fill="auto"/>
            <w:vAlign w:val="center"/>
          </w:tcPr>
          <w:p>
            <w:pPr>
              <w:pStyle w:val="4"/>
              <w:ind w:firstLine="643"/>
              <w:jc w:val="center"/>
              <w:rPr>
                <w:rFonts w:ascii="仿宋_GB2312" w:hAnsi="仿宋_GB2312" w:cs="仿宋_GB2312"/>
                <w:kern w:val="0"/>
                <w:sz w:val="28"/>
                <w:szCs w:val="28"/>
              </w:rPr>
            </w:pPr>
            <w:r>
              <w:rPr>
                <w:rFonts w:hint="eastAsia" w:ascii="仿宋_GB2312" w:hAnsi="仿宋_GB2312" w:cs="仿宋_GB2312"/>
              </w:rPr>
              <w:t>专栏2  采煤沉陷区综合整治重点工程</w:t>
            </w:r>
          </w:p>
        </w:tc>
      </w:tr>
      <w:tr>
        <w:tblPrEx>
          <w:tblCellMar>
            <w:top w:w="0" w:type="dxa"/>
            <w:left w:w="108" w:type="dxa"/>
            <w:bottom w:w="0" w:type="dxa"/>
            <w:right w:w="108" w:type="dxa"/>
          </w:tblCellMar>
        </w:tblPrEx>
        <w:trPr>
          <w:trHeight w:val="1106" w:hRule="atLeast"/>
        </w:trPr>
        <w:tc>
          <w:tcPr>
            <w:tcW w:w="5000" w:type="pct"/>
            <w:tcBorders>
              <w:left w:val="single" w:color="auto" w:sz="8" w:space="0"/>
              <w:bottom w:val="single" w:color="auto" w:sz="8" w:space="0"/>
              <w:right w:val="single" w:color="auto" w:sz="8" w:space="0"/>
            </w:tcBorders>
            <w:shd w:val="clear" w:color="auto" w:fill="auto"/>
            <w:vAlign w:val="center"/>
          </w:tcPr>
          <w:p>
            <w:pPr>
              <w:ind w:firstLine="602"/>
              <w:rPr>
                <w:rFonts w:ascii="仿宋_GB2312" w:hAnsi="仿宋_GB2312" w:cs="仿宋_GB2312"/>
                <w:sz w:val="28"/>
              </w:rPr>
            </w:pPr>
            <w:r>
              <w:rPr>
                <w:rFonts w:ascii="仿宋_GB2312" w:hAnsi="仿宋_GB2312" w:cs="仿宋_GB2312"/>
                <w:b/>
              </w:rPr>
              <w:t>1</w:t>
            </w:r>
            <w:r>
              <w:rPr>
                <w:rFonts w:hint="eastAsia" w:ascii="仿宋_GB2312" w:hAnsi="仿宋_GB2312" w:cs="仿宋_GB2312"/>
                <w:b/>
              </w:rPr>
              <w:t>、南桐镇采煤沉陷区生态生产修复项目</w:t>
            </w:r>
            <w:r>
              <w:rPr>
                <w:rFonts w:hint="eastAsia" w:ascii="仿宋_GB2312" w:hAnsi="仿宋_GB2312" w:cs="仿宋_GB2312"/>
              </w:rPr>
              <w:t>。涉及南桐煤矿矸石山25.97公顷生态问题区域，对温塘、营寨、民权、沙坝等渝黔复线沿线区域进行植被恢复，建设采煤沉陷治理示范区；提升新建南桐镇采煤沉陷区农业产业通道、水利等设施；对辖区工矿废弃地等复垦土壤进行改土，实施标准化基本农田建设，打造农业利用型矿山修复样板工程。</w:t>
            </w:r>
          </w:p>
        </w:tc>
      </w:tr>
      <w:tr>
        <w:tblPrEx>
          <w:tblCellMar>
            <w:top w:w="0" w:type="dxa"/>
            <w:left w:w="108" w:type="dxa"/>
            <w:bottom w:w="0" w:type="dxa"/>
            <w:right w:w="108" w:type="dxa"/>
          </w:tblCellMar>
        </w:tblPrEx>
        <w:trPr>
          <w:trHeight w:val="2004" w:hRule="atLeast"/>
        </w:trPr>
        <w:tc>
          <w:tcPr>
            <w:tcW w:w="5000" w:type="pct"/>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602"/>
              <w:rPr>
                <w:rFonts w:ascii="仿宋_GB2312" w:hAnsi="仿宋_GB2312" w:cs="仿宋_GB2312"/>
                <w:b/>
                <w:sz w:val="28"/>
              </w:rPr>
            </w:pPr>
            <w:r>
              <w:rPr>
                <w:rFonts w:ascii="仿宋_GB2312" w:hAnsi="仿宋_GB2312" w:cs="仿宋_GB2312"/>
                <w:b/>
              </w:rPr>
              <w:t>2</w:t>
            </w:r>
            <w:r>
              <w:rPr>
                <w:rFonts w:hint="eastAsia" w:ascii="仿宋_GB2312" w:hAnsi="仿宋_GB2312" w:cs="仿宋_GB2312"/>
                <w:b/>
              </w:rPr>
              <w:t>、红岩</w:t>
            </w:r>
            <w:r>
              <w:rPr>
                <w:rFonts w:ascii="仿宋_GB2312" w:hAnsi="仿宋_GB2312" w:cs="仿宋_GB2312"/>
                <w:b/>
              </w:rPr>
              <w:t>-砚石台片区矿山生态修复</w:t>
            </w:r>
            <w:r>
              <w:rPr>
                <w:rFonts w:hint="eastAsia" w:ascii="仿宋_GB2312" w:hAnsi="仿宋_GB2312" w:cs="仿宋_GB2312"/>
              </w:rPr>
              <w:t>。涉及红岩煤矿-砚石台煤矿区域，面积7.56平方公里，对红岩-砚石台片区862.92亩矿山及土地开展植被恢复、土地整治、土地复垦，重构绿色生态系统，打造山水相融、面向未来、富含人文的矿山风貌打造观光体验式矿山修复项目。利用项目范围内自有的煤矿文化、抗战文化、自然风光，打造集情景体验、工业文化宣传、矿业遗迹展示、历史教育基地，创建重庆唯一的全天性工业文化体验式矿山公园，力争创建国家5A级旅游景区、国家级旅游度假区。</w:t>
            </w:r>
          </w:p>
          <w:p>
            <w:pPr>
              <w:ind w:firstLine="602"/>
              <w:rPr>
                <w:rFonts w:ascii="仿宋_GB2312" w:hAnsi="仿宋_GB2312" w:cs="仿宋_GB2312"/>
              </w:rPr>
            </w:pPr>
            <w:r>
              <w:rPr>
                <w:rFonts w:ascii="仿宋_GB2312" w:hAnsi="仿宋_GB2312" w:cs="仿宋_GB2312"/>
                <w:b/>
                <w:bCs/>
              </w:rPr>
              <w:t>3</w:t>
            </w:r>
            <w:r>
              <w:rPr>
                <w:rFonts w:hint="eastAsia" w:ascii="仿宋_GB2312" w:hAnsi="仿宋_GB2312" w:cs="仿宋_GB2312"/>
                <w:b/>
                <w:bCs/>
              </w:rPr>
              <w:t>、矸石山地质灾害防治项目。</w:t>
            </w:r>
            <w:r>
              <w:rPr>
                <w:rFonts w:hint="eastAsia" w:ascii="仿宋_GB2312" w:hAnsi="仿宋_GB2312" w:cs="仿宋_GB2312"/>
              </w:rPr>
              <w:t>涉及全域煤矿矸石山、采空区和采空影响区，重点对渝之盛公司下辖煤矿矸石山、采空区和采空影响区土地进行地质灾害防治面积3000余亩。并根据各板块实际情况，利用地质灾害防治方式予以治理。</w:t>
            </w:r>
          </w:p>
          <w:p>
            <w:pPr>
              <w:ind w:firstLine="602"/>
              <w:rPr>
                <w:rFonts w:ascii="仿宋_GB2312" w:hAnsi="仿宋_GB2312" w:cs="仿宋_GB2312"/>
              </w:rPr>
            </w:pPr>
            <w:r>
              <w:rPr>
                <w:rFonts w:hint="eastAsia" w:ascii="仿宋_GB2312" w:hAnsi="仿宋_GB2312" w:cs="仿宋_GB2312"/>
                <w:b/>
              </w:rPr>
              <w:t>4、历史遗留关闭矿山生态修复。</w:t>
            </w:r>
            <w:r>
              <w:rPr>
                <w:rFonts w:hint="eastAsia" w:ascii="仿宋_GB2312" w:hAnsi="仿宋_GB2312" w:cs="仿宋_GB2312"/>
              </w:rPr>
              <w:t>涉及全域未治理历史遗留关闭矿山</w:t>
            </w:r>
            <w:r>
              <w:rPr>
                <w:rFonts w:ascii="仿宋_GB2312" w:hAnsi="仿宋_GB2312" w:cs="仿宋_GB2312"/>
              </w:rPr>
              <w:t>57</w:t>
            </w:r>
            <w:r>
              <w:rPr>
                <w:rFonts w:hint="eastAsia" w:ascii="仿宋_GB2312" w:hAnsi="仿宋_GB2312" w:cs="仿宋_GB2312"/>
              </w:rPr>
              <w:t>处共计</w:t>
            </w:r>
            <w:r>
              <w:rPr>
                <w:rFonts w:ascii="仿宋_GB2312" w:hAnsi="仿宋_GB2312" w:cs="仿宋_GB2312"/>
              </w:rPr>
              <w:t>58.2</w:t>
            </w:r>
            <w:r>
              <w:rPr>
                <w:rFonts w:hint="eastAsia" w:ascii="仿宋_GB2312" w:hAnsi="仿宋_GB2312" w:cs="仿宋_GB2312"/>
              </w:rPr>
              <w:t>公顷，建设用地再利用</w:t>
            </w:r>
            <w:r>
              <w:rPr>
                <w:rFonts w:ascii="仿宋_GB2312" w:hAnsi="仿宋_GB2312" w:cs="仿宋_GB2312"/>
              </w:rPr>
              <w:t>8.26</w:t>
            </w:r>
            <w:r>
              <w:rPr>
                <w:rFonts w:hint="eastAsia" w:ascii="仿宋_GB2312" w:hAnsi="仿宋_GB2312" w:cs="仿宋_GB2312"/>
              </w:rPr>
              <w:t>公顷，主要为沙坝村煤矿、重庆中汇洗选厂、王家坝煤矿、渔田堡煤矿矸石山、南桐大石社搅拌站。</w:t>
            </w:r>
          </w:p>
          <w:p>
            <w:pPr>
              <w:widowControl/>
              <w:ind w:firstLine="602"/>
              <w:rPr>
                <w:rFonts w:ascii="仿宋_GB2312" w:hAnsi="仿宋_GB2312" w:cs="仿宋_GB2312"/>
                <w:b/>
                <w:bCs/>
                <w:kern w:val="0"/>
                <w:sz w:val="28"/>
                <w:szCs w:val="28"/>
              </w:rPr>
            </w:pPr>
            <w:r>
              <w:rPr>
                <w:rFonts w:ascii="仿宋_GB2312" w:hAnsi="仿宋_GB2312" w:cs="仿宋_GB2312"/>
                <w:b/>
                <w:bCs/>
              </w:rPr>
              <w:t>5</w:t>
            </w:r>
            <w:r>
              <w:rPr>
                <w:rFonts w:hint="eastAsia" w:ascii="仿宋_GB2312" w:hAnsi="仿宋_GB2312" w:cs="仿宋_GB2312"/>
                <w:b/>
                <w:bCs/>
              </w:rPr>
              <w:t>、万盛采煤沉陷区矿山地质环境监测项目。</w:t>
            </w:r>
            <w:r>
              <w:rPr>
                <w:rFonts w:hint="eastAsia" w:ascii="仿宋_GB2312" w:hAnsi="仿宋_GB2312" w:cs="仿宋_GB2312"/>
              </w:rPr>
              <w:t>涉及南桐镇平山片区、鱼田堡东林街道城镇建设区以及丛林镇绿水村、青年堡堂湛家、关坝兴隆以及其他重点规划开发区，主要对万盛采煤沉陷区99平方公里进行监测，重点监测面积约50平方公里，以需求为导向，结合采煤沉区实际情况，主要监测用地安全和水环境安全两大内容，采用空－天－地－深多维立体监测手段和ＩＮＳＡＲ、光纤光栅等监测技术，实现自动化智能采集分析监测系统。</w:t>
            </w:r>
          </w:p>
        </w:tc>
      </w:tr>
    </w:tbl>
    <w:p>
      <w:pPr>
        <w:pStyle w:val="37"/>
        <w:ind w:firstLine="0" w:firstLineChars="0"/>
      </w:pPr>
    </w:p>
    <w:p>
      <w:pPr>
        <w:pStyle w:val="4"/>
        <w:ind w:firstLine="643"/>
      </w:pPr>
      <w:bookmarkStart w:id="59" w:name="_Toc121730914"/>
      <w:r>
        <w:rPr>
          <w:rFonts w:hint="eastAsia"/>
        </w:rPr>
        <w:t>三、林地保护与修复重点工程</w:t>
      </w:r>
      <w:bookmarkEnd w:id="59"/>
    </w:p>
    <w:p>
      <w:r>
        <w:rPr>
          <w:rFonts w:hint="eastAsia"/>
        </w:rPr>
        <w:t>该重点工程主要涉及黑山县级自然保护区、黑山国家森林公园。针对林地生态质量相对较弱，抗风险能力较弱等生态问题，同时针对物种变迁、动植物多样性季节变化、区域变化等要素，实施森林质量精准提升、生物多样性观测，包含黑山国家森林公园生态屏障建设、马尾松森林质量提升项目、生物多样性观测站点建设</w:t>
      </w:r>
      <w:r>
        <w:t>3个重点项目，主要目标是推进森林生态修复、积累和丰富万盛经开区生物多样性保护基础大数据，为进一步提升万盛经开区生态环境保护水平和管理决策能力，提供系统的基础数据和科技支撑。</w:t>
      </w:r>
    </w:p>
    <w:tbl>
      <w:tblPr>
        <w:tblStyle w:val="24"/>
        <w:tblW w:w="5000" w:type="pct"/>
        <w:tblInd w:w="0" w:type="dxa"/>
        <w:tblLayout w:type="autofit"/>
        <w:tblCellMar>
          <w:top w:w="0" w:type="dxa"/>
          <w:left w:w="108" w:type="dxa"/>
          <w:bottom w:w="0" w:type="dxa"/>
          <w:right w:w="108" w:type="dxa"/>
        </w:tblCellMar>
      </w:tblPr>
      <w:tblGrid>
        <w:gridCol w:w="9061"/>
      </w:tblGrid>
      <w:tr>
        <w:tblPrEx>
          <w:tblCellMar>
            <w:top w:w="0" w:type="dxa"/>
            <w:left w:w="108" w:type="dxa"/>
            <w:bottom w:w="0" w:type="dxa"/>
            <w:right w:w="108" w:type="dxa"/>
          </w:tblCellMar>
        </w:tblPrEx>
        <w:trPr>
          <w:trHeight w:val="765" w:hRule="atLeast"/>
        </w:trPr>
        <w:tc>
          <w:tcPr>
            <w:tcW w:w="5000" w:type="pct"/>
            <w:tcBorders>
              <w:top w:val="single" w:color="auto" w:sz="8" w:space="0"/>
              <w:left w:val="single" w:color="auto" w:sz="8" w:space="0"/>
              <w:bottom w:val="single" w:color="auto" w:sz="8" w:space="0"/>
              <w:right w:val="single" w:color="auto" w:sz="8" w:space="0"/>
            </w:tcBorders>
            <w:shd w:val="clear" w:color="auto" w:fill="auto"/>
            <w:vAlign w:val="center"/>
          </w:tcPr>
          <w:p>
            <w:pPr>
              <w:pStyle w:val="4"/>
              <w:numPr>
                <w:ilvl w:val="255"/>
                <w:numId w:val="0"/>
              </w:numPr>
              <w:ind w:firstLine="643" w:firstLineChars="200"/>
              <w:jc w:val="center"/>
              <w:rPr>
                <w:rFonts w:ascii="方正黑体_GBK" w:hAnsi="宋体" w:eastAsia="方正黑体_GBK" w:cs="宋体"/>
                <w:kern w:val="0"/>
                <w:sz w:val="28"/>
                <w:szCs w:val="28"/>
              </w:rPr>
            </w:pPr>
            <w:r>
              <w:rPr>
                <w:rFonts w:hint="eastAsia"/>
              </w:rPr>
              <w:t>专栏3 林地保护与修复重点工程</w:t>
            </w:r>
          </w:p>
        </w:tc>
      </w:tr>
      <w:tr>
        <w:tblPrEx>
          <w:tblCellMar>
            <w:top w:w="0" w:type="dxa"/>
            <w:left w:w="108" w:type="dxa"/>
            <w:bottom w:w="0" w:type="dxa"/>
            <w:right w:w="108" w:type="dxa"/>
          </w:tblCellMar>
        </w:tblPrEx>
        <w:trPr>
          <w:trHeight w:val="3468" w:hRule="atLeast"/>
        </w:trPr>
        <w:tc>
          <w:tcPr>
            <w:tcW w:w="5000" w:type="pct"/>
            <w:tcBorders>
              <w:top w:val="single" w:color="auto" w:sz="8" w:space="0"/>
              <w:left w:val="single" w:color="auto" w:sz="8" w:space="0"/>
              <w:right w:val="single" w:color="auto" w:sz="8" w:space="0"/>
            </w:tcBorders>
            <w:shd w:val="clear" w:color="auto" w:fill="auto"/>
            <w:vAlign w:val="center"/>
          </w:tcPr>
          <w:p>
            <w:pPr>
              <w:widowControl/>
              <w:ind w:firstLine="301" w:firstLineChars="100"/>
              <w:rPr>
                <w:rFonts w:ascii="仿宋_GB2312" w:hAnsi="仿宋_GB2312" w:cs="仿宋_GB2312"/>
              </w:rPr>
            </w:pPr>
            <w:r>
              <w:rPr>
                <w:rFonts w:hint="eastAsia" w:ascii="仿宋_GB2312" w:hAnsi="仿宋_GB2312" w:cs="仿宋_GB2312"/>
                <w:b/>
              </w:rPr>
              <w:t>1、黑山国家森林公园生态屏障建设项目</w:t>
            </w:r>
            <w:r>
              <w:rPr>
                <w:rFonts w:hint="eastAsia" w:ascii="仿宋_GB2312" w:hAnsi="仿宋_GB2312" w:cs="仿宋_GB2312"/>
                <w:b/>
                <w:bCs/>
              </w:rPr>
              <w:t>。</w:t>
            </w:r>
            <w:r>
              <w:rPr>
                <w:rFonts w:hint="eastAsia" w:ascii="仿宋_GB2312" w:hAnsi="仿宋_GB2312" w:cs="仿宋_GB2312"/>
              </w:rPr>
              <w:t>涉及黑山国家森林公园部分区域。重点实施5万亩森林屏障建设和森林质量精准提升，全面推进森林生态修复，大力实施森林抚育、低效林改造及林业有害生物防治，完善林区配套设施，完成3.5万亩国家储备林建设，1.5万亩森林质量提升。</w:t>
            </w:r>
          </w:p>
          <w:p>
            <w:pPr>
              <w:ind w:firstLine="602"/>
              <w:rPr>
                <w:rFonts w:ascii="仿宋_GB2312" w:hAnsi="仿宋_GB2312" w:cs="仿宋_GB2312"/>
              </w:rPr>
            </w:pPr>
            <w:r>
              <w:rPr>
                <w:rFonts w:hint="eastAsia" w:ascii="仿宋_GB2312" w:hAnsi="仿宋_GB2312" w:cs="仿宋_GB2312"/>
                <w:b/>
              </w:rPr>
              <w:t>2、马尾松森林质量提升项目。</w:t>
            </w:r>
            <w:r>
              <w:rPr>
                <w:rFonts w:hint="eastAsia" w:ascii="仿宋_GB2312" w:hAnsi="仿宋_GB2312" w:cs="仿宋_GB2312"/>
              </w:rPr>
              <w:t>涉及全域的马尾松组，去除连片面积小于6</w:t>
            </w:r>
            <w:r>
              <w:rPr>
                <w:rFonts w:ascii="仿宋_GB2312" w:hAnsi="仿宋_GB2312" w:cs="仿宋_GB2312"/>
              </w:rPr>
              <w:t>00</w:t>
            </w:r>
            <w:r>
              <w:rPr>
                <w:rFonts w:hint="eastAsia" w:ascii="仿宋_GB2312" w:hAnsi="仿宋_GB2312" w:cs="仿宋_GB2312"/>
              </w:rPr>
              <w:t>㎡的林地斑块，主要实施9</w:t>
            </w:r>
            <w:r>
              <w:rPr>
                <w:rFonts w:ascii="仿宋_GB2312" w:hAnsi="仿宋_GB2312" w:cs="仿宋_GB2312"/>
              </w:rPr>
              <w:t>1.98</w:t>
            </w:r>
            <w:r>
              <w:rPr>
                <w:rFonts w:hint="eastAsia" w:ascii="仿宋_GB2312" w:hAnsi="仿宋_GB2312" w:cs="仿宋_GB2312"/>
              </w:rPr>
              <w:t>平方公里松林砍劣保优、改造低效林、优化林分结构、提升林相、提高生态效益等工作。</w:t>
            </w:r>
          </w:p>
        </w:tc>
      </w:tr>
      <w:tr>
        <w:tblPrEx>
          <w:tblCellMar>
            <w:top w:w="0" w:type="dxa"/>
            <w:left w:w="108" w:type="dxa"/>
            <w:bottom w:w="0" w:type="dxa"/>
            <w:right w:w="108" w:type="dxa"/>
          </w:tblCellMar>
        </w:tblPrEx>
        <w:trPr>
          <w:trHeight w:val="1256" w:hRule="atLeast"/>
        </w:trPr>
        <w:tc>
          <w:tcPr>
            <w:tcW w:w="5000" w:type="pct"/>
            <w:tcBorders>
              <w:left w:val="single" w:color="auto" w:sz="8" w:space="0"/>
              <w:bottom w:val="single" w:color="auto" w:sz="8" w:space="0"/>
              <w:right w:val="single" w:color="auto" w:sz="8" w:space="0"/>
            </w:tcBorders>
            <w:shd w:val="clear" w:color="auto" w:fill="auto"/>
            <w:vAlign w:val="center"/>
          </w:tcPr>
          <w:p>
            <w:pPr>
              <w:ind w:firstLine="301" w:firstLineChars="100"/>
              <w:rPr>
                <w:rFonts w:ascii="仿宋_GB2312" w:hAnsi="仿宋_GB2312" w:cs="仿宋_GB2312"/>
                <w:sz w:val="28"/>
              </w:rPr>
            </w:pPr>
            <w:r>
              <w:rPr>
                <w:rFonts w:ascii="仿宋_GB2312" w:hAnsi="仿宋_GB2312" w:cs="仿宋_GB2312"/>
                <w:b/>
              </w:rPr>
              <w:t>3</w:t>
            </w:r>
            <w:r>
              <w:rPr>
                <w:rFonts w:hint="eastAsia" w:ascii="仿宋_GB2312" w:hAnsi="仿宋_GB2312" w:cs="仿宋_GB2312"/>
                <w:b/>
              </w:rPr>
              <w:t>、生物多样性观测站点建设</w:t>
            </w:r>
            <w:r>
              <w:rPr>
                <w:rFonts w:hint="eastAsia" w:ascii="仿宋_GB2312" w:hAnsi="仿宋_GB2312" w:cs="仿宋_GB2312"/>
                <w:b/>
                <w:bCs/>
              </w:rPr>
              <w:t>项目</w:t>
            </w:r>
            <w:r>
              <w:rPr>
                <w:rFonts w:hint="eastAsia" w:ascii="仿宋_GB2312" w:hAnsi="仿宋_GB2312" w:cs="仿宋_GB2312"/>
              </w:rPr>
              <w:t>。涉及黑山县级自然保护区区域，针对物种变迁、动植物多样性季节变化、区域变化等要素，重点在黑山县级自然保护区建立生物多样性观测站点。采用综合观测站+固定样地样线样点”相结合的方式，加快生物多样性观测网络建设，开展生物多样性周期性、持续性观测和评估。</w:t>
            </w:r>
          </w:p>
        </w:tc>
      </w:tr>
    </w:tbl>
    <w:p>
      <w:pPr>
        <w:numPr>
          <w:ilvl w:val="255"/>
          <w:numId w:val="0"/>
        </w:numPr>
      </w:pPr>
    </w:p>
    <w:p>
      <w:pPr>
        <w:pStyle w:val="4"/>
        <w:ind w:firstLine="643"/>
      </w:pPr>
      <w:bookmarkStart w:id="60" w:name="_Toc121730915"/>
      <w:r>
        <w:rPr>
          <w:rFonts w:hint="eastAsia"/>
        </w:rPr>
        <w:t>四、人居环境品质提升重点工程</w:t>
      </w:r>
      <w:bookmarkEnd w:id="60"/>
    </w:p>
    <w:p>
      <w:pPr>
        <w:pStyle w:val="37"/>
        <w:ind w:firstLine="600"/>
        <w:rPr>
          <w:rFonts w:ascii="仿宋_GB2312" w:hAnsi="仿宋_GB2312" w:cs="仿宋_GB2312"/>
        </w:rPr>
      </w:pPr>
      <w:r>
        <w:rPr>
          <w:rFonts w:hint="eastAsia" w:ascii="仿宋_GB2312" w:hAnsi="仿宋_GB2312" w:cs="仿宋_GB2312"/>
          <w:szCs w:val="30"/>
        </w:rPr>
        <w:t>该重点工程主要涉及</w:t>
      </w:r>
      <w:r>
        <w:rPr>
          <w:rFonts w:hint="eastAsia" w:ascii="仿宋_GB2312" w:hAnsi="仿宋_GB2312" w:cs="仿宋_GB2312"/>
          <w:bCs/>
          <w:szCs w:val="30"/>
        </w:rPr>
        <w:t>万盛八角度假区、堡堂文化公园、</w:t>
      </w:r>
      <w:r>
        <w:rPr>
          <w:rFonts w:hint="eastAsia" w:ascii="仿宋_GB2312" w:hAnsi="仿宋_GB2312" w:cs="仿宋_GB2312"/>
          <w:szCs w:val="30"/>
        </w:rPr>
        <w:t>万盛公园、渝黔复线。针对</w:t>
      </w:r>
      <w:r>
        <w:rPr>
          <w:rFonts w:hint="eastAsia" w:ascii="仿宋_GB2312" w:hAnsi="仿宋_GB2312" w:cs="仿宋_GB2312"/>
          <w:bCs/>
          <w:szCs w:val="30"/>
        </w:rPr>
        <w:t>人居环境品质较低、生态廊道不连贯、</w:t>
      </w:r>
      <w:r>
        <w:rPr>
          <w:rFonts w:hint="eastAsia" w:ascii="仿宋_GB2312" w:hAnsi="仿宋_GB2312" w:cs="仿宋_GB2312"/>
          <w:szCs w:val="30"/>
        </w:rPr>
        <w:t>大气污染、土地污染隐患等问题，实施绿地建设与管控、生态防护带建设，包含绿地建设与管控、渝黔复线两侧生态修复与环境整治、万盛水环境综合治理、煤电化产业园生态防护带</w:t>
      </w:r>
      <w:r>
        <w:rPr>
          <w:rFonts w:ascii="仿宋_GB2312" w:hAnsi="仿宋_GB2312" w:cs="仿宋_GB2312"/>
          <w:b/>
          <w:bCs/>
          <w:szCs w:val="30"/>
        </w:rPr>
        <w:t>6</w:t>
      </w:r>
      <w:r>
        <w:rPr>
          <w:rFonts w:hint="eastAsia" w:ascii="仿宋_GB2312" w:hAnsi="仿宋_GB2312" w:cs="仿宋_GB2312"/>
          <w:szCs w:val="30"/>
        </w:rPr>
        <w:t>个重点项目，主要目标是</w:t>
      </w:r>
      <w:r>
        <w:rPr>
          <w:rFonts w:hint="eastAsia" w:ascii="仿宋_GB2312" w:hAnsi="仿宋_GB2312" w:cs="仿宋_GB2312"/>
          <w:bCs/>
          <w:szCs w:val="30"/>
        </w:rPr>
        <w:t>实现该区域整体人居环境品质的目标，完善国家园林城市建设规划，</w:t>
      </w:r>
      <w:r>
        <w:rPr>
          <w:rFonts w:hint="eastAsia" w:ascii="仿宋_GB2312" w:hAnsi="仿宋_GB2312" w:cs="仿宋_GB2312"/>
          <w:bCs/>
        </w:rPr>
        <w:t>提高居民生活质量。</w:t>
      </w:r>
      <w:r>
        <w:rPr>
          <w:rFonts w:hint="eastAsia" w:ascii="仿宋_GB2312" w:hAnsi="仿宋_GB2312" w:cs="仿宋_GB2312"/>
        </w:rPr>
        <w:t>实现“水清、河畅、岸绿、景美”的目标，促进人水和谐发展，提升万盛生态文明建设水平。</w:t>
      </w:r>
    </w:p>
    <w:p>
      <w:pPr>
        <w:numPr>
          <w:ilvl w:val="255"/>
          <w:numId w:val="0"/>
        </w:numPr>
      </w:pPr>
    </w:p>
    <w:tbl>
      <w:tblPr>
        <w:tblStyle w:val="24"/>
        <w:tblW w:w="4974" w:type="pct"/>
        <w:tblInd w:w="0" w:type="dxa"/>
        <w:tblLayout w:type="autofit"/>
        <w:tblCellMar>
          <w:top w:w="0" w:type="dxa"/>
          <w:left w:w="108" w:type="dxa"/>
          <w:bottom w:w="0" w:type="dxa"/>
          <w:right w:w="108" w:type="dxa"/>
        </w:tblCellMar>
      </w:tblPr>
      <w:tblGrid>
        <w:gridCol w:w="9014"/>
      </w:tblGrid>
      <w:tr>
        <w:tblPrEx>
          <w:tblCellMar>
            <w:top w:w="0" w:type="dxa"/>
            <w:left w:w="108" w:type="dxa"/>
            <w:bottom w:w="0" w:type="dxa"/>
            <w:right w:w="108" w:type="dxa"/>
          </w:tblCellMar>
        </w:tblPrEx>
        <w:trPr>
          <w:trHeight w:val="765" w:hRule="atLeast"/>
        </w:trPr>
        <w:tc>
          <w:tcPr>
            <w:tcW w:w="5000" w:type="pct"/>
            <w:tcBorders>
              <w:top w:val="single" w:color="auto" w:sz="8" w:space="0"/>
              <w:left w:val="single" w:color="auto" w:sz="8" w:space="0"/>
              <w:bottom w:val="single" w:color="auto" w:sz="8" w:space="0"/>
              <w:right w:val="single" w:color="auto" w:sz="8" w:space="0"/>
            </w:tcBorders>
            <w:shd w:val="clear" w:color="auto" w:fill="auto"/>
            <w:vAlign w:val="center"/>
          </w:tcPr>
          <w:p>
            <w:pPr>
              <w:pStyle w:val="4"/>
              <w:numPr>
                <w:ilvl w:val="255"/>
                <w:numId w:val="0"/>
              </w:numPr>
              <w:ind w:firstLine="643"/>
              <w:jc w:val="center"/>
              <w:rPr>
                <w:rFonts w:ascii="方正黑体_GBK" w:hAnsi="宋体" w:eastAsia="方正黑体_GBK" w:cs="宋体"/>
                <w:kern w:val="0"/>
                <w:sz w:val="28"/>
                <w:szCs w:val="28"/>
              </w:rPr>
            </w:pPr>
            <w:r>
              <w:rPr>
                <w:rFonts w:hint="eastAsia"/>
              </w:rPr>
              <w:t>专栏4 人居环境品质提升重点工程</w:t>
            </w:r>
          </w:p>
        </w:tc>
      </w:tr>
      <w:tr>
        <w:tblPrEx>
          <w:tblCellMar>
            <w:top w:w="0" w:type="dxa"/>
            <w:left w:w="108" w:type="dxa"/>
            <w:bottom w:w="0" w:type="dxa"/>
            <w:right w:w="108" w:type="dxa"/>
          </w:tblCellMar>
        </w:tblPrEx>
        <w:trPr>
          <w:trHeight w:val="689" w:hRule="atLeast"/>
        </w:trPr>
        <w:tc>
          <w:tcPr>
            <w:tcW w:w="5000" w:type="pct"/>
            <w:tcBorders>
              <w:top w:val="single" w:color="auto" w:sz="8" w:space="0"/>
              <w:left w:val="single" w:color="auto" w:sz="8" w:space="0"/>
              <w:right w:val="single" w:color="auto" w:sz="8" w:space="0"/>
            </w:tcBorders>
            <w:shd w:val="clear" w:color="auto" w:fill="auto"/>
            <w:vAlign w:val="center"/>
          </w:tcPr>
          <w:p>
            <w:pPr>
              <w:ind w:firstLine="301" w:firstLineChars="100"/>
              <w:rPr>
                <w:rFonts w:ascii="仿宋_GB2312" w:hAnsi="仿宋_GB2312" w:cs="仿宋_GB2312"/>
                <w:b/>
                <w:bCs/>
              </w:rPr>
            </w:pPr>
            <w:r>
              <w:rPr>
                <w:rFonts w:hint="eastAsia" w:ascii="仿宋_GB2312" w:hAnsi="仿宋_GB2312" w:cs="仿宋_GB2312"/>
                <w:b/>
              </w:rPr>
              <w:t>1、万盛八角度假区群众公园项目</w:t>
            </w:r>
            <w:r>
              <w:rPr>
                <w:rFonts w:hint="eastAsia" w:ascii="仿宋_GB2312" w:hAnsi="仿宋_GB2312" w:cs="仿宋_GB2312"/>
                <w:b/>
                <w:bCs/>
              </w:rPr>
              <w:t>。</w:t>
            </w:r>
            <w:r>
              <w:rPr>
                <w:rFonts w:hint="eastAsia" w:ascii="仿宋_GB2312" w:hAnsi="仿宋_GB2312" w:cs="仿宋_GB2312"/>
                <w:bCs/>
              </w:rPr>
              <w:t>万盛八角度假区。实施建设占地面积11548㎡的万盛八角度假区群众公园，其中建设乒乓球场、篮球场、羽毛球场、门球场、气排球等各类球场设施8块，面积约1000㎡；新建登山步道约3公里；建设公共厕所两座、景观亭1座；安装排污管网1.2公里；公园照明安装、自来水供水管道铺设1.2</w:t>
            </w:r>
            <w:r>
              <w:rPr>
                <w:rFonts w:hint="eastAsia" w:ascii="仿宋_GB2312" w:hAnsi="仿宋_GB2312" w:cs="仿宋_GB2312"/>
                <w:bCs/>
                <w:lang w:val="en-US" w:eastAsia="zh-CN"/>
              </w:rPr>
              <w:t>k</w:t>
            </w:r>
            <w:r>
              <w:rPr>
                <w:rFonts w:hint="eastAsia" w:ascii="仿宋_GB2312" w:hAnsi="仿宋_GB2312" w:cs="仿宋_GB2312"/>
                <w:bCs/>
              </w:rPr>
              <w:t>m，新设10处直饮水点、健身平台3处共计面积1200㎡。轮滑场地一处700㎡。</w:t>
            </w:r>
          </w:p>
          <w:p>
            <w:pPr>
              <w:ind w:firstLine="301" w:firstLineChars="100"/>
              <w:rPr>
                <w:rFonts w:ascii="仿宋_GB2312" w:hAnsi="仿宋_GB2312" w:cs="仿宋_GB2312"/>
                <w:b/>
                <w:bCs/>
              </w:rPr>
            </w:pPr>
            <w:r>
              <w:rPr>
                <w:rFonts w:hint="eastAsia" w:ascii="仿宋_GB2312" w:hAnsi="仿宋_GB2312" w:cs="仿宋_GB2312"/>
                <w:b/>
              </w:rPr>
              <w:t>2、绿地建设与管控项目项目。</w:t>
            </w:r>
            <w:r>
              <w:rPr>
                <w:rFonts w:ascii="仿宋_GB2312" w:hAnsi="仿宋_GB2312" w:cs="仿宋_GB2312"/>
                <w:bCs/>
              </w:rPr>
              <w:t>3000亩堡堂文化公园开展生态修复、生态绿化提升工作</w:t>
            </w:r>
            <w:r>
              <w:rPr>
                <w:rFonts w:hint="eastAsia" w:ascii="仿宋_GB2312" w:hAnsi="仿宋_GB2312" w:cs="仿宋_GB2312"/>
                <w:bCs/>
              </w:rPr>
              <w:t>，体现“自力更生、艰苦奋斗、敢打敢拼”堡堂精神；并对整个青年镇已完成绿化进行日常管护。</w:t>
            </w:r>
          </w:p>
          <w:p>
            <w:pPr>
              <w:ind w:firstLine="301" w:firstLineChars="100"/>
              <w:rPr>
                <w:rFonts w:hint="eastAsia" w:ascii="仿宋_GB2312" w:hAnsi="仿宋_GB2312" w:cs="仿宋_GB2312"/>
                <w:b/>
              </w:rPr>
            </w:pPr>
            <w:r>
              <w:rPr>
                <w:rFonts w:hint="eastAsia" w:ascii="仿宋_GB2312" w:hAnsi="仿宋_GB2312" w:cs="仿宋_GB2312"/>
                <w:b/>
              </w:rPr>
              <w:t>3、万盛公园项目。</w:t>
            </w:r>
            <w:r>
              <w:rPr>
                <w:rFonts w:hint="eastAsia" w:ascii="仿宋_GB2312" w:hAnsi="仿宋_GB2312" w:cs="仿宋_GB2312"/>
                <w:bCs/>
              </w:rPr>
              <w:t>连接万盛矿山公园、万盛公园，打通公园之间连接瓶颈，建设万盛城区生态廊道。</w:t>
            </w:r>
          </w:p>
        </w:tc>
      </w:tr>
      <w:tr>
        <w:tblPrEx>
          <w:tblCellMar>
            <w:top w:w="0" w:type="dxa"/>
            <w:left w:w="108" w:type="dxa"/>
            <w:bottom w:w="0" w:type="dxa"/>
            <w:right w:w="108" w:type="dxa"/>
          </w:tblCellMar>
        </w:tblPrEx>
        <w:trPr>
          <w:trHeight w:val="1256" w:hRule="atLeast"/>
        </w:trPr>
        <w:tc>
          <w:tcPr>
            <w:tcW w:w="5000" w:type="pct"/>
            <w:tcBorders>
              <w:left w:val="single" w:color="auto" w:sz="8" w:space="0"/>
              <w:right w:val="single" w:color="auto" w:sz="8" w:space="0"/>
            </w:tcBorders>
            <w:shd w:val="clear" w:color="auto" w:fill="auto"/>
            <w:vAlign w:val="center"/>
          </w:tcPr>
          <w:p>
            <w:pPr>
              <w:ind w:firstLine="301" w:firstLineChars="100"/>
            </w:pPr>
            <w:r>
              <w:rPr>
                <w:rFonts w:ascii="仿宋_GB2312" w:hAnsi="仿宋_GB2312" w:cs="仿宋_GB2312"/>
                <w:b/>
              </w:rPr>
              <w:t>4</w:t>
            </w:r>
            <w:r>
              <w:rPr>
                <w:rFonts w:hint="eastAsia" w:ascii="仿宋_GB2312" w:hAnsi="仿宋_GB2312" w:cs="仿宋_GB2312"/>
                <w:b/>
              </w:rPr>
              <w:t>、渝黔复线两侧生态修复与环境整治项目</w:t>
            </w:r>
            <w:r>
              <w:rPr>
                <w:rFonts w:hint="eastAsia"/>
              </w:rPr>
              <w:t>。涉及南桐、关坝、青年渝黔复线两侧区域，对南桐、关坝、青年渝黔复线两侧进行生态植被修复及周边生态修护。主要包括：修建人行便道、山洪沟等基础设施工程；渝黔复线两侧及周边的生态植被修复。</w:t>
            </w:r>
          </w:p>
        </w:tc>
      </w:tr>
      <w:tr>
        <w:tblPrEx>
          <w:tblCellMar>
            <w:top w:w="0" w:type="dxa"/>
            <w:left w:w="108" w:type="dxa"/>
            <w:bottom w:w="0" w:type="dxa"/>
            <w:right w:w="108" w:type="dxa"/>
          </w:tblCellMar>
        </w:tblPrEx>
        <w:trPr>
          <w:trHeight w:val="1256" w:hRule="atLeast"/>
        </w:trPr>
        <w:tc>
          <w:tcPr>
            <w:tcW w:w="5000" w:type="pct"/>
            <w:tcBorders>
              <w:left w:val="single" w:color="auto" w:sz="8" w:space="0"/>
              <w:right w:val="single" w:color="auto" w:sz="8" w:space="0"/>
            </w:tcBorders>
            <w:shd w:val="clear" w:color="auto" w:fill="auto"/>
            <w:vAlign w:val="center"/>
          </w:tcPr>
          <w:p>
            <w:pPr>
              <w:ind w:firstLine="301" w:firstLineChars="100"/>
              <w:rPr>
                <w:rFonts w:ascii="Times New Roman" w:hAnsi="Times New Roman" w:cs="Times New Roman"/>
                <w:sz w:val="28"/>
              </w:rPr>
            </w:pPr>
            <w:r>
              <w:rPr>
                <w:rFonts w:ascii="仿宋_GB2312" w:hAnsi="仿宋_GB2312" w:cs="仿宋_GB2312"/>
                <w:b/>
              </w:rPr>
              <w:t>5</w:t>
            </w:r>
            <w:r>
              <w:rPr>
                <w:rFonts w:hint="eastAsia" w:ascii="仿宋_GB2312" w:hAnsi="仿宋_GB2312" w:cs="仿宋_GB2312"/>
                <w:b/>
              </w:rPr>
              <w:t>、万盛水环境综合治理</w:t>
            </w:r>
            <w:r>
              <w:rPr>
                <w:rFonts w:hint="eastAsia" w:ascii="仿宋_GB2312" w:hAnsi="仿宋_GB2312" w:cs="仿宋_GB2312"/>
              </w:rPr>
              <w:t>PPP</w:t>
            </w:r>
            <w:r>
              <w:rPr>
                <w:rFonts w:hint="eastAsia" w:ascii="仿宋_GB2312" w:hAnsi="仿宋_GB2312" w:cs="仿宋_GB2312"/>
                <w:b/>
              </w:rPr>
              <w:t>项目</w:t>
            </w:r>
            <w:r>
              <w:rPr>
                <w:rFonts w:hint="eastAsia"/>
              </w:rPr>
              <w:t>。涉及万盛全域，系统推进城市水环境综合治理，对万盛城镇雨污管网、处理设施、管理维护等进行全面改造升级。重点实施污水管网完善及雨污分流改造工程、污水处理厂新建及技术改造工程、给水管网工程、智慧水务等四大工程。</w:t>
            </w:r>
          </w:p>
        </w:tc>
      </w:tr>
      <w:tr>
        <w:tblPrEx>
          <w:tblCellMar>
            <w:top w:w="0" w:type="dxa"/>
            <w:left w:w="108" w:type="dxa"/>
            <w:bottom w:w="0" w:type="dxa"/>
            <w:right w:w="108" w:type="dxa"/>
          </w:tblCellMar>
        </w:tblPrEx>
        <w:trPr>
          <w:trHeight w:val="1256" w:hRule="atLeast"/>
        </w:trPr>
        <w:tc>
          <w:tcPr>
            <w:tcW w:w="5000" w:type="pct"/>
            <w:tcBorders>
              <w:left w:val="single" w:color="auto" w:sz="8" w:space="0"/>
              <w:bottom w:val="single" w:color="auto" w:sz="8" w:space="0"/>
              <w:right w:val="single" w:color="auto" w:sz="8" w:space="0"/>
            </w:tcBorders>
            <w:shd w:val="clear" w:color="auto" w:fill="auto"/>
            <w:vAlign w:val="center"/>
          </w:tcPr>
          <w:p>
            <w:pPr>
              <w:ind w:firstLine="301" w:firstLineChars="100"/>
              <w:rPr>
                <w:rFonts w:asciiTheme="majorHAnsi" w:hAnsiTheme="majorHAnsi" w:cstheme="majorBidi"/>
                <w:b/>
              </w:rPr>
            </w:pPr>
            <w:r>
              <w:rPr>
                <w:rFonts w:ascii="仿宋_GB2312" w:hAnsi="仿宋_GB2312" w:cs="仿宋_GB2312"/>
                <w:b/>
                <w:bCs/>
              </w:rPr>
              <w:t>6</w:t>
            </w:r>
            <w:r>
              <w:rPr>
                <w:rFonts w:hint="eastAsia" w:ascii="仿宋_GB2312" w:hAnsi="仿宋_GB2312" w:cs="仿宋_GB2312"/>
                <w:b/>
                <w:bCs/>
              </w:rPr>
              <w:t>、煤电化产业园生态防护带项目</w:t>
            </w:r>
            <w:r>
              <w:rPr>
                <w:rFonts w:hint="eastAsia" w:ascii="仿宋_GB2312" w:hAnsi="仿宋_GB2312" w:cs="仿宋_GB2312"/>
              </w:rPr>
              <w:t>。</w:t>
            </w:r>
            <w:r>
              <w:rPr>
                <w:rFonts w:hint="eastAsia"/>
              </w:rPr>
              <w:t>涉及关坝镇</w:t>
            </w:r>
            <w:r>
              <w:t>煤电化产业园</w:t>
            </w:r>
            <w:r>
              <w:rPr>
                <w:rFonts w:hint="eastAsia"/>
              </w:rPr>
              <w:t>，结合煤电化产业园规划布局生态防护林（约</w:t>
            </w:r>
            <w:r>
              <w:t>30m）、水资源生态净化等工程，重点生态治理溱溪河关联段</w:t>
            </w:r>
            <w:r>
              <w:rPr>
                <w:rFonts w:hint="eastAsia"/>
              </w:rPr>
              <w:t>，植树造林，</w:t>
            </w:r>
            <w:r>
              <w:t>提高降尘、吸尘能力。</w:t>
            </w:r>
          </w:p>
        </w:tc>
      </w:tr>
    </w:tbl>
    <w:p>
      <w:pPr>
        <w:pStyle w:val="4"/>
        <w:ind w:firstLine="643"/>
      </w:pPr>
      <w:bookmarkStart w:id="61" w:name="_Toc121730916"/>
      <w:r>
        <w:rPr>
          <w:rFonts w:hint="eastAsia"/>
        </w:rPr>
        <w:t>五、生态修复系统性综合服务重点工程</w:t>
      </w:r>
      <w:bookmarkEnd w:id="61"/>
    </w:p>
    <w:p>
      <w:pPr>
        <w:pStyle w:val="37"/>
        <w:ind w:firstLine="600"/>
        <w:rPr>
          <w:rFonts w:ascii="仿宋_GB2312" w:hAnsi="仿宋_GB2312" w:cs="仿宋_GB2312"/>
        </w:rPr>
      </w:pPr>
      <w:r>
        <w:rPr>
          <w:rFonts w:hint="eastAsia" w:ascii="仿宋_GB2312" w:hAnsi="仿宋_GB2312" w:cs="仿宋_GB2312"/>
          <w:szCs w:val="30"/>
        </w:rPr>
        <w:t>该重点工程主要涉及黑山森林区域。针对边坡塌方堵塞交通等问题，实施边坡治理、生态环境监测，包含生态修复管理服务、新经济产业园山体生态环境监测网络系统</w:t>
      </w:r>
      <w:r>
        <w:rPr>
          <w:rFonts w:ascii="仿宋_GB2312" w:hAnsi="仿宋_GB2312" w:cs="仿宋_GB2312"/>
          <w:szCs w:val="30"/>
        </w:rPr>
        <w:t>3</w:t>
      </w:r>
      <w:r>
        <w:rPr>
          <w:rFonts w:hint="eastAsia" w:ascii="仿宋_GB2312" w:hAnsi="仿宋_GB2312" w:cs="仿宋_GB2312"/>
          <w:szCs w:val="30"/>
        </w:rPr>
        <w:t>个重点项目，主要目标是提供系统性的生态修复综合服务，保障区域内生态修复实施成效</w:t>
      </w:r>
      <w:r>
        <w:rPr>
          <w:rFonts w:hint="eastAsia" w:ascii="仿宋_GB2312" w:hAnsi="仿宋_GB2312" w:cs="仿宋_GB2312"/>
        </w:rPr>
        <w:t>。</w:t>
      </w:r>
    </w:p>
    <w:p>
      <w:pPr>
        <w:numPr>
          <w:ilvl w:val="255"/>
          <w:numId w:val="0"/>
        </w:numPr>
      </w:pPr>
    </w:p>
    <w:tbl>
      <w:tblPr>
        <w:tblStyle w:val="24"/>
        <w:tblW w:w="4982" w:type="pct"/>
        <w:tblInd w:w="0" w:type="dxa"/>
        <w:tblLayout w:type="autofit"/>
        <w:tblCellMar>
          <w:top w:w="0" w:type="dxa"/>
          <w:left w:w="108" w:type="dxa"/>
          <w:bottom w:w="0" w:type="dxa"/>
          <w:right w:w="108" w:type="dxa"/>
        </w:tblCellMar>
      </w:tblPr>
      <w:tblGrid>
        <w:gridCol w:w="9028"/>
      </w:tblGrid>
      <w:tr>
        <w:tblPrEx>
          <w:tblCellMar>
            <w:top w:w="0" w:type="dxa"/>
            <w:left w:w="108" w:type="dxa"/>
            <w:bottom w:w="0" w:type="dxa"/>
            <w:right w:w="108" w:type="dxa"/>
          </w:tblCellMar>
        </w:tblPrEx>
        <w:trPr>
          <w:trHeight w:val="765" w:hRule="atLeast"/>
        </w:trPr>
        <w:tc>
          <w:tcPr>
            <w:tcW w:w="5000" w:type="pct"/>
            <w:tcBorders>
              <w:top w:val="single" w:color="auto" w:sz="8" w:space="0"/>
              <w:left w:val="single" w:color="auto" w:sz="8" w:space="0"/>
              <w:bottom w:val="single" w:color="auto" w:sz="8" w:space="0"/>
              <w:right w:val="single" w:color="auto" w:sz="8" w:space="0"/>
            </w:tcBorders>
            <w:shd w:val="clear" w:color="auto" w:fill="auto"/>
            <w:vAlign w:val="center"/>
          </w:tcPr>
          <w:p>
            <w:pPr>
              <w:pStyle w:val="4"/>
              <w:numPr>
                <w:ilvl w:val="255"/>
                <w:numId w:val="0"/>
              </w:numPr>
              <w:ind w:firstLine="643"/>
              <w:jc w:val="center"/>
              <w:rPr>
                <w:rFonts w:ascii="方正黑体_GBK" w:hAnsi="宋体" w:eastAsia="方正黑体_GBK" w:cs="宋体"/>
                <w:kern w:val="0"/>
                <w:sz w:val="28"/>
                <w:szCs w:val="28"/>
              </w:rPr>
            </w:pPr>
            <w:r>
              <w:rPr>
                <w:rFonts w:hint="eastAsia"/>
              </w:rPr>
              <w:t>专栏5 生态修复系统性综合服务重点工程</w:t>
            </w:r>
          </w:p>
        </w:tc>
      </w:tr>
      <w:tr>
        <w:tblPrEx>
          <w:tblCellMar>
            <w:top w:w="0" w:type="dxa"/>
            <w:left w:w="108" w:type="dxa"/>
            <w:bottom w:w="0" w:type="dxa"/>
            <w:right w:w="108" w:type="dxa"/>
          </w:tblCellMar>
        </w:tblPrEx>
        <w:trPr>
          <w:trHeight w:val="3468" w:hRule="atLeast"/>
        </w:trPr>
        <w:tc>
          <w:tcPr>
            <w:tcW w:w="5000" w:type="pct"/>
            <w:tcBorders>
              <w:top w:val="single" w:color="auto" w:sz="8" w:space="0"/>
              <w:left w:val="single" w:color="auto" w:sz="8" w:space="0"/>
              <w:right w:val="single" w:color="auto" w:sz="8" w:space="0"/>
            </w:tcBorders>
            <w:shd w:val="clear" w:color="auto" w:fill="auto"/>
            <w:vAlign w:val="center"/>
          </w:tcPr>
          <w:p>
            <w:pPr>
              <w:ind w:firstLine="301" w:firstLineChars="0"/>
            </w:pPr>
            <w:r>
              <w:rPr>
                <w:rFonts w:hint="eastAsia" w:ascii="仿宋_GB2312" w:hAnsi="仿宋_GB2312" w:cs="仿宋_GB2312"/>
                <w:b/>
                <w:bCs/>
              </w:rPr>
              <w:t>1、</w:t>
            </w:r>
            <w:r>
              <w:rPr>
                <w:rFonts w:hint="eastAsia"/>
                <w:b/>
                <w:bCs/>
              </w:rPr>
              <w:t>生态修复管理服务项目</w:t>
            </w:r>
            <w:r>
              <w:rPr>
                <w:rFonts w:hint="eastAsia" w:ascii="仿宋_GB2312" w:hAnsi="仿宋_GB2312" w:cs="仿宋_GB2312"/>
                <w:b/>
                <w:bCs/>
              </w:rPr>
              <w:t>。</w:t>
            </w:r>
            <w:r>
              <w:rPr>
                <w:rFonts w:hint="eastAsia" w:ascii="仿宋_GB2312" w:hAnsi="仿宋_GB2312" w:cs="仿宋_GB2312"/>
                <w:bCs/>
              </w:rPr>
              <w:t>涉及</w:t>
            </w:r>
            <w:r>
              <w:rPr>
                <w:rFonts w:hint="eastAsia"/>
              </w:rPr>
              <w:t>朱家河坝至卧龙岗段</w:t>
            </w:r>
            <w:r>
              <w:rPr>
                <w:rFonts w:hint="eastAsia" w:ascii="仿宋_GB2312" w:hAnsi="仿宋_GB2312" w:cs="仿宋_GB2312"/>
                <w:bCs/>
              </w:rPr>
              <w:t>。</w:t>
            </w:r>
            <w:r>
              <w:t>对该区域日常防火巡查及紧急救援造成安全隐患计划在该段易发生滑坡区域进行边坡治理，各处治理点范围共计约3公里。其中各处治理点新砌边坡截水沟合计6.4千米、护坡挡墙砌筑合计3公里</w:t>
            </w:r>
            <w:r>
              <w:rPr>
                <w:rFonts w:hint="eastAsia"/>
              </w:rPr>
              <w:t>。</w:t>
            </w:r>
          </w:p>
          <w:p>
            <w:pPr>
              <w:ind w:firstLine="301" w:firstLineChars="0"/>
            </w:pPr>
            <w:r>
              <w:rPr>
                <w:rFonts w:hint="eastAsia"/>
                <w:b/>
                <w:bCs/>
              </w:rPr>
              <w:t>2、生物多样性保护项目。</w:t>
            </w:r>
            <w:r>
              <w:rPr>
                <w:rFonts w:hint="eastAsia"/>
              </w:rPr>
              <w:t>开展生物多样性调查，制定重点保护物种名录。实施万盛特色物种保护，开展外来物种入侵监管。实施“十年禁渔”，开展水生生物多样性保护。</w:t>
            </w:r>
          </w:p>
        </w:tc>
      </w:tr>
      <w:tr>
        <w:tblPrEx>
          <w:tblCellMar>
            <w:top w:w="0" w:type="dxa"/>
            <w:left w:w="108" w:type="dxa"/>
            <w:bottom w:w="0" w:type="dxa"/>
            <w:right w:w="108" w:type="dxa"/>
          </w:tblCellMar>
        </w:tblPrEx>
        <w:trPr>
          <w:trHeight w:val="1256" w:hRule="atLeast"/>
        </w:trPr>
        <w:tc>
          <w:tcPr>
            <w:tcW w:w="5000" w:type="pct"/>
            <w:tcBorders>
              <w:left w:val="single" w:color="auto" w:sz="8" w:space="0"/>
              <w:bottom w:val="single" w:color="auto" w:sz="4" w:space="0"/>
              <w:right w:val="single" w:color="auto" w:sz="8" w:space="0"/>
            </w:tcBorders>
            <w:shd w:val="clear" w:color="auto" w:fill="auto"/>
            <w:vAlign w:val="center"/>
          </w:tcPr>
          <w:p>
            <w:pPr>
              <w:ind w:firstLine="301" w:firstLineChars="100"/>
            </w:pPr>
            <w:r>
              <w:rPr>
                <w:rFonts w:ascii="仿宋_GB2312" w:hAnsi="仿宋_GB2312" w:cs="仿宋_GB2312"/>
                <w:b/>
                <w:bCs/>
              </w:rPr>
              <w:t>3</w:t>
            </w:r>
            <w:r>
              <w:rPr>
                <w:rFonts w:hint="eastAsia" w:ascii="仿宋_GB2312" w:hAnsi="仿宋_GB2312" w:cs="仿宋_GB2312"/>
                <w:b/>
                <w:bCs/>
              </w:rPr>
              <w:t>、</w:t>
            </w:r>
            <w:r>
              <w:rPr>
                <w:rFonts w:hint="eastAsia"/>
                <w:b/>
                <w:bCs/>
              </w:rPr>
              <w:t>新经济产业园山体生态环境监测网络系统</w:t>
            </w:r>
            <w:r>
              <w:rPr>
                <w:b/>
                <w:bCs/>
              </w:rPr>
              <w:t>项目</w:t>
            </w:r>
            <w:r>
              <w:t>。涉及</w:t>
            </w:r>
            <w:r>
              <w:rPr>
                <w:rFonts w:hint="eastAsia"/>
              </w:rPr>
              <w:t>新经济产业园</w:t>
            </w:r>
            <w:r>
              <w:t>310平方公里监测范围，以丛黑公路沿线，黑山、南天门、九锅箐片区生态红线范围内的山体为重点监测区域，重点监测区面积约70平方公里，对违法开发建设、毁坏山体形态、破坏生态环境等行为及时查处。</w:t>
            </w:r>
          </w:p>
        </w:tc>
      </w:tr>
    </w:tbl>
    <w:p>
      <w:pPr>
        <w:pStyle w:val="4"/>
        <w:ind w:firstLine="643"/>
      </w:pPr>
      <w:bookmarkStart w:id="62" w:name="_Hlk140679033"/>
      <w:bookmarkStart w:id="63" w:name="_Toc121507394"/>
      <w:bookmarkStart w:id="64" w:name="_Toc121730921"/>
      <w:bookmarkStart w:id="65" w:name="_Toc121131094"/>
      <w:r>
        <w:rPr>
          <w:rFonts w:hint="eastAsia"/>
        </w:rPr>
        <w:t>六、土壤污染治理修复工程</w:t>
      </w:r>
    </w:p>
    <w:p>
      <w:pPr>
        <w:pStyle w:val="37"/>
        <w:ind w:firstLine="600"/>
        <w:rPr>
          <w:rFonts w:ascii="仿宋_GB2312" w:hAnsi="仿宋_GB2312" w:cs="仿宋_GB2312"/>
          <w:szCs w:val="30"/>
        </w:rPr>
      </w:pPr>
      <w:r>
        <w:rPr>
          <w:rFonts w:hint="eastAsia" w:ascii="仿宋_GB2312" w:hAnsi="仿宋_GB2312" w:cs="仿宋_GB2312"/>
          <w:szCs w:val="30"/>
        </w:rPr>
        <w:t>重点开展农用地土壤环境质量监测、土壤酸化治理、并采取退耕还林还草、种植结构调整、农艺调控、固化</w:t>
      </w:r>
      <w:r>
        <w:rPr>
          <w:rFonts w:ascii="仿宋_GB2312" w:hAnsi="仿宋_GB2312" w:cs="仿宋_GB2312"/>
          <w:szCs w:val="30"/>
        </w:rPr>
        <w:t>\</w:t>
      </w:r>
      <w:r>
        <w:rPr>
          <w:rFonts w:hint="eastAsia" w:ascii="仿宋_GB2312" w:hAnsi="仿宋_GB2312" w:cs="仿宋_GB2312"/>
          <w:szCs w:val="30"/>
        </w:rPr>
        <w:t>钝化阻隔、植物修复、微生物修复等措施进行耕地土壤修复。</w:t>
      </w:r>
    </w:p>
    <w:p>
      <w:pPr>
        <w:pStyle w:val="37"/>
        <w:ind w:firstLine="600"/>
        <w:rPr>
          <w:rFonts w:ascii="仿宋_GB2312" w:hAnsi="仿宋_GB2312" w:cs="仿宋_GB2312"/>
          <w:szCs w:val="30"/>
        </w:rPr>
      </w:pPr>
      <w:r>
        <w:rPr>
          <w:rFonts w:hint="eastAsia" w:ascii="仿宋_GB2312" w:hAnsi="仿宋_GB2312" w:cs="仿宋_GB2312"/>
          <w:szCs w:val="30"/>
        </w:rPr>
        <w:t>整治建设用地污染地块，对建设用地治理修复，达到土壤环境质量要求，便于后期利用。</w:t>
      </w:r>
    </w:p>
    <w:p>
      <w:pPr>
        <w:pStyle w:val="37"/>
        <w:ind w:firstLine="600"/>
        <w:rPr>
          <w:rFonts w:ascii="仿宋_GB2312" w:hAnsi="仿宋_GB2312" w:cs="仿宋_GB2312"/>
          <w:szCs w:val="30"/>
        </w:rPr>
      </w:pPr>
      <w:r>
        <w:rPr>
          <w:rFonts w:hint="eastAsia" w:ascii="仿宋_GB2312" w:hAnsi="仿宋_GB2312" w:cs="仿宋_GB2312"/>
          <w:szCs w:val="30"/>
        </w:rPr>
        <w:t>重点开展2个重点项目，提升耕地质量、修复污染土壤，提高建设用地利用效率。</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auto"/>
          </w:tcPr>
          <w:p>
            <w:pPr>
              <w:ind w:firstLine="0" w:firstLineChars="0"/>
              <w:rPr>
                <w:rFonts w:ascii="Times New Roman" w:hAnsi="Times New Roman"/>
                <w:kern w:val="0"/>
                <w:szCs w:val="32"/>
              </w:rPr>
            </w:pPr>
            <w:r>
              <w:rPr>
                <w:rFonts w:hint="eastAsia" w:ascii="等线" w:hAnsi="等线"/>
              </w:rPr>
              <w:t>专栏</w:t>
            </w:r>
            <w:r>
              <w:rPr>
                <w:rFonts w:ascii="等线" w:hAnsi="等线"/>
              </w:rPr>
              <w:t>6</w:t>
            </w:r>
            <w:r>
              <w:rPr>
                <w:rFonts w:hint="eastAsia" w:ascii="等线" w:hAnsi="等线"/>
              </w:rPr>
              <w:t>土壤污染治理修复工程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auto"/>
          </w:tcPr>
          <w:p>
            <w:pPr>
              <w:ind w:firstLine="602"/>
              <w:rPr>
                <w:rFonts w:ascii="仿宋_GB2312" w:hAnsi="仿宋_GB2312" w:cs="仿宋_GB2312"/>
                <w:bCs/>
              </w:rPr>
            </w:pPr>
            <w:r>
              <w:rPr>
                <w:rFonts w:hint="eastAsia" w:ascii="等线" w:hAnsi="等线"/>
                <w:b/>
                <w:bCs/>
              </w:rPr>
              <w:t>1、耕地土壤污染安全利用项目。</w:t>
            </w:r>
            <w:r>
              <w:rPr>
                <w:rFonts w:hint="eastAsia" w:ascii="仿宋_GB2312" w:hAnsi="仿宋_GB2312" w:cs="仿宋_GB2312"/>
                <w:bCs/>
              </w:rPr>
              <w:t>根据市级下达任务安排，采取农业措施治理被污染土壤耕地，主要包括：低积累品种种植、叶面阻隔、土壤调理等农艺措施，强化安全利用；通过种植结构调整和退耕还林还草等措施落实严格管控。</w:t>
            </w:r>
          </w:p>
          <w:p>
            <w:pPr>
              <w:ind w:firstLine="602"/>
            </w:pPr>
            <w:r>
              <w:rPr>
                <w:rFonts w:hint="eastAsia" w:ascii="等线" w:hAnsi="等线"/>
                <w:b/>
                <w:bCs/>
              </w:rPr>
              <w:t>2、建设用地污染地块修复工程。</w:t>
            </w:r>
            <w:r>
              <w:rPr>
                <w:rFonts w:hint="eastAsia"/>
              </w:rPr>
              <w:t>开展和美机械配件加工厂地块、原晋林机械厂铸件加工区地块修复。</w:t>
            </w:r>
          </w:p>
        </w:tc>
      </w:tr>
      <w:bookmarkEnd w:id="62"/>
    </w:tbl>
    <w:p/>
    <w:p>
      <w:pPr>
        <w:pStyle w:val="4"/>
        <w:ind w:firstLine="643"/>
      </w:pPr>
      <w:r>
        <w:rPr>
          <w:rFonts w:hint="eastAsia"/>
        </w:rPr>
        <w:t>七、全域土地综合整治工程</w:t>
      </w:r>
    </w:p>
    <w:p>
      <w:r>
        <w:rPr>
          <w:rFonts w:hint="eastAsia"/>
        </w:rPr>
        <w:t>该重点工程主要布局于万盛经开区北部、南部区域，主要针对耕地碎片化、空间布局无序化、土地资源利用低效化、生态系统质量退化等问题，以打造集约高效的生产空间、宜居适度的生活空间、山清水秀的生态空间为落脚点，开展农用地整理，补充耕地数量，提高耕地质量，改善农田生态；实施乡村生态保护修复，结合农村人居环境整治等，保护和恢复乡村生态功能，维护生物多样性，保持乡村自然景观和农村风貌；实施乡村历史文化保护，充分挖掘乡村自然和文化资源，保持乡村特有的乡土文化，注重传统农耕文化传承，保护历史文脉。主要包含</w:t>
      </w:r>
      <w:bookmarkStart w:id="66" w:name="_Hlk126763030"/>
      <w:r>
        <w:rPr>
          <w:rFonts w:hint="eastAsia"/>
        </w:rPr>
        <w:t>青年镇板辽村，石林镇石鼓村、茶园村</w:t>
      </w:r>
      <w:bookmarkEnd w:id="66"/>
      <w:r>
        <w:rPr>
          <w:rFonts w:hint="eastAsia"/>
        </w:rPr>
        <w:t>全域土地综合整治1</w:t>
      </w:r>
      <w:r>
        <w:t>个重点项目。通过</w:t>
      </w:r>
      <w:r>
        <w:rPr>
          <w:rFonts w:hint="eastAsia"/>
        </w:rPr>
        <w:t>全域土地</w:t>
      </w:r>
      <w:r>
        <w:t>综合整治项目，刻画</w:t>
      </w:r>
      <w:r>
        <w:rPr>
          <w:rFonts w:hint="eastAsia"/>
        </w:rPr>
        <w:t>独具</w:t>
      </w:r>
      <w:r>
        <w:t>魅力的农田景观，助推乡村全面振兴。</w:t>
      </w:r>
    </w:p>
    <w:tbl>
      <w:tblPr>
        <w:tblStyle w:val="24"/>
        <w:tblW w:w="4982" w:type="pct"/>
        <w:tblInd w:w="0" w:type="dxa"/>
        <w:tblLayout w:type="autofit"/>
        <w:tblCellMar>
          <w:top w:w="0" w:type="dxa"/>
          <w:left w:w="108" w:type="dxa"/>
          <w:bottom w:w="0" w:type="dxa"/>
          <w:right w:w="108" w:type="dxa"/>
        </w:tblCellMar>
      </w:tblPr>
      <w:tblGrid>
        <w:gridCol w:w="9028"/>
      </w:tblGrid>
      <w:tr>
        <w:tblPrEx>
          <w:tblCellMar>
            <w:top w:w="0" w:type="dxa"/>
            <w:left w:w="108" w:type="dxa"/>
            <w:bottom w:w="0" w:type="dxa"/>
            <w:right w:w="108" w:type="dxa"/>
          </w:tblCellMar>
        </w:tblPrEx>
        <w:trPr>
          <w:trHeight w:val="765" w:hRule="atLeast"/>
        </w:trPr>
        <w:tc>
          <w:tcPr>
            <w:tcW w:w="5000" w:type="pct"/>
            <w:tcBorders>
              <w:top w:val="single" w:color="auto" w:sz="8" w:space="0"/>
              <w:left w:val="single" w:color="auto" w:sz="8" w:space="0"/>
              <w:bottom w:val="single" w:color="auto" w:sz="8" w:space="0"/>
              <w:right w:val="single" w:color="auto" w:sz="8" w:space="0"/>
            </w:tcBorders>
            <w:shd w:val="clear" w:color="auto" w:fill="auto"/>
            <w:vAlign w:val="center"/>
          </w:tcPr>
          <w:p>
            <w:pPr>
              <w:pStyle w:val="4"/>
              <w:numPr>
                <w:ilvl w:val="255"/>
                <w:numId w:val="0"/>
              </w:numPr>
              <w:ind w:firstLine="643"/>
              <w:jc w:val="center"/>
            </w:pPr>
            <w:r>
              <w:rPr>
                <w:rFonts w:hint="eastAsia"/>
              </w:rPr>
              <w:t>专栏</w:t>
            </w:r>
            <w:r>
              <w:t>7</w:t>
            </w:r>
            <w:r>
              <w:rPr>
                <w:rFonts w:hint="eastAsia"/>
              </w:rPr>
              <w:t>全域土地综合整治工程</w:t>
            </w:r>
          </w:p>
        </w:tc>
      </w:tr>
      <w:tr>
        <w:tblPrEx>
          <w:tblCellMar>
            <w:top w:w="0" w:type="dxa"/>
            <w:left w:w="108" w:type="dxa"/>
            <w:bottom w:w="0" w:type="dxa"/>
            <w:right w:w="108" w:type="dxa"/>
          </w:tblCellMar>
        </w:tblPrEx>
        <w:trPr>
          <w:trHeight w:val="3468" w:hRule="atLeast"/>
        </w:trPr>
        <w:tc>
          <w:tcPr>
            <w:tcW w:w="5000" w:type="pct"/>
            <w:tcBorders>
              <w:top w:val="single" w:color="auto" w:sz="8" w:space="0"/>
              <w:left w:val="single" w:color="auto" w:sz="8" w:space="0"/>
              <w:right w:val="single" w:color="auto" w:sz="8" w:space="0"/>
            </w:tcBorders>
            <w:shd w:val="clear" w:color="auto" w:fill="auto"/>
            <w:vAlign w:val="center"/>
          </w:tcPr>
          <w:p>
            <w:pPr>
              <w:ind w:firstLine="301" w:firstLineChars="100"/>
            </w:pPr>
            <w:r>
              <w:rPr>
                <w:rFonts w:hint="eastAsia" w:ascii="仿宋_GB2312" w:hAnsi="仿宋_GB2312" w:cs="仿宋_GB2312"/>
                <w:b/>
                <w:bCs/>
              </w:rPr>
              <w:t>1、</w:t>
            </w:r>
            <w:r>
              <w:rPr>
                <w:rFonts w:hint="eastAsia"/>
                <w:b/>
                <w:bCs/>
              </w:rPr>
              <w:t>万盛经开区土地开发整理项目</w:t>
            </w:r>
            <w:r>
              <w:rPr>
                <w:rFonts w:hint="eastAsia" w:ascii="仿宋_GB2312" w:hAnsi="仿宋_GB2312" w:cs="仿宋_GB2312"/>
                <w:b/>
                <w:bCs/>
              </w:rPr>
              <w:t>。</w:t>
            </w:r>
            <w:r>
              <w:rPr>
                <w:rFonts w:hint="eastAsia" w:ascii="仿宋_GB2312" w:hAnsi="仿宋_GB2312" w:cs="仿宋_GB2312"/>
                <w:bCs/>
              </w:rPr>
              <w:t>在万盛经开区石林镇、青年镇等布设土地平整工程、灌溉排水工程、田间道路工程、其他工程，计划实施规模</w:t>
            </w:r>
            <w:r>
              <w:rPr>
                <w:rFonts w:ascii="仿宋_GB2312" w:hAnsi="仿宋_GB2312" w:cs="仿宋_GB2312"/>
                <w:bCs/>
              </w:rPr>
              <w:t>244公顷，预计增加新增耕地12公顷，提高耕地质量，改善经开区生态环境。</w:t>
            </w:r>
          </w:p>
        </w:tc>
      </w:tr>
      <w:tr>
        <w:tblPrEx>
          <w:tblCellMar>
            <w:top w:w="0" w:type="dxa"/>
            <w:left w:w="108" w:type="dxa"/>
            <w:bottom w:w="0" w:type="dxa"/>
            <w:right w:w="108" w:type="dxa"/>
          </w:tblCellMar>
        </w:tblPrEx>
        <w:trPr>
          <w:trHeight w:val="1256" w:hRule="atLeast"/>
        </w:trPr>
        <w:tc>
          <w:tcPr>
            <w:tcW w:w="5000" w:type="pct"/>
            <w:tcBorders>
              <w:left w:val="single" w:color="auto" w:sz="8" w:space="0"/>
              <w:bottom w:val="single" w:color="auto" w:sz="4" w:space="0"/>
              <w:right w:val="single" w:color="auto" w:sz="8" w:space="0"/>
            </w:tcBorders>
            <w:shd w:val="clear" w:color="auto" w:fill="auto"/>
            <w:vAlign w:val="center"/>
          </w:tcPr>
          <w:p>
            <w:pPr>
              <w:ind w:firstLine="0" w:firstLineChars="0"/>
              <w:rPr>
                <w:rFonts w:ascii="Times New Roman" w:hAnsi="Times New Roman" w:cs="Times New Roman"/>
                <w:sz w:val="28"/>
              </w:rPr>
            </w:pPr>
          </w:p>
        </w:tc>
      </w:tr>
    </w:tbl>
    <w:p/>
    <w:bookmarkEnd w:id="56"/>
    <w:p>
      <w:pPr>
        <w:pStyle w:val="37"/>
        <w:ind w:firstLine="600"/>
      </w:pPr>
      <w:r>
        <w:br w:type="page"/>
      </w:r>
    </w:p>
    <w:p>
      <w:pPr>
        <w:pStyle w:val="2"/>
        <w:numPr>
          <w:ilvl w:val="0"/>
          <w:numId w:val="2"/>
        </w:numPr>
        <w:jc w:val="center"/>
      </w:pPr>
      <w:bookmarkStart w:id="67" w:name="_Toc139015091"/>
      <w:r>
        <w:rPr>
          <w:rFonts w:hint="eastAsia"/>
        </w:rPr>
        <w:t>近期行动计划</w:t>
      </w:r>
      <w:bookmarkEnd w:id="63"/>
      <w:bookmarkEnd w:id="64"/>
      <w:bookmarkEnd w:id="65"/>
      <w:bookmarkEnd w:id="67"/>
    </w:p>
    <w:p>
      <w:pPr>
        <w:pStyle w:val="3"/>
      </w:pPr>
      <w:bookmarkStart w:id="68" w:name="_Toc121065486"/>
      <w:bookmarkStart w:id="69" w:name="_Toc139015092"/>
      <w:bookmarkStart w:id="70" w:name="_Toc120040768"/>
      <w:bookmarkStart w:id="71" w:name="_Toc121131095"/>
      <w:bookmarkStart w:id="72" w:name="_Toc121507395"/>
      <w:bookmarkStart w:id="73" w:name="_Toc121730922"/>
      <w:r>
        <w:rPr>
          <w:rFonts w:hint="eastAsia"/>
        </w:rPr>
        <w:t>第一节 行动目标</w:t>
      </w:r>
      <w:bookmarkEnd w:id="68"/>
      <w:bookmarkEnd w:id="69"/>
    </w:p>
    <w:p>
      <w:r>
        <w:t>推进重点工程落地实施</w:t>
      </w:r>
      <w:bookmarkEnd w:id="70"/>
      <w:r>
        <w:t>，协同城市绿化提升建设、生态网络建设等相关工作，合力推动重点工程项目落地实施。同时推进建设一批典型示范性项目，因地制宜完成一批有亮点、有创新的生态修复项目，形成高质量、高水平的生态保护修复工程样板。</w:t>
      </w:r>
    </w:p>
    <w:p>
      <w:pPr>
        <w:ind w:firstLine="602"/>
        <w:rPr>
          <w:rFonts w:asciiTheme="majorHAnsi" w:hAnsiTheme="majorHAnsi" w:cstheme="majorBidi"/>
          <w:b/>
          <w:bCs/>
          <w:szCs w:val="28"/>
        </w:rPr>
      </w:pPr>
      <w:r>
        <w:rPr>
          <w:rFonts w:hint="eastAsia" w:asciiTheme="majorHAnsi" w:hAnsiTheme="majorHAnsi" w:cstheme="majorBidi"/>
          <w:b/>
          <w:bCs/>
          <w:szCs w:val="28"/>
        </w:rPr>
        <w:t>（一） 推进重点工程落地实施</w:t>
      </w:r>
      <w:bookmarkEnd w:id="71"/>
      <w:bookmarkEnd w:id="72"/>
      <w:bookmarkEnd w:id="73"/>
    </w:p>
    <w:p>
      <w:pPr>
        <w:ind w:firstLine="0" w:firstLineChars="0"/>
      </w:pPr>
      <w:bookmarkStart w:id="74" w:name="_Toc121507396"/>
      <w:bookmarkStart w:id="75" w:name="_Toc121730923"/>
      <w:r>
        <w:rPr>
          <w:rFonts w:hint="eastAsia" w:ascii="方正小标宋_GBK" w:hAnsi="宋体" w:eastAsia="方正小标宋_GBK" w:cs="Times New Roman"/>
          <w:b/>
          <w:bCs/>
          <w:kern w:val="0"/>
          <w:szCs w:val="27"/>
        </w:rPr>
        <w:t>——</w:t>
      </w:r>
      <w:r>
        <w:rPr>
          <w:rFonts w:hint="eastAsia"/>
        </w:rPr>
        <w:t>建设绿色矿山、</w:t>
      </w:r>
      <w:r>
        <w:t>呵护绿水青山</w:t>
      </w:r>
      <w:bookmarkEnd w:id="74"/>
      <w:bookmarkEnd w:id="75"/>
    </w:p>
    <w:p>
      <w:r>
        <w:rPr>
          <w:rFonts w:hint="eastAsia"/>
        </w:rPr>
        <w:t>推进南桐镇</w:t>
      </w:r>
      <w:r>
        <w:t>、黑山镇</w:t>
      </w:r>
      <w:r>
        <w:rPr>
          <w:rFonts w:hint="eastAsia"/>
        </w:rPr>
        <w:t>、</w:t>
      </w:r>
      <w:r>
        <w:t>丛林镇、万东镇采煤沉陷区综合整治</w:t>
      </w:r>
      <w:r>
        <w:rPr>
          <w:rFonts w:hint="eastAsia"/>
        </w:rPr>
        <w:t>，通过森林抚育、地质环境治理、水资源恢复、土地整治、道路改造，将绿色“还给”矿山。</w:t>
      </w:r>
      <w:r>
        <w:t>重点</w:t>
      </w:r>
      <w:r>
        <w:rPr>
          <w:rFonts w:hint="eastAsia"/>
        </w:rPr>
        <w:t>修复</w:t>
      </w:r>
      <w:r>
        <w:t>南桐镇、黑山镇、万东镇历史遗留</w:t>
      </w:r>
      <w:r>
        <w:rPr>
          <w:rFonts w:hint="eastAsia"/>
        </w:rPr>
        <w:t>关闭矿山</w:t>
      </w:r>
      <w:r>
        <w:t>，合理</w:t>
      </w:r>
      <w:r>
        <w:rPr>
          <w:rFonts w:hint="eastAsia"/>
        </w:rPr>
        <w:t>转移</w:t>
      </w:r>
      <w:r>
        <w:t>利用矿山建设用地指标</w:t>
      </w:r>
      <w:r>
        <w:rPr>
          <w:rFonts w:hint="eastAsia"/>
        </w:rPr>
        <w:t>。</w:t>
      </w:r>
    </w:p>
    <w:p>
      <w:pPr>
        <w:ind w:firstLine="0" w:firstLineChars="0"/>
      </w:pPr>
      <w:bookmarkStart w:id="76" w:name="_Toc121507397"/>
      <w:bookmarkStart w:id="77" w:name="_Toc121730924"/>
      <w:r>
        <w:rPr>
          <w:rFonts w:hint="eastAsia" w:ascii="方正小标宋_GBK" w:hAnsi="宋体" w:eastAsia="方正小标宋_GBK" w:cs="Times New Roman"/>
          <w:b/>
          <w:bCs/>
          <w:kern w:val="0"/>
          <w:szCs w:val="27"/>
        </w:rPr>
        <w:t>——</w:t>
      </w:r>
      <w:r>
        <w:rPr>
          <w:rFonts w:hint="eastAsia"/>
        </w:rPr>
        <w:t>提升</w:t>
      </w:r>
      <w:r>
        <w:t>森林</w:t>
      </w:r>
      <w:r>
        <w:rPr>
          <w:rFonts w:hint="eastAsia"/>
        </w:rPr>
        <w:t>生态</w:t>
      </w:r>
      <w:r>
        <w:t>质量、</w:t>
      </w:r>
      <w:r>
        <w:rPr>
          <w:rFonts w:hint="eastAsia"/>
        </w:rPr>
        <w:t>牢固生态</w:t>
      </w:r>
      <w:r>
        <w:t>屏障</w:t>
      </w:r>
      <w:bookmarkEnd w:id="76"/>
      <w:bookmarkEnd w:id="77"/>
    </w:p>
    <w:p>
      <w:r>
        <w:rPr>
          <w:rFonts w:hint="eastAsia"/>
        </w:rPr>
        <w:t>实施5万亩</w:t>
      </w:r>
      <w:r>
        <w:t>森林屏障建设</w:t>
      </w:r>
      <w:r>
        <w:rPr>
          <w:rFonts w:hint="eastAsia"/>
        </w:rPr>
        <w:t>、</w:t>
      </w:r>
      <w:r>
        <w:t>提升森林质量，</w:t>
      </w:r>
      <w:r>
        <w:rPr>
          <w:rFonts w:hint="eastAsia"/>
        </w:rPr>
        <w:t>实施森林抚育、低效林改造及林业有害生物防治；</w:t>
      </w:r>
      <w:r>
        <w:t>配套生态</w:t>
      </w:r>
      <w:r>
        <w:rPr>
          <w:rFonts w:hint="eastAsia"/>
          <w:lang w:eastAsia="zh-CN"/>
        </w:rPr>
        <w:t>监测</w:t>
      </w:r>
      <w:r>
        <w:rPr>
          <w:rFonts w:hint="eastAsia"/>
        </w:rPr>
        <w:t>、</w:t>
      </w:r>
      <w:r>
        <w:t>防火</w:t>
      </w:r>
      <w:r>
        <w:rPr>
          <w:rFonts w:hint="eastAsia"/>
          <w:lang w:eastAsia="zh-CN"/>
        </w:rPr>
        <w:t>监测</w:t>
      </w:r>
      <w:r>
        <w:rPr>
          <w:rFonts w:hint="eastAsia"/>
        </w:rPr>
        <w:t>等</w:t>
      </w:r>
      <w:r>
        <w:rPr>
          <w:rFonts w:hint="eastAsia"/>
          <w:lang w:eastAsia="zh-CN"/>
        </w:rPr>
        <w:t>监测</w:t>
      </w:r>
      <w:r>
        <w:t>系统提高</w:t>
      </w:r>
      <w:r>
        <w:rPr>
          <w:rFonts w:hint="eastAsia"/>
        </w:rPr>
        <w:t>森林安全性</w:t>
      </w:r>
      <w:r>
        <w:t>。</w:t>
      </w:r>
    </w:p>
    <w:p>
      <w:r>
        <w:rPr>
          <w:rFonts w:hint="eastAsia"/>
        </w:rPr>
        <w:t>补植</w:t>
      </w:r>
      <w:r>
        <w:t>有色树种，结合万盛旅游产业发展，打造生态</w:t>
      </w:r>
      <w:r>
        <w:rPr>
          <w:rFonts w:hint="eastAsia"/>
        </w:rPr>
        <w:t>旅游</w:t>
      </w:r>
      <w:r>
        <w:t>高品质示范区。</w:t>
      </w:r>
    </w:p>
    <w:p>
      <w:pPr>
        <w:ind w:firstLine="0" w:firstLineChars="0"/>
      </w:pPr>
      <w:bookmarkStart w:id="78" w:name="_Toc121507398"/>
      <w:bookmarkStart w:id="79" w:name="_Toc121730925"/>
      <w:r>
        <w:rPr>
          <w:rFonts w:hint="eastAsia" w:ascii="方正小标宋_GBK" w:hAnsi="宋体" w:eastAsia="方正小标宋_GBK" w:cs="Times New Roman"/>
          <w:b/>
          <w:bCs/>
          <w:kern w:val="0"/>
          <w:szCs w:val="27"/>
        </w:rPr>
        <w:t>——</w:t>
      </w:r>
      <w:r>
        <w:rPr>
          <w:rFonts w:hint="eastAsia"/>
        </w:rPr>
        <w:t>推进流域综合治理，修复河道岸线生态</w:t>
      </w:r>
      <w:bookmarkEnd w:id="78"/>
      <w:bookmarkEnd w:id="79"/>
    </w:p>
    <w:p>
      <w:r>
        <w:rPr>
          <w:rFonts w:hint="eastAsia"/>
        </w:rPr>
        <w:t>以丛林河、溱溪河、</w:t>
      </w:r>
      <w:r>
        <w:t>孝子河</w:t>
      </w:r>
      <w:r>
        <w:rPr>
          <w:rFonts w:hint="eastAsia"/>
        </w:rPr>
        <w:t>为重点，推进水环境治理重点工程实施，通过水环境治理工程、水岸生态修复等措施，还百姓“清水绿岸、鱼翔浅底”的美景。</w:t>
      </w:r>
    </w:p>
    <w:p>
      <w:pPr>
        <w:ind w:firstLine="0" w:firstLineChars="0"/>
      </w:pPr>
      <w:bookmarkStart w:id="80" w:name="_Toc121507399"/>
      <w:bookmarkStart w:id="81" w:name="_Toc121730926"/>
      <w:r>
        <w:rPr>
          <w:rFonts w:hint="eastAsia" w:ascii="方正小标宋_GBK" w:hAnsi="宋体" w:eastAsia="方正小标宋_GBK" w:cs="Times New Roman"/>
          <w:b/>
          <w:bCs/>
          <w:kern w:val="0"/>
          <w:szCs w:val="27"/>
        </w:rPr>
        <w:t>——</w:t>
      </w:r>
      <w:r>
        <w:rPr>
          <w:rFonts w:hint="eastAsia"/>
        </w:rPr>
        <w:t>完善城市绿化景观，提升城市生活品质</w:t>
      </w:r>
      <w:bookmarkEnd w:id="80"/>
      <w:bookmarkEnd w:id="81"/>
    </w:p>
    <w:p>
      <w:r>
        <w:rPr>
          <w:rFonts w:hint="eastAsia"/>
        </w:rPr>
        <w:t>以万盛公园</w:t>
      </w:r>
      <w:r>
        <w:t>、矿山公园</w:t>
      </w:r>
      <w:r>
        <w:rPr>
          <w:rFonts w:hint="eastAsia"/>
        </w:rPr>
        <w:t>为重点，推进城市品质提升，重点</w:t>
      </w:r>
      <w:r>
        <w:t>开展</w:t>
      </w:r>
      <w:r>
        <w:rPr>
          <w:rFonts w:hint="eastAsia"/>
        </w:rPr>
        <w:t>公园</w:t>
      </w:r>
      <w:r>
        <w:t>连通工程，</w:t>
      </w:r>
      <w:r>
        <w:rPr>
          <w:rFonts w:hint="eastAsia"/>
        </w:rPr>
        <w:t>设置绿色漫步道，完善服务设施等措施，不断满足人民群众对美好生态环境的需求，提升城市生活品质。</w:t>
      </w:r>
    </w:p>
    <w:p>
      <w:pPr>
        <w:ind w:firstLine="602"/>
        <w:rPr>
          <w:b/>
          <w:bCs/>
        </w:rPr>
      </w:pPr>
      <w:bookmarkStart w:id="82" w:name="_Toc121730927"/>
      <w:bookmarkStart w:id="83" w:name="_Toc121131096"/>
      <w:bookmarkStart w:id="84" w:name="_Toc121507400"/>
      <w:r>
        <w:rPr>
          <w:rFonts w:hint="eastAsia"/>
          <w:b/>
          <w:bCs/>
        </w:rPr>
        <w:t>（二） 打造一批典型示范项目</w:t>
      </w:r>
      <w:bookmarkEnd w:id="82"/>
      <w:bookmarkEnd w:id="83"/>
      <w:bookmarkEnd w:id="84"/>
    </w:p>
    <w:p>
      <w:r>
        <w:rPr>
          <w:rFonts w:hint="eastAsia"/>
        </w:rPr>
        <w:t>以生态问题的影响程度、关键性、紧迫性为前提，以服务经济社会发展为最终目标，充分结合万盛经开区国民经济和社会发展</w:t>
      </w:r>
      <w:r>
        <w:rPr>
          <w:rFonts w:hint="eastAsia"/>
          <w:lang w:eastAsia="zh-CN"/>
        </w:rPr>
        <w:t>“</w:t>
      </w:r>
      <w:r>
        <w:rPr>
          <w:rFonts w:hint="eastAsia"/>
        </w:rPr>
        <w:t>十四五</w:t>
      </w:r>
      <w:r>
        <w:rPr>
          <w:rFonts w:hint="eastAsia"/>
          <w:lang w:eastAsia="zh-CN"/>
        </w:rPr>
        <w:t>”</w:t>
      </w:r>
      <w:r>
        <w:rPr>
          <w:rFonts w:hint="eastAsia"/>
        </w:rPr>
        <w:t>规划、生态环境保护</w:t>
      </w:r>
      <w:r>
        <w:rPr>
          <w:rFonts w:hint="eastAsia"/>
          <w:lang w:eastAsia="zh-CN"/>
        </w:rPr>
        <w:t>“</w:t>
      </w:r>
      <w:r>
        <w:rPr>
          <w:rFonts w:hint="eastAsia"/>
        </w:rPr>
        <w:t>十四五</w:t>
      </w:r>
      <w:r>
        <w:rPr>
          <w:rFonts w:hint="eastAsia"/>
          <w:lang w:eastAsia="zh-CN"/>
        </w:rPr>
        <w:t>”</w:t>
      </w:r>
      <w:r>
        <w:rPr>
          <w:rFonts w:hint="eastAsia"/>
        </w:rPr>
        <w:t>规划等相关规划，打造一批典型示范项目，推进生态保护修复规划落地实施。拟打造以下</w:t>
      </w:r>
      <w:r>
        <w:t>4</w:t>
      </w:r>
      <w:r>
        <w:rPr>
          <w:rFonts w:hint="eastAsia"/>
        </w:rPr>
        <w:t>项生态保护修复示范项目。</w:t>
      </w:r>
    </w:p>
    <w:p>
      <w:r>
        <w:rPr>
          <w:rFonts w:hint="eastAsia"/>
        </w:rPr>
        <w:t>1、大娄山区（青山湖流域）山水林田湖草生态保护修复工程</w:t>
      </w:r>
    </w:p>
    <w:p>
      <w:r>
        <w:rPr>
          <w:rFonts w:hint="eastAsia"/>
        </w:rPr>
        <w:t>2、南桐镇采煤沉陷区生态生产修复</w:t>
      </w:r>
    </w:p>
    <w:p>
      <w:r>
        <w:rPr>
          <w:rFonts w:hint="eastAsia"/>
        </w:rPr>
        <w:t>3、历史遗留关闭矿山生态修复</w:t>
      </w:r>
    </w:p>
    <w:p>
      <w:r>
        <w:t>4</w:t>
      </w:r>
      <w:r>
        <w:rPr>
          <w:rFonts w:hint="eastAsia"/>
        </w:rPr>
        <w:t>、渝黔复线两侧生态修复与环境整治</w:t>
      </w:r>
    </w:p>
    <w:p>
      <w:pPr>
        <w:pStyle w:val="2"/>
        <w:numPr>
          <w:ilvl w:val="0"/>
          <w:numId w:val="3"/>
        </w:numPr>
        <w:jc w:val="center"/>
      </w:pPr>
      <w:bookmarkStart w:id="85" w:name="_Toc121730928"/>
      <w:bookmarkStart w:id="86" w:name="_Toc139015093"/>
      <w:r>
        <w:t>综合效益分析</w:t>
      </w:r>
      <w:bookmarkEnd w:id="85"/>
      <w:bookmarkEnd w:id="86"/>
    </w:p>
    <w:p>
      <w:pPr>
        <w:pStyle w:val="3"/>
      </w:pPr>
      <w:bookmarkStart w:id="87" w:name="_Toc121730929"/>
      <w:bookmarkStart w:id="88" w:name="_Toc139015094"/>
      <w:r>
        <w:rPr>
          <w:rFonts w:hint="eastAsia"/>
        </w:rPr>
        <w:t>第一节</w:t>
      </w:r>
      <w:r>
        <w:t xml:space="preserve"> 生态效益分析</w:t>
      </w:r>
      <w:bookmarkEnd w:id="87"/>
      <w:bookmarkEnd w:id="88"/>
    </w:p>
    <w:p>
      <w:r>
        <w:rPr>
          <w:rFonts w:hint="eastAsia"/>
        </w:rPr>
        <w:t>《万盛经开区国土空间生态修复规划（</w:t>
      </w:r>
      <w:r>
        <w:t>2021-2035 年）》的实施，将有效保护</w:t>
      </w:r>
      <w:r>
        <w:rPr>
          <w:rFonts w:hint="eastAsia"/>
        </w:rPr>
        <w:t>万盛经开区</w:t>
      </w:r>
      <w:r>
        <w:t>的生态环境，在提高水资源保障能力和植被覆盖水平、遏制水土流失、修复损毁土地、减少减轻自然灾害、保护生物多样性等方面取得比较显著的生态效益，有效改善</w:t>
      </w:r>
      <w:r>
        <w:rPr>
          <w:rFonts w:hint="eastAsia"/>
        </w:rPr>
        <w:t>大娄山生态屏障</w:t>
      </w:r>
      <w:r>
        <w:t>的生态环境，维护</w:t>
      </w:r>
      <w:r>
        <w:rPr>
          <w:rFonts w:hint="eastAsia"/>
        </w:rPr>
        <w:t>其</w:t>
      </w:r>
      <w:r>
        <w:t>生态屏障功能，保障国家生态安全。</w:t>
      </w:r>
    </w:p>
    <w:p>
      <w:pPr>
        <w:pStyle w:val="4"/>
        <w:ind w:firstLine="643"/>
      </w:pPr>
      <w:bookmarkStart w:id="89" w:name="_Toc121730930"/>
      <w:r>
        <w:rPr>
          <w:rFonts w:hint="eastAsia"/>
        </w:rPr>
        <w:t>一、生态服务功能显著提高</w:t>
      </w:r>
      <w:bookmarkEnd w:id="89"/>
    </w:p>
    <w:p>
      <w:r>
        <w:rPr>
          <w:rFonts w:hint="eastAsia"/>
        </w:rPr>
        <w:t>一是水源涵养功能得到保障。通过国土绿化工程和水源涵养林带建设工程的实施，森林质量提升面积</w:t>
      </w:r>
      <w:r>
        <w:t>5</w:t>
      </w:r>
      <w:r>
        <w:rPr>
          <w:rFonts w:hint="eastAsia"/>
        </w:rPr>
        <w:t>万亩</w:t>
      </w:r>
      <w:r>
        <w:t>，并建设主要干支流两侧第一层山脊及水库周边山地的水源涵养林带，保障区域水源涵养功能；二是保持水土功能显著增强。通过实施开展生态清洁小流域工程，治理水土流失面积110平方公里；工程本身的绿化建设、各种防护措施等具有良好的水土保持作用，可减少地区水土流失，保障区域水土保持功能；三是水资源保障能力加强、自然灾害危险降低。通过实施河流湖库保护修复工程，划定饮用水水源保护区，加强水</w:t>
      </w:r>
      <w:r>
        <w:rPr>
          <w:rFonts w:hint="eastAsia"/>
        </w:rPr>
        <w:t>源地周边环境整治，可以减少人为活动对水源保护区的干扰，降低周边污染负荷对水源地水质的影响，提高水资源保障能力和水灾应对能力，确保流域内居民饮水安全。农村面源污染也得到控制。四是生物多样性得到保护。通过实施生物多样性保护工程，构建以自然保护区为核心，森林公园、生物廊道等为辐射的生物多样性保护网络，将丰富区域森林生态系统多样性，为野生动植物栖息和繁衍提供良好的保护体系和生存环境，使珍稀、濒危和特有物种得到有效保护。</w:t>
      </w:r>
    </w:p>
    <w:p>
      <w:pPr>
        <w:pStyle w:val="4"/>
        <w:ind w:firstLine="643"/>
      </w:pPr>
      <w:bookmarkStart w:id="90" w:name="_Toc121730931"/>
      <w:r>
        <w:rPr>
          <w:rFonts w:hint="eastAsia"/>
        </w:rPr>
        <w:t>二、生态环境得到有效治理</w:t>
      </w:r>
      <w:bookmarkEnd w:id="90"/>
    </w:p>
    <w:p>
      <w:r>
        <w:rPr>
          <w:rFonts w:hint="eastAsia"/>
        </w:rPr>
        <w:t>通过国土生态修复重大工程的实施，区域内恢复和重建了矿区生态环境，流域面源污染得到控制，涵养水源、保持水土的功能显著提升，生物多样性也得到有效保护，区域生态环境明显改善，有效保障区域生态安全。</w:t>
      </w:r>
    </w:p>
    <w:p>
      <w:pPr>
        <w:pStyle w:val="4"/>
        <w:ind w:firstLine="643"/>
      </w:pPr>
      <w:bookmarkStart w:id="91" w:name="_Toc121730932"/>
      <w:r>
        <w:rPr>
          <w:rFonts w:hint="eastAsia"/>
        </w:rPr>
        <w:t>三、生态产品供给能力得到扩大</w:t>
      </w:r>
      <w:bookmarkEnd w:id="91"/>
    </w:p>
    <w:p>
      <w:r>
        <w:rPr>
          <w:rFonts w:hint="eastAsia"/>
        </w:rPr>
        <w:t>万盛</w:t>
      </w:r>
      <w:r>
        <w:t>经开区</w:t>
      </w:r>
      <w:r>
        <w:rPr>
          <w:rFonts w:hint="eastAsia"/>
        </w:rPr>
        <w:t>国土生态修复重大工程的实施将扩大森林面积、提高森林质量、保障下游供水水质和水量。同时，通过实施生态旅游示范工程，发展生态旅游康养产业，形成资源高效利用、综合效益明显的生态旅游模式及产业化经营管理模式，进一步推进区域绿色产业建设。</w:t>
      </w:r>
    </w:p>
    <w:p>
      <w:pPr>
        <w:pStyle w:val="3"/>
      </w:pPr>
      <w:bookmarkStart w:id="92" w:name="_Toc121730933"/>
      <w:bookmarkStart w:id="93" w:name="_Toc139015095"/>
      <w:r>
        <w:rPr>
          <w:rFonts w:hint="eastAsia"/>
        </w:rPr>
        <w:t>第二节</w:t>
      </w:r>
      <w:r>
        <w:t xml:space="preserve"> 经济效益分析</w:t>
      </w:r>
      <w:bookmarkEnd w:id="92"/>
      <w:bookmarkEnd w:id="93"/>
    </w:p>
    <w:p>
      <w:pPr>
        <w:pStyle w:val="4"/>
        <w:ind w:firstLine="643"/>
      </w:pPr>
      <w:bookmarkStart w:id="94" w:name="_Toc121730934"/>
      <w:r>
        <w:rPr>
          <w:rFonts w:hint="eastAsia"/>
        </w:rPr>
        <w:t>一、经济社会发展质量和效益显著增强</w:t>
      </w:r>
      <w:bookmarkEnd w:id="94"/>
    </w:p>
    <w:p>
      <w:r>
        <w:rPr>
          <w:rFonts w:hint="eastAsia"/>
        </w:rPr>
        <w:t>生态修复工程建设将形成非常稀缺的生态资本和绿色生态基础设施，既可以满足人们对清洁空气、洁净饮水、良好空气、优美环境等生态产品消费需求，又可以提供大量的就业机会，为全面推进乡村振兴，改善农业生态环境提供支撑，有效提升农产品质量，增加农民收入；优化城镇生产、生活环境，带动城镇商业和旅游业的发展，推动经济发展，拉动</w:t>
      </w:r>
      <w:r>
        <w:t>GDP增长。同时，将辐射带动相关节能环保、新材料等战略性新兴产业发展，推进绿色产业开发，迫使排污企业调整生产模式，有效地促进区域产业结构的调整和产业链的优化升级，带动区域生态经济发展，实</w:t>
      </w:r>
      <w:r>
        <w:rPr>
          <w:rFonts w:hint="eastAsia"/>
        </w:rPr>
        <w:t>现区域经济绿色发展。</w:t>
      </w:r>
    </w:p>
    <w:p>
      <w:r>
        <w:rPr>
          <w:rFonts w:hint="eastAsia"/>
        </w:rPr>
        <w:t>通过规划的实施，万盛经开区生态环境质量明显改善，区域生态资源得到有效保护，水土资源得到有效利用，能为生态旅游提供更为优美的生态环境，为万盛经济快速、持续、健康、稳定发展夯实基础，维护社会稳定，在生态投资、绿色消费的双重驱动下，区域社会进入持续、快速、健康发展道路。</w:t>
      </w:r>
    </w:p>
    <w:p>
      <w:pPr>
        <w:pStyle w:val="3"/>
      </w:pPr>
      <w:bookmarkStart w:id="95" w:name="_Toc121730937"/>
      <w:bookmarkStart w:id="96" w:name="_Toc139015096"/>
      <w:r>
        <w:rPr>
          <w:rFonts w:hint="eastAsia"/>
        </w:rPr>
        <w:t xml:space="preserve">第三节 </w:t>
      </w:r>
      <w:r>
        <w:t>社会效益分析</w:t>
      </w:r>
      <w:bookmarkEnd w:id="95"/>
      <w:bookmarkEnd w:id="96"/>
    </w:p>
    <w:p>
      <w:pPr>
        <w:pStyle w:val="4"/>
        <w:ind w:firstLine="643"/>
      </w:pPr>
      <w:r>
        <w:rPr>
          <w:rFonts w:hint="eastAsia"/>
        </w:rPr>
        <w:t>一</w:t>
      </w:r>
      <w:r>
        <w:t>、</w:t>
      </w:r>
      <w:r>
        <w:rPr>
          <w:rFonts w:hint="eastAsia"/>
        </w:rPr>
        <w:t>人居环境得到改善</w:t>
      </w:r>
    </w:p>
    <w:p>
      <w:r>
        <w:rPr>
          <w:rFonts w:hint="eastAsia"/>
        </w:rPr>
        <w:t>生态保护与修复工程的实施，将实现人居环境的大大改善，提升居民幸福指数。同时，有利于带动城市及农村的基础设施建设，推动当地的新农村建设，促进科教、文化、卫生事业的发展，群众的文化素质和身体素质得到普遍提高，区域经济繁荣稳定和社会和谐发展。</w:t>
      </w:r>
    </w:p>
    <w:p>
      <w:pPr>
        <w:pStyle w:val="4"/>
        <w:ind w:firstLine="643"/>
      </w:pPr>
      <w:r>
        <w:rPr>
          <w:rFonts w:hint="eastAsia"/>
        </w:rPr>
        <w:t>二、生态意识显著增强，生态文明观念深入人心</w:t>
      </w:r>
    </w:p>
    <w:p>
      <w:r>
        <w:rPr>
          <w:rFonts w:hint="eastAsia"/>
        </w:rPr>
        <w:t>在生态保护与修复工程实施过程中，政府和民众对环境保护的重要性和价值将会有更充分的认识。逐步树立生态价值意识，形成对自然生态敬畏的价值理念；树立生态责任和生态道德意识，将生态环境保护视为己任；树立生态知识的学习教育意识，更多了解和掌握生态治理与保护的基本常识和理念。树立绿色消费意识，自觉重视生态脆弱区的环境承载力，节约资源、绿色消费意识普遍增强，实现人与自然和谐发展，形成全社会共治、共管、共享的生态文明新格局。</w:t>
      </w:r>
      <w:r>
        <w:br w:type="page"/>
      </w:r>
    </w:p>
    <w:p>
      <w:pPr>
        <w:pStyle w:val="2"/>
        <w:numPr>
          <w:ilvl w:val="0"/>
          <w:numId w:val="4"/>
        </w:numPr>
        <w:jc w:val="center"/>
      </w:pPr>
      <w:bookmarkStart w:id="97" w:name="_Toc121730938"/>
      <w:bookmarkStart w:id="98" w:name="_Toc139015097"/>
      <w:r>
        <w:t>保障措施</w:t>
      </w:r>
      <w:bookmarkEnd w:id="97"/>
      <w:bookmarkEnd w:id="98"/>
    </w:p>
    <w:p>
      <w:pPr>
        <w:pStyle w:val="3"/>
      </w:pPr>
      <w:bookmarkStart w:id="99" w:name="_Toc121730939"/>
      <w:bookmarkStart w:id="100" w:name="_Toc139015098"/>
      <w:r>
        <w:rPr>
          <w:rFonts w:hint="eastAsia"/>
        </w:rPr>
        <w:t>第一节</w:t>
      </w:r>
      <w:r>
        <w:t xml:space="preserve"> 落实组织体系</w:t>
      </w:r>
      <w:bookmarkEnd w:id="99"/>
      <w:bookmarkEnd w:id="100"/>
    </w:p>
    <w:p>
      <w:r>
        <w:rPr>
          <w:rFonts w:hint="eastAsia"/>
        </w:rPr>
        <w:t>本规划是万盛经开区国土空间生态修复总体规划，是在区政府的统一领导下组织实施，是万盛国土空间生态修复的基本依据，实现万盛经开区可持续发展的基本政策。区级各部门、各乡镇政府应认识到加强生态修复的重要性，构建国土空间生态修复工作协调机制，形成区委、区政府统一领导，各街道、镇、园区分级实施，各部门相互协调，社会资本主体积极参与，社会组织和公众有效监督的工作机制。强化跨区域、跨部门、跨行业间的协调配合，保障规划目标和任务完成。</w:t>
      </w:r>
    </w:p>
    <w:p>
      <w:pPr>
        <w:pStyle w:val="3"/>
      </w:pPr>
      <w:bookmarkStart w:id="101" w:name="_Toc121730940"/>
      <w:bookmarkStart w:id="102" w:name="_Toc139015099"/>
      <w:r>
        <w:rPr>
          <w:rFonts w:hint="eastAsia"/>
        </w:rPr>
        <w:t>第二节</w:t>
      </w:r>
      <w:r>
        <w:t xml:space="preserve"> 建立政策保障</w:t>
      </w:r>
      <w:bookmarkEnd w:id="101"/>
      <w:bookmarkEnd w:id="102"/>
    </w:p>
    <w:p>
      <w:r>
        <w:rPr>
          <w:rFonts w:hint="eastAsia"/>
        </w:rPr>
        <w:t>政策法规是国土空间生态修复能否成功的根本，因此建立健全生态修复政策体系尤为重要。探索建立国土空间生态修复补偿制度，建立国土空间中各类自然资源和生态产品的功能价值评估核算制度，建立区域协调、部门协同、上下联动的生态修复规划实施机制，加大对重点生态系统或重要生态功能区的政策支持，确保重要生态系统修复的重点工程和示范工程优先实施，同时在土地、税收以及资金方面给予支持，为切实提高国土空间生态修复的最终成效提供保障。</w:t>
      </w:r>
    </w:p>
    <w:p>
      <w:pPr>
        <w:pStyle w:val="3"/>
      </w:pPr>
      <w:bookmarkStart w:id="103" w:name="_Toc121730941"/>
      <w:bookmarkStart w:id="104" w:name="_Toc139015100"/>
      <w:r>
        <w:rPr>
          <w:rFonts w:hint="eastAsia"/>
        </w:rPr>
        <w:t>第三节</w:t>
      </w:r>
      <w:r>
        <w:t xml:space="preserve"> 加强技术支撑</w:t>
      </w:r>
      <w:bookmarkEnd w:id="103"/>
      <w:bookmarkEnd w:id="104"/>
    </w:p>
    <w:p>
      <w:r>
        <w:rPr>
          <w:rFonts w:hint="eastAsia"/>
        </w:rPr>
        <w:t>加强理论方法体系与相关标准的建立，建立国土空间生态保护修复调查监测评估体系和生态修复数据库。联合国家及市内相关行业科研院所、知名专家学者，成立专家咨询委员会，在项目踏勘、咨询论证、立项申报、项目审查、项目指导、项目验收等环节开展全程指导和监督，开展自然资源和生态环境功能动态变化监测评估，为国土空间生态保护修复管理提供技术支持。结合工作实际，依托国家、市级已有技术要求，将各部门生态修复相关的项目纳入数据库平台，推进生态修复工程的全生命周期管理，进一步完善适用于万盛经开区生态保护修复工作的技术要求与管理办法。</w:t>
      </w:r>
    </w:p>
    <w:p>
      <w:pPr>
        <w:pStyle w:val="3"/>
      </w:pPr>
      <w:bookmarkStart w:id="105" w:name="_Toc121730942"/>
      <w:bookmarkStart w:id="106" w:name="_Toc139015101"/>
      <w:r>
        <w:rPr>
          <w:rFonts w:hint="eastAsia"/>
        </w:rPr>
        <w:t>第四节</w:t>
      </w:r>
      <w:r>
        <w:t xml:space="preserve"> 严格评估监管</w:t>
      </w:r>
      <w:bookmarkEnd w:id="105"/>
      <w:bookmarkEnd w:id="106"/>
    </w:p>
    <w:p>
      <w:r>
        <w:rPr>
          <w:rFonts w:hint="eastAsia"/>
        </w:rPr>
        <w:t>建立国土空间生态修复</w:t>
      </w:r>
      <w:r>
        <w:rPr>
          <w:rFonts w:hint="eastAsia"/>
          <w:lang w:eastAsia="zh-CN"/>
        </w:rPr>
        <w:t>监测</w:t>
      </w:r>
      <w:r>
        <w:rPr>
          <w:rFonts w:hint="eastAsia"/>
        </w:rPr>
        <w:t>、评估、管控、考核等全生命周期的适应性监管体系。依托生态文明建设考核、环境形势分析会、治污保洁等平台，探索开展国土空间生态修复工程的生态环境质量评价方法，结合多种科学方法对各项生态修复工程的前期勘测、中期实施、后期效益进行有效的跟踪、监测和评估。调动各方面的积极性、主动性和创造性，引导全社会共同参与，确保规划目标和任务顺利完成。整个规划实施期间，做好前期调研、中期评估和后期总结，全面分析检查规划实施效果及各项政策措施落实情况，及时根据评估反馈进行优化和完善，达到国土空间生态保护修复规划目标的整体实现。</w:t>
      </w:r>
    </w:p>
    <w:p>
      <w:pPr>
        <w:pStyle w:val="3"/>
      </w:pPr>
      <w:bookmarkStart w:id="107" w:name="_Toc121730943"/>
      <w:bookmarkStart w:id="108" w:name="_Toc139015102"/>
      <w:r>
        <w:rPr>
          <w:rFonts w:hint="eastAsia"/>
        </w:rPr>
        <w:t>第五节</w:t>
      </w:r>
      <w:r>
        <w:t xml:space="preserve"> 强化资金保障</w:t>
      </w:r>
      <w:bookmarkEnd w:id="107"/>
      <w:bookmarkEnd w:id="108"/>
    </w:p>
    <w:p>
      <w:r>
        <w:rPr>
          <w:rFonts w:hint="eastAsia"/>
        </w:rPr>
        <w:t>依据市场化运作机制，发挥政策引导和约束作用，开展多元资金筹措渠道，加大资金整合力度，强化资金管理制度保障。引入社会资本参与环境基础设施建设和运营，深化跨区域、全域化“打包”治理方式，多形式引导金融资本参与生态保护修复项目建设。整合使用各级财政现有相关专项资金，优先布局到国土空间生态修复工程区域，形成支持山水林田湖草沙生态修复项目的强大合力。建立制度化的财政投入预算保障机制，完善资金使用和监管制度，做到专人管理、专款专用、独立核算，加强对资金使用过程中各环节的监控，出台鼓励性政策，拓展融资渠道，建立山水林田湖草沙生态保护经费投入长效机制，保障项目有序开展。</w:t>
      </w:r>
    </w:p>
    <w:p>
      <w:pPr>
        <w:pStyle w:val="3"/>
      </w:pPr>
      <w:bookmarkStart w:id="109" w:name="_Toc121730944"/>
      <w:bookmarkStart w:id="110" w:name="_Toc139015103"/>
      <w:r>
        <w:rPr>
          <w:rFonts w:hint="eastAsia"/>
        </w:rPr>
        <w:t>第六节</w:t>
      </w:r>
      <w:r>
        <w:t xml:space="preserve"> 鼓励公众参与</w:t>
      </w:r>
      <w:bookmarkEnd w:id="109"/>
      <w:bookmarkEnd w:id="110"/>
    </w:p>
    <w:p>
      <w:r>
        <w:rPr>
          <w:rFonts w:hint="eastAsia"/>
        </w:rPr>
        <w:t>建立健全公众参与、专家论证和政府决定相结合的行政决策机制。广泛开展《万盛经开区国土空间生态修复规划》宣传普及活动，提高社会公众国土空间生态修复的参与意识，结合广播、电视、报纸、网络等主流媒体，加强基层国土空间生态保护修复的宣教能力建设，建立全民监督机制。发挥专家在山水林田湖草沙生态修复中的作用，听取专业意见，促进《万盛经开区区国土空间生态修复规划》有效实施，保障国土空间生态保护修复工作的顺利开展。区和乡镇人民政府、区级行政部门要认真贯彻落实《万盛经开区国土空间生态修复规划》精神，组织相关职能部门人员开展培训学习活动，提高执行规划的自觉性和责任感，完善促进公众参与的政策、规范性制度。充分调动广大人民群众和各种社会组织积极参与生态保护和修复工作的建设，营造全民保护生态环境的良好社会氛围。</w:t>
      </w:r>
    </w:p>
    <w:p/>
    <w:p/>
    <w:p/>
    <w:p/>
    <w:p>
      <w:r>
        <w:br w:type="page"/>
      </w:r>
    </w:p>
    <w:p>
      <w:pPr>
        <w:pStyle w:val="2"/>
      </w:pPr>
      <w:bookmarkStart w:id="111" w:name="_Toc121730945"/>
      <w:bookmarkStart w:id="112" w:name="_Toc139015104"/>
      <w:r>
        <w:rPr>
          <w:rFonts w:hint="eastAsia"/>
        </w:rPr>
        <w:t>附件：</w:t>
      </w:r>
      <w:bookmarkEnd w:id="111"/>
      <w:bookmarkEnd w:id="112"/>
    </w:p>
    <w:p>
      <w:pPr>
        <w:ind w:firstLine="602"/>
        <w:rPr>
          <w:b/>
        </w:rPr>
      </w:pPr>
      <w:r>
        <w:rPr>
          <w:b/>
        </w:rPr>
        <w:t>附表：</w:t>
      </w:r>
    </w:p>
    <w:p>
      <w:r>
        <w:t>1. 重庆市</w:t>
      </w:r>
      <w:r>
        <w:rPr>
          <w:rFonts w:hint="eastAsia"/>
        </w:rPr>
        <w:t>万盛经开区</w:t>
      </w:r>
      <w:r>
        <w:t>国土空间生态修复规划重点项目一览表</w:t>
      </w:r>
    </w:p>
    <w:p>
      <w:pPr>
        <w:ind w:firstLine="602"/>
        <w:rPr>
          <w:b/>
        </w:rPr>
      </w:pPr>
      <w:r>
        <w:rPr>
          <w:b/>
        </w:rPr>
        <w:t>附图：</w:t>
      </w:r>
    </w:p>
    <w:p>
      <w:r>
        <w:rPr>
          <w:rFonts w:hint="eastAsia"/>
        </w:rPr>
        <w:t>1</w:t>
      </w:r>
      <w:r>
        <w:t>.生态安全格局图</w:t>
      </w:r>
    </w:p>
    <w:p>
      <w:r>
        <w:t>2.生态修复分区图</w:t>
      </w:r>
    </w:p>
    <w:p>
      <w:r>
        <w:t>3.生态修复重点工程分布</w:t>
      </w:r>
    </w:p>
    <w:p/>
    <w:p>
      <w:r>
        <w:br w:type="page"/>
      </w:r>
    </w:p>
    <w:p>
      <w:pPr>
        <w:pStyle w:val="2"/>
        <w:ind w:left="1020"/>
      </w:pPr>
      <w:bookmarkStart w:id="113" w:name="_Toc121730946"/>
      <w:bookmarkStart w:id="114" w:name="_Toc139015105"/>
      <w:r>
        <w:rPr>
          <w:rFonts w:hint="eastAsia"/>
        </w:rPr>
        <w:t>附图</w:t>
      </w:r>
      <w:bookmarkEnd w:id="113"/>
      <w:bookmarkEnd w:id="114"/>
    </w:p>
    <w:p>
      <w:pPr>
        <w:pStyle w:val="3"/>
        <w:jc w:val="center"/>
      </w:pPr>
      <w:bookmarkStart w:id="115" w:name="_Toc139015106"/>
      <w:r>
        <w:rPr>
          <w:rFonts w:hint="eastAsia"/>
        </w:rPr>
        <w:t>生态安全格局图</w:t>
      </w:r>
      <w:bookmarkEnd w:id="115"/>
    </w:p>
    <w:p>
      <w:r>
        <w:drawing>
          <wp:inline distT="0" distB="0" distL="0" distR="0">
            <wp:extent cx="5092700" cy="7197090"/>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104075" cy="7213799"/>
                    </a:xfrm>
                    <a:prstGeom prst="rect">
                      <a:avLst/>
                    </a:prstGeom>
                    <a:noFill/>
                    <a:ln>
                      <a:noFill/>
                    </a:ln>
                  </pic:spPr>
                </pic:pic>
              </a:graphicData>
            </a:graphic>
          </wp:inline>
        </w:drawing>
      </w:r>
    </w:p>
    <w:p>
      <w:pPr>
        <w:ind w:firstLine="0" w:firstLineChars="0"/>
      </w:pPr>
    </w:p>
    <w:p>
      <w:pPr>
        <w:pStyle w:val="3"/>
        <w:jc w:val="center"/>
      </w:pPr>
      <w:bookmarkStart w:id="116" w:name="_Toc139015107"/>
      <w:r>
        <w:rPr>
          <w:rFonts w:hint="eastAsia"/>
        </w:rPr>
        <w:t>生态修复分区图</w:t>
      </w:r>
      <w:bookmarkEnd w:id="116"/>
    </w:p>
    <w:p>
      <w:r>
        <w:drawing>
          <wp:inline distT="0" distB="0" distL="0" distR="0">
            <wp:extent cx="5194300" cy="7338695"/>
            <wp:effectExtent l="0" t="0" r="6350" b="0"/>
            <wp:docPr id="2" name="图片 2" descr="C:\Users\ADMINI~1\AppData\Local\Temp\WeChat Files\e421a64d77570959967482139b80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WeChat Files\e421a64d77570959967482139b8083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195245" cy="7340248"/>
                    </a:xfrm>
                    <a:prstGeom prst="rect">
                      <a:avLst/>
                    </a:prstGeom>
                    <a:noFill/>
                    <a:ln>
                      <a:noFill/>
                    </a:ln>
                  </pic:spPr>
                </pic:pic>
              </a:graphicData>
            </a:graphic>
          </wp:inline>
        </w:drawing>
      </w:r>
    </w:p>
    <w:p>
      <w:pPr>
        <w:pStyle w:val="3"/>
        <w:jc w:val="center"/>
      </w:pPr>
      <w:bookmarkStart w:id="117" w:name="_Toc139015108"/>
      <w:r>
        <w:rPr>
          <w:rFonts w:hint="eastAsia"/>
        </w:rPr>
        <w:t>生态修复重点工程分布</w:t>
      </w:r>
      <w:bookmarkEnd w:id="117"/>
    </w:p>
    <w:p>
      <w:r>
        <w:drawing>
          <wp:inline distT="0" distB="0" distL="0" distR="0">
            <wp:extent cx="5616575" cy="7936230"/>
            <wp:effectExtent l="0" t="0" r="3175"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616575" cy="7936230"/>
                    </a:xfrm>
                    <a:prstGeom prst="rect">
                      <a:avLst/>
                    </a:prstGeom>
                    <a:noFill/>
                    <a:ln>
                      <a:noFill/>
                    </a:ln>
                  </pic:spPr>
                </pic:pic>
              </a:graphicData>
            </a:graphic>
          </wp:inline>
        </w:drawing>
      </w:r>
    </w:p>
    <w:p>
      <w:pPr>
        <w:sectPr>
          <w:pgSz w:w="11906" w:h="16838"/>
          <w:pgMar w:top="1701" w:right="1474" w:bottom="1440" w:left="1587" w:header="851" w:footer="992" w:gutter="0"/>
          <w:pgNumType w:start="10"/>
          <w:cols w:space="0" w:num="1"/>
          <w:docGrid w:type="lines" w:linePitch="312" w:charSpace="0"/>
        </w:sectPr>
      </w:pPr>
    </w:p>
    <w:p>
      <w:pPr>
        <w:pStyle w:val="2"/>
        <w:ind w:left="1020"/>
      </w:pPr>
      <w:bookmarkStart w:id="118" w:name="_Toc17925"/>
      <w:bookmarkStart w:id="119" w:name="_Toc121730947"/>
      <w:bookmarkStart w:id="120" w:name="_Toc139015109"/>
      <w:r>
        <w:rPr>
          <w:rFonts w:hint="eastAsia"/>
        </w:rPr>
        <w:t>附表</w:t>
      </w:r>
      <w:bookmarkEnd w:id="118"/>
      <w:bookmarkEnd w:id="119"/>
      <w:bookmarkEnd w:id="120"/>
    </w:p>
    <w:p>
      <w:pPr>
        <w:pStyle w:val="3"/>
        <w:jc w:val="center"/>
      </w:pPr>
      <w:bookmarkStart w:id="121" w:name="_Toc9252"/>
      <w:bookmarkStart w:id="122" w:name="_Toc139015110"/>
      <w:r>
        <w:rPr>
          <w:rFonts w:hint="eastAsia"/>
        </w:rPr>
        <w:t>重庆市万盛经开区国土空间生态修复规划重点工程与项目一览表</w:t>
      </w:r>
      <w:bookmarkEnd w:id="121"/>
      <w:bookmarkEnd w:id="122"/>
    </w:p>
    <w:tbl>
      <w:tblPr>
        <w:tblStyle w:val="24"/>
        <w:tblW w:w="14601"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2880"/>
        <w:gridCol w:w="1408"/>
        <w:gridCol w:w="1058"/>
        <w:gridCol w:w="4992"/>
        <w:gridCol w:w="1375"/>
        <w:gridCol w:w="869"/>
        <w:gridCol w:w="1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trPr>
        <w:tc>
          <w:tcPr>
            <w:tcW w:w="790" w:type="dxa"/>
            <w:shd w:val="clear" w:color="auto" w:fill="auto"/>
            <w:vAlign w:val="center"/>
          </w:tcPr>
          <w:p>
            <w:pPr>
              <w:ind w:firstLine="0" w:firstLineChars="0"/>
              <w:rPr>
                <w:b/>
                <w:sz w:val="22"/>
                <w:szCs w:val="22"/>
              </w:rPr>
            </w:pPr>
            <w:bookmarkStart w:id="123" w:name="_Hlk132620405"/>
            <w:r>
              <w:rPr>
                <w:rFonts w:hint="eastAsia"/>
                <w:b/>
                <w:sz w:val="22"/>
                <w:szCs w:val="22"/>
              </w:rPr>
              <w:t>序号</w:t>
            </w:r>
          </w:p>
        </w:tc>
        <w:tc>
          <w:tcPr>
            <w:tcW w:w="0" w:type="auto"/>
            <w:shd w:val="clear" w:color="auto" w:fill="auto"/>
            <w:vAlign w:val="center"/>
          </w:tcPr>
          <w:p>
            <w:pPr>
              <w:ind w:firstLine="442"/>
              <w:rPr>
                <w:b/>
                <w:sz w:val="22"/>
                <w:szCs w:val="22"/>
              </w:rPr>
            </w:pPr>
            <w:r>
              <w:rPr>
                <w:rFonts w:hint="eastAsia"/>
                <w:b/>
                <w:sz w:val="22"/>
                <w:szCs w:val="22"/>
              </w:rPr>
              <w:t>工程类型</w:t>
            </w:r>
          </w:p>
        </w:tc>
        <w:tc>
          <w:tcPr>
            <w:tcW w:w="0" w:type="auto"/>
            <w:shd w:val="clear" w:color="auto" w:fill="auto"/>
            <w:vAlign w:val="center"/>
          </w:tcPr>
          <w:p>
            <w:pPr>
              <w:ind w:firstLine="0" w:firstLineChars="0"/>
              <w:rPr>
                <w:b/>
                <w:sz w:val="22"/>
                <w:szCs w:val="22"/>
              </w:rPr>
            </w:pPr>
            <w:r>
              <w:rPr>
                <w:rFonts w:hint="eastAsia"/>
                <w:b/>
                <w:sz w:val="22"/>
                <w:szCs w:val="22"/>
              </w:rPr>
              <w:t>项目名称</w:t>
            </w:r>
          </w:p>
        </w:tc>
        <w:tc>
          <w:tcPr>
            <w:tcW w:w="0" w:type="auto"/>
            <w:shd w:val="clear" w:color="auto" w:fill="auto"/>
            <w:vAlign w:val="center"/>
          </w:tcPr>
          <w:p>
            <w:pPr>
              <w:ind w:firstLine="0" w:firstLineChars="0"/>
              <w:rPr>
                <w:b/>
                <w:sz w:val="22"/>
                <w:szCs w:val="22"/>
              </w:rPr>
            </w:pPr>
            <w:r>
              <w:rPr>
                <w:rFonts w:hint="eastAsia"/>
                <w:b/>
                <w:sz w:val="22"/>
                <w:szCs w:val="22"/>
              </w:rPr>
              <w:t>实施区域</w:t>
            </w:r>
          </w:p>
        </w:tc>
        <w:tc>
          <w:tcPr>
            <w:tcW w:w="0" w:type="auto"/>
            <w:shd w:val="clear" w:color="auto" w:fill="auto"/>
            <w:vAlign w:val="center"/>
          </w:tcPr>
          <w:p>
            <w:pPr>
              <w:ind w:firstLine="0" w:firstLineChars="0"/>
              <w:rPr>
                <w:b/>
                <w:sz w:val="22"/>
                <w:szCs w:val="22"/>
              </w:rPr>
            </w:pPr>
            <w:r>
              <w:rPr>
                <w:rFonts w:hint="eastAsia"/>
                <w:b/>
                <w:sz w:val="22"/>
                <w:szCs w:val="22"/>
              </w:rPr>
              <w:t>工程内容</w:t>
            </w:r>
          </w:p>
        </w:tc>
        <w:tc>
          <w:tcPr>
            <w:tcW w:w="0" w:type="auto"/>
            <w:shd w:val="clear" w:color="auto" w:fill="auto"/>
            <w:vAlign w:val="center"/>
          </w:tcPr>
          <w:p>
            <w:pPr>
              <w:ind w:firstLine="0" w:firstLineChars="0"/>
              <w:rPr>
                <w:b/>
                <w:sz w:val="22"/>
                <w:szCs w:val="22"/>
              </w:rPr>
            </w:pPr>
            <w:r>
              <w:rPr>
                <w:rFonts w:hint="eastAsia"/>
                <w:b/>
                <w:sz w:val="22"/>
                <w:szCs w:val="22"/>
              </w:rPr>
              <w:t>预计投资（万元）</w:t>
            </w:r>
          </w:p>
        </w:tc>
        <w:tc>
          <w:tcPr>
            <w:tcW w:w="0" w:type="auto"/>
            <w:shd w:val="clear" w:color="auto" w:fill="auto"/>
            <w:vAlign w:val="center"/>
          </w:tcPr>
          <w:p>
            <w:pPr>
              <w:ind w:firstLine="0" w:firstLineChars="0"/>
              <w:rPr>
                <w:b/>
                <w:sz w:val="22"/>
                <w:szCs w:val="22"/>
              </w:rPr>
            </w:pPr>
            <w:r>
              <w:rPr>
                <w:rFonts w:hint="eastAsia"/>
                <w:b/>
                <w:sz w:val="22"/>
                <w:szCs w:val="22"/>
              </w:rPr>
              <w:t>项目来源</w:t>
            </w:r>
          </w:p>
        </w:tc>
        <w:tc>
          <w:tcPr>
            <w:tcW w:w="1229" w:type="dxa"/>
            <w:shd w:val="clear" w:color="auto" w:fill="auto"/>
            <w:vAlign w:val="center"/>
          </w:tcPr>
          <w:p>
            <w:pPr>
              <w:ind w:firstLine="0" w:firstLineChars="0"/>
              <w:rPr>
                <w:b/>
                <w:sz w:val="22"/>
                <w:szCs w:val="22"/>
              </w:rPr>
            </w:pPr>
            <w:r>
              <w:rPr>
                <w:rFonts w:hint="eastAsia"/>
                <w:b/>
                <w:sz w:val="22"/>
                <w:szCs w:val="22"/>
              </w:rPr>
              <w:t>项目实施分期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atLeast"/>
        </w:trPr>
        <w:tc>
          <w:tcPr>
            <w:tcW w:w="790" w:type="dxa"/>
            <w:shd w:val="clear" w:color="auto" w:fill="auto"/>
            <w:vAlign w:val="center"/>
          </w:tcPr>
          <w:p>
            <w:pPr>
              <w:ind w:firstLine="0" w:firstLineChars="0"/>
              <w:rPr>
                <w:sz w:val="22"/>
                <w:szCs w:val="22"/>
              </w:rPr>
            </w:pPr>
            <w:r>
              <w:rPr>
                <w:rFonts w:hint="eastAsia"/>
                <w:sz w:val="22"/>
                <w:szCs w:val="22"/>
              </w:rPr>
              <w:t>1</w:t>
            </w:r>
          </w:p>
        </w:tc>
        <w:tc>
          <w:tcPr>
            <w:tcW w:w="0" w:type="auto"/>
            <w:vMerge w:val="restart"/>
            <w:shd w:val="clear" w:color="auto" w:fill="auto"/>
            <w:vAlign w:val="center"/>
          </w:tcPr>
          <w:p>
            <w:pPr>
              <w:ind w:firstLine="0" w:firstLineChars="0"/>
              <w:rPr>
                <w:sz w:val="22"/>
                <w:szCs w:val="22"/>
              </w:rPr>
            </w:pPr>
            <w:r>
              <w:rPr>
                <w:rFonts w:hint="eastAsia"/>
                <w:sz w:val="22"/>
                <w:szCs w:val="22"/>
              </w:rPr>
              <w:t>水环境治理与水生态综合治理</w:t>
            </w:r>
          </w:p>
        </w:tc>
        <w:tc>
          <w:tcPr>
            <w:tcW w:w="0" w:type="auto"/>
            <w:shd w:val="clear" w:color="auto" w:fill="auto"/>
            <w:vAlign w:val="center"/>
          </w:tcPr>
          <w:p>
            <w:pPr>
              <w:ind w:firstLine="0" w:firstLineChars="0"/>
              <w:rPr>
                <w:sz w:val="22"/>
                <w:szCs w:val="22"/>
              </w:rPr>
            </w:pPr>
            <w:r>
              <w:rPr>
                <w:rFonts w:hint="eastAsia"/>
                <w:sz w:val="22"/>
                <w:szCs w:val="22"/>
              </w:rPr>
              <w:t>大娄山区（青山湖流域）山水林田湖草生态保护修复工程</w:t>
            </w:r>
          </w:p>
        </w:tc>
        <w:tc>
          <w:tcPr>
            <w:tcW w:w="0" w:type="auto"/>
            <w:shd w:val="clear" w:color="auto" w:fill="auto"/>
            <w:vAlign w:val="center"/>
          </w:tcPr>
          <w:p>
            <w:pPr>
              <w:ind w:firstLine="0" w:firstLineChars="0"/>
              <w:rPr>
                <w:sz w:val="22"/>
                <w:szCs w:val="22"/>
              </w:rPr>
            </w:pPr>
            <w:r>
              <w:rPr>
                <w:rFonts w:hint="eastAsia"/>
                <w:sz w:val="22"/>
                <w:szCs w:val="22"/>
              </w:rPr>
              <w:t>青山湖流域</w:t>
            </w:r>
          </w:p>
        </w:tc>
        <w:tc>
          <w:tcPr>
            <w:tcW w:w="0" w:type="auto"/>
            <w:shd w:val="clear" w:color="auto" w:fill="auto"/>
            <w:vAlign w:val="center"/>
          </w:tcPr>
          <w:p>
            <w:pPr>
              <w:ind w:firstLine="0" w:firstLineChars="0"/>
              <w:rPr>
                <w:sz w:val="22"/>
                <w:szCs w:val="22"/>
              </w:rPr>
            </w:pPr>
            <w:r>
              <w:rPr>
                <w:rFonts w:hint="eastAsia"/>
                <w:sz w:val="22"/>
                <w:szCs w:val="22"/>
              </w:rPr>
              <w:t>涉及金桥镇青山村全域、马头桥村全域、三台村部分区域、万东镇五合村部分区域。综合部署10 项重点项目</w:t>
            </w:r>
          </w:p>
        </w:tc>
        <w:tc>
          <w:tcPr>
            <w:tcW w:w="0" w:type="auto"/>
            <w:shd w:val="clear" w:color="auto" w:fill="auto"/>
            <w:vAlign w:val="center"/>
          </w:tcPr>
          <w:p>
            <w:pPr>
              <w:ind w:firstLine="0" w:firstLineChars="0"/>
              <w:rPr>
                <w:sz w:val="22"/>
                <w:szCs w:val="22"/>
              </w:rPr>
            </w:pPr>
            <w:r>
              <w:rPr>
                <w:rFonts w:hint="eastAsia"/>
                <w:sz w:val="22"/>
                <w:szCs w:val="22"/>
              </w:rPr>
              <w:t>8593.89</w:t>
            </w:r>
          </w:p>
        </w:tc>
        <w:tc>
          <w:tcPr>
            <w:tcW w:w="0" w:type="auto"/>
            <w:shd w:val="clear" w:color="auto" w:fill="auto"/>
            <w:vAlign w:val="center"/>
          </w:tcPr>
          <w:p>
            <w:pPr>
              <w:ind w:firstLine="0" w:firstLineChars="0"/>
              <w:rPr>
                <w:sz w:val="22"/>
                <w:szCs w:val="22"/>
              </w:rPr>
            </w:pPr>
            <w:r>
              <w:rPr>
                <w:rFonts w:hint="eastAsia"/>
                <w:sz w:val="22"/>
                <w:szCs w:val="22"/>
              </w:rPr>
              <w:t>规资局</w:t>
            </w:r>
          </w:p>
        </w:tc>
        <w:tc>
          <w:tcPr>
            <w:tcW w:w="1229" w:type="dxa"/>
            <w:shd w:val="clear" w:color="auto" w:fill="auto"/>
            <w:vAlign w:val="center"/>
          </w:tcPr>
          <w:p>
            <w:pPr>
              <w:ind w:firstLine="0" w:firstLineChars="0"/>
              <w:rPr>
                <w:sz w:val="22"/>
                <w:szCs w:val="22"/>
              </w:rPr>
            </w:pPr>
            <w:r>
              <w:rPr>
                <w:rFonts w:hint="eastAsia"/>
                <w:sz w:val="22"/>
                <w:szCs w:val="22"/>
              </w:rPr>
              <w:t>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790" w:type="dxa"/>
            <w:shd w:val="clear" w:color="auto" w:fill="auto"/>
            <w:vAlign w:val="center"/>
          </w:tcPr>
          <w:p>
            <w:pPr>
              <w:ind w:firstLine="0" w:firstLineChars="0"/>
              <w:rPr>
                <w:sz w:val="22"/>
                <w:szCs w:val="22"/>
              </w:rPr>
            </w:pPr>
            <w:r>
              <w:rPr>
                <w:sz w:val="22"/>
                <w:szCs w:val="22"/>
              </w:rPr>
              <w:t>2</w:t>
            </w:r>
          </w:p>
        </w:tc>
        <w:tc>
          <w:tcPr>
            <w:tcW w:w="0" w:type="auto"/>
            <w:vMerge w:val="continue"/>
            <w:vAlign w:val="center"/>
          </w:tcPr>
          <w:p>
            <w:pPr>
              <w:ind w:firstLine="0" w:firstLineChars="0"/>
              <w:rPr>
                <w:sz w:val="22"/>
                <w:szCs w:val="22"/>
              </w:rPr>
            </w:pPr>
          </w:p>
        </w:tc>
        <w:tc>
          <w:tcPr>
            <w:tcW w:w="0" w:type="auto"/>
            <w:shd w:val="clear" w:color="auto" w:fill="auto"/>
            <w:vAlign w:val="center"/>
          </w:tcPr>
          <w:p>
            <w:pPr>
              <w:ind w:firstLine="0" w:firstLineChars="0"/>
              <w:rPr>
                <w:sz w:val="22"/>
                <w:szCs w:val="22"/>
              </w:rPr>
            </w:pPr>
            <w:r>
              <w:rPr>
                <w:rFonts w:hint="eastAsia"/>
                <w:sz w:val="22"/>
                <w:szCs w:val="22"/>
              </w:rPr>
              <w:t>万盛2022年水土保持重点工程金蝶湖、农林片区生态清洁小流域项目</w:t>
            </w:r>
          </w:p>
        </w:tc>
        <w:tc>
          <w:tcPr>
            <w:tcW w:w="0" w:type="auto"/>
            <w:shd w:val="clear" w:color="auto" w:fill="auto"/>
            <w:vAlign w:val="center"/>
          </w:tcPr>
          <w:p>
            <w:pPr>
              <w:ind w:firstLine="0" w:firstLineChars="0"/>
              <w:rPr>
                <w:sz w:val="22"/>
                <w:szCs w:val="22"/>
              </w:rPr>
            </w:pPr>
            <w:r>
              <w:rPr>
                <w:rFonts w:hint="eastAsia"/>
                <w:sz w:val="22"/>
                <w:szCs w:val="22"/>
              </w:rPr>
              <w:t>金桥镇</w:t>
            </w:r>
          </w:p>
        </w:tc>
        <w:tc>
          <w:tcPr>
            <w:tcW w:w="0" w:type="auto"/>
            <w:shd w:val="clear" w:color="auto" w:fill="auto"/>
            <w:vAlign w:val="center"/>
          </w:tcPr>
          <w:p>
            <w:pPr>
              <w:ind w:firstLine="0" w:firstLineChars="0"/>
              <w:rPr>
                <w:sz w:val="22"/>
                <w:szCs w:val="22"/>
              </w:rPr>
            </w:pPr>
            <w:r>
              <w:rPr>
                <w:rFonts w:hint="eastAsia"/>
                <w:sz w:val="22"/>
                <w:szCs w:val="22"/>
              </w:rPr>
              <w:t>实施金蝶湖生态清洁小流域治理，进行步道拓宽、植物绿化、坡改地梯等建设</w:t>
            </w:r>
          </w:p>
        </w:tc>
        <w:tc>
          <w:tcPr>
            <w:tcW w:w="0" w:type="auto"/>
            <w:shd w:val="clear" w:color="auto" w:fill="auto"/>
            <w:vAlign w:val="center"/>
          </w:tcPr>
          <w:p>
            <w:pPr>
              <w:ind w:firstLine="0" w:firstLineChars="0"/>
              <w:rPr>
                <w:sz w:val="22"/>
                <w:szCs w:val="22"/>
              </w:rPr>
            </w:pPr>
            <w:r>
              <w:rPr>
                <w:sz w:val="22"/>
                <w:szCs w:val="22"/>
              </w:rPr>
              <w:t>2025</w:t>
            </w:r>
          </w:p>
        </w:tc>
        <w:tc>
          <w:tcPr>
            <w:tcW w:w="0" w:type="auto"/>
            <w:shd w:val="clear" w:color="auto" w:fill="auto"/>
            <w:vAlign w:val="center"/>
          </w:tcPr>
          <w:p>
            <w:pPr>
              <w:ind w:firstLine="0" w:firstLineChars="0"/>
              <w:rPr>
                <w:sz w:val="22"/>
                <w:szCs w:val="22"/>
              </w:rPr>
            </w:pPr>
            <w:r>
              <w:rPr>
                <w:rFonts w:hint="eastAsia"/>
                <w:sz w:val="22"/>
                <w:szCs w:val="22"/>
                <w:lang w:eastAsia="zh-CN"/>
              </w:rPr>
              <w:t>“</w:t>
            </w:r>
            <w:r>
              <w:rPr>
                <w:rFonts w:hint="eastAsia"/>
                <w:sz w:val="22"/>
                <w:szCs w:val="22"/>
              </w:rPr>
              <w:t>十四五</w:t>
            </w:r>
            <w:r>
              <w:rPr>
                <w:rFonts w:hint="eastAsia"/>
                <w:sz w:val="22"/>
                <w:szCs w:val="22"/>
                <w:lang w:eastAsia="zh-CN"/>
              </w:rPr>
              <w:t>”</w:t>
            </w:r>
            <w:r>
              <w:rPr>
                <w:rFonts w:hint="eastAsia"/>
                <w:sz w:val="22"/>
                <w:szCs w:val="22"/>
              </w:rPr>
              <w:t>生态环境保护</w:t>
            </w:r>
          </w:p>
        </w:tc>
        <w:tc>
          <w:tcPr>
            <w:tcW w:w="1229" w:type="dxa"/>
            <w:shd w:val="clear" w:color="auto" w:fill="auto"/>
            <w:vAlign w:val="center"/>
          </w:tcPr>
          <w:p>
            <w:pPr>
              <w:ind w:firstLine="0" w:firstLineChars="0"/>
              <w:rPr>
                <w:sz w:val="22"/>
                <w:szCs w:val="22"/>
              </w:rPr>
            </w:pPr>
            <w:r>
              <w:rPr>
                <w:rFonts w:hint="eastAsia"/>
                <w:sz w:val="22"/>
                <w:szCs w:val="22"/>
              </w:rPr>
              <w:t>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90" w:type="dxa"/>
            <w:shd w:val="clear" w:color="auto" w:fill="auto"/>
            <w:vAlign w:val="center"/>
          </w:tcPr>
          <w:p>
            <w:pPr>
              <w:ind w:firstLine="0" w:firstLineChars="0"/>
              <w:rPr>
                <w:sz w:val="22"/>
                <w:szCs w:val="22"/>
              </w:rPr>
            </w:pPr>
            <w:r>
              <w:rPr>
                <w:sz w:val="22"/>
                <w:szCs w:val="22"/>
              </w:rPr>
              <w:t>3</w:t>
            </w:r>
          </w:p>
        </w:tc>
        <w:tc>
          <w:tcPr>
            <w:tcW w:w="0" w:type="auto"/>
            <w:vMerge w:val="continue"/>
            <w:vAlign w:val="center"/>
          </w:tcPr>
          <w:p>
            <w:pPr>
              <w:ind w:firstLine="0" w:firstLineChars="0"/>
              <w:rPr>
                <w:sz w:val="22"/>
                <w:szCs w:val="22"/>
              </w:rPr>
            </w:pPr>
          </w:p>
        </w:tc>
        <w:tc>
          <w:tcPr>
            <w:tcW w:w="0" w:type="auto"/>
            <w:shd w:val="clear" w:color="auto" w:fill="auto"/>
            <w:vAlign w:val="center"/>
          </w:tcPr>
          <w:p>
            <w:pPr>
              <w:ind w:firstLine="0" w:firstLineChars="0"/>
              <w:rPr>
                <w:sz w:val="22"/>
                <w:szCs w:val="22"/>
              </w:rPr>
            </w:pPr>
            <w:r>
              <w:rPr>
                <w:rFonts w:hint="eastAsia"/>
                <w:sz w:val="22"/>
                <w:szCs w:val="22"/>
              </w:rPr>
              <w:t>孝子河流域综合治理工程</w:t>
            </w:r>
          </w:p>
        </w:tc>
        <w:tc>
          <w:tcPr>
            <w:tcW w:w="0" w:type="auto"/>
            <w:shd w:val="clear" w:color="auto" w:fill="auto"/>
            <w:vAlign w:val="center"/>
          </w:tcPr>
          <w:p>
            <w:pPr>
              <w:ind w:firstLine="0" w:firstLineChars="0"/>
              <w:rPr>
                <w:sz w:val="22"/>
                <w:szCs w:val="22"/>
              </w:rPr>
            </w:pPr>
            <w:r>
              <w:rPr>
                <w:rFonts w:hint="eastAsia"/>
                <w:sz w:val="22"/>
                <w:szCs w:val="22"/>
              </w:rPr>
              <w:t>南桐镇、金桥镇、丛林镇、黑山镇、万东镇</w:t>
            </w:r>
          </w:p>
        </w:tc>
        <w:tc>
          <w:tcPr>
            <w:tcW w:w="0" w:type="auto"/>
            <w:shd w:val="clear" w:color="auto" w:fill="auto"/>
            <w:vAlign w:val="center"/>
          </w:tcPr>
          <w:p>
            <w:pPr>
              <w:ind w:firstLine="0" w:firstLineChars="0"/>
              <w:rPr>
                <w:sz w:val="22"/>
                <w:szCs w:val="22"/>
              </w:rPr>
            </w:pPr>
            <w:r>
              <w:rPr>
                <w:rFonts w:hint="eastAsia"/>
                <w:sz w:val="22"/>
                <w:szCs w:val="22"/>
              </w:rPr>
              <w:t>实施孝子河重点河段清淤，河岸及护坡硬化、绿化整治</w:t>
            </w:r>
          </w:p>
        </w:tc>
        <w:tc>
          <w:tcPr>
            <w:tcW w:w="0" w:type="auto"/>
            <w:shd w:val="clear" w:color="auto" w:fill="auto"/>
            <w:vAlign w:val="center"/>
          </w:tcPr>
          <w:p>
            <w:pPr>
              <w:ind w:firstLine="0" w:firstLineChars="0"/>
              <w:rPr>
                <w:sz w:val="22"/>
                <w:szCs w:val="22"/>
              </w:rPr>
            </w:pPr>
            <w:r>
              <w:rPr>
                <w:rFonts w:hint="eastAsia"/>
                <w:sz w:val="22"/>
                <w:szCs w:val="22"/>
              </w:rPr>
              <w:t>12060</w:t>
            </w:r>
          </w:p>
        </w:tc>
        <w:tc>
          <w:tcPr>
            <w:tcW w:w="0" w:type="auto"/>
            <w:shd w:val="clear" w:color="auto" w:fill="auto"/>
            <w:vAlign w:val="center"/>
          </w:tcPr>
          <w:p>
            <w:pPr>
              <w:ind w:firstLine="0" w:firstLineChars="0"/>
              <w:rPr>
                <w:sz w:val="22"/>
                <w:szCs w:val="22"/>
              </w:rPr>
            </w:pPr>
            <w:r>
              <w:rPr>
                <w:rFonts w:hint="eastAsia"/>
                <w:sz w:val="22"/>
                <w:szCs w:val="22"/>
                <w:lang w:eastAsia="zh-CN"/>
              </w:rPr>
              <w:t>“</w:t>
            </w:r>
            <w:r>
              <w:rPr>
                <w:rFonts w:hint="eastAsia"/>
                <w:sz w:val="22"/>
                <w:szCs w:val="22"/>
              </w:rPr>
              <w:t>十四五</w:t>
            </w:r>
            <w:r>
              <w:rPr>
                <w:rFonts w:hint="eastAsia"/>
                <w:sz w:val="22"/>
                <w:szCs w:val="22"/>
                <w:lang w:eastAsia="zh-CN"/>
              </w:rPr>
              <w:t>”</w:t>
            </w:r>
            <w:r>
              <w:rPr>
                <w:rFonts w:hint="eastAsia"/>
                <w:sz w:val="22"/>
                <w:szCs w:val="22"/>
              </w:rPr>
              <w:t>生态环境保护</w:t>
            </w:r>
          </w:p>
        </w:tc>
        <w:tc>
          <w:tcPr>
            <w:tcW w:w="1229" w:type="dxa"/>
            <w:shd w:val="clear" w:color="auto" w:fill="auto"/>
            <w:vAlign w:val="center"/>
          </w:tcPr>
          <w:p>
            <w:pPr>
              <w:ind w:firstLine="0" w:firstLineChars="0"/>
              <w:rPr>
                <w:sz w:val="22"/>
                <w:szCs w:val="22"/>
              </w:rPr>
            </w:pPr>
            <w:r>
              <w:rPr>
                <w:rFonts w:hint="eastAsia"/>
                <w:sz w:val="22"/>
                <w:szCs w:val="22"/>
              </w:rPr>
              <w:t>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790" w:type="dxa"/>
            <w:shd w:val="clear" w:color="auto" w:fill="auto"/>
            <w:vAlign w:val="center"/>
          </w:tcPr>
          <w:p>
            <w:pPr>
              <w:ind w:firstLine="0" w:firstLineChars="0"/>
              <w:rPr>
                <w:sz w:val="22"/>
                <w:szCs w:val="22"/>
              </w:rPr>
            </w:pPr>
            <w:r>
              <w:rPr>
                <w:sz w:val="22"/>
                <w:szCs w:val="22"/>
              </w:rPr>
              <w:t>4</w:t>
            </w:r>
          </w:p>
        </w:tc>
        <w:tc>
          <w:tcPr>
            <w:tcW w:w="0" w:type="auto"/>
            <w:vMerge w:val="continue"/>
            <w:vAlign w:val="center"/>
          </w:tcPr>
          <w:p>
            <w:pPr>
              <w:ind w:firstLine="0" w:firstLineChars="0"/>
              <w:rPr>
                <w:sz w:val="22"/>
                <w:szCs w:val="22"/>
              </w:rPr>
            </w:pPr>
          </w:p>
        </w:tc>
        <w:tc>
          <w:tcPr>
            <w:tcW w:w="0" w:type="auto"/>
            <w:shd w:val="clear" w:color="auto" w:fill="auto"/>
            <w:vAlign w:val="center"/>
          </w:tcPr>
          <w:p>
            <w:pPr>
              <w:ind w:firstLine="0" w:firstLineChars="0"/>
              <w:rPr>
                <w:sz w:val="22"/>
                <w:szCs w:val="22"/>
              </w:rPr>
            </w:pPr>
            <w:r>
              <w:rPr>
                <w:rFonts w:hint="eastAsia"/>
                <w:sz w:val="22"/>
                <w:szCs w:val="22"/>
              </w:rPr>
              <w:t>508库箐溪河水体生态修复工程</w:t>
            </w:r>
          </w:p>
        </w:tc>
        <w:tc>
          <w:tcPr>
            <w:tcW w:w="0" w:type="auto"/>
            <w:shd w:val="clear" w:color="auto" w:fill="auto"/>
            <w:vAlign w:val="center"/>
          </w:tcPr>
          <w:p>
            <w:pPr>
              <w:ind w:firstLine="0" w:firstLineChars="0"/>
              <w:rPr>
                <w:sz w:val="22"/>
                <w:szCs w:val="22"/>
              </w:rPr>
            </w:pPr>
            <w:r>
              <w:rPr>
                <w:rFonts w:hint="eastAsia"/>
                <w:sz w:val="22"/>
                <w:szCs w:val="22"/>
              </w:rPr>
              <w:t>关坝镇</w:t>
            </w:r>
          </w:p>
        </w:tc>
        <w:tc>
          <w:tcPr>
            <w:tcW w:w="0" w:type="auto"/>
            <w:shd w:val="clear" w:color="auto" w:fill="auto"/>
            <w:vAlign w:val="center"/>
          </w:tcPr>
          <w:p>
            <w:pPr>
              <w:ind w:firstLine="0" w:firstLineChars="0"/>
              <w:rPr>
                <w:sz w:val="22"/>
                <w:szCs w:val="22"/>
              </w:rPr>
            </w:pPr>
            <w:r>
              <w:rPr>
                <w:rFonts w:hint="eastAsia"/>
                <w:sz w:val="22"/>
                <w:szCs w:val="22"/>
              </w:rPr>
              <w:t>对箐溪河至万东南路4.5公里流域生态修复，保障流域基本生态流量，恢复自然水道，科学建设人工水道。</w:t>
            </w:r>
          </w:p>
        </w:tc>
        <w:tc>
          <w:tcPr>
            <w:tcW w:w="0" w:type="auto"/>
            <w:shd w:val="clear" w:color="auto" w:fill="auto"/>
            <w:vAlign w:val="center"/>
          </w:tcPr>
          <w:p>
            <w:pPr>
              <w:ind w:firstLine="0" w:firstLineChars="0"/>
              <w:rPr>
                <w:sz w:val="22"/>
                <w:szCs w:val="22"/>
              </w:rPr>
            </w:pPr>
            <w:r>
              <w:rPr>
                <w:rFonts w:hint="eastAsia"/>
                <w:sz w:val="22"/>
                <w:szCs w:val="22"/>
              </w:rPr>
              <w:t>3000</w:t>
            </w:r>
          </w:p>
        </w:tc>
        <w:tc>
          <w:tcPr>
            <w:tcW w:w="0" w:type="auto"/>
            <w:shd w:val="clear" w:color="auto" w:fill="auto"/>
            <w:vAlign w:val="center"/>
          </w:tcPr>
          <w:p>
            <w:pPr>
              <w:ind w:firstLine="0" w:firstLineChars="0"/>
              <w:rPr>
                <w:sz w:val="22"/>
                <w:szCs w:val="22"/>
              </w:rPr>
            </w:pPr>
            <w:r>
              <w:rPr>
                <w:rFonts w:hint="eastAsia"/>
                <w:sz w:val="22"/>
                <w:szCs w:val="22"/>
              </w:rPr>
              <w:t xml:space="preserve">规资局 </w:t>
            </w:r>
          </w:p>
        </w:tc>
        <w:tc>
          <w:tcPr>
            <w:tcW w:w="1229" w:type="dxa"/>
            <w:shd w:val="clear" w:color="auto" w:fill="auto"/>
            <w:vAlign w:val="center"/>
          </w:tcPr>
          <w:p>
            <w:pPr>
              <w:ind w:firstLine="0" w:firstLineChars="0"/>
              <w:rPr>
                <w:sz w:val="22"/>
                <w:szCs w:val="22"/>
              </w:rPr>
            </w:pPr>
            <w:r>
              <w:rPr>
                <w:rFonts w:hint="eastAsia"/>
                <w:sz w:val="22"/>
                <w:szCs w:val="22"/>
              </w:rPr>
              <w:t>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790" w:type="dxa"/>
            <w:shd w:val="clear" w:color="auto" w:fill="auto"/>
            <w:vAlign w:val="center"/>
          </w:tcPr>
          <w:p>
            <w:pPr>
              <w:ind w:firstLine="0" w:firstLineChars="0"/>
              <w:rPr>
                <w:sz w:val="22"/>
                <w:szCs w:val="22"/>
              </w:rPr>
            </w:pPr>
            <w:r>
              <w:rPr>
                <w:sz w:val="22"/>
                <w:szCs w:val="22"/>
              </w:rPr>
              <w:t>5</w:t>
            </w:r>
          </w:p>
        </w:tc>
        <w:tc>
          <w:tcPr>
            <w:tcW w:w="0" w:type="auto"/>
            <w:vMerge w:val="continue"/>
            <w:vAlign w:val="center"/>
          </w:tcPr>
          <w:p>
            <w:pPr>
              <w:ind w:firstLine="0" w:firstLineChars="0"/>
              <w:rPr>
                <w:sz w:val="22"/>
                <w:szCs w:val="22"/>
              </w:rPr>
            </w:pPr>
          </w:p>
        </w:tc>
        <w:tc>
          <w:tcPr>
            <w:tcW w:w="0" w:type="auto"/>
            <w:shd w:val="clear" w:color="auto" w:fill="auto"/>
            <w:vAlign w:val="center"/>
          </w:tcPr>
          <w:p>
            <w:pPr>
              <w:ind w:firstLine="0" w:firstLineChars="0"/>
              <w:rPr>
                <w:sz w:val="22"/>
                <w:szCs w:val="22"/>
              </w:rPr>
            </w:pPr>
            <w:r>
              <w:rPr>
                <w:rFonts w:hint="eastAsia"/>
                <w:sz w:val="22"/>
                <w:szCs w:val="22"/>
              </w:rPr>
              <w:t>重庆市万盛经开区五布河、蒲河流域中小河流治理工程</w:t>
            </w:r>
          </w:p>
        </w:tc>
        <w:tc>
          <w:tcPr>
            <w:tcW w:w="0" w:type="auto"/>
            <w:shd w:val="clear" w:color="auto" w:fill="auto"/>
            <w:vAlign w:val="center"/>
          </w:tcPr>
          <w:p>
            <w:pPr>
              <w:ind w:firstLine="0" w:firstLineChars="0"/>
              <w:rPr>
                <w:sz w:val="22"/>
                <w:szCs w:val="22"/>
              </w:rPr>
            </w:pPr>
            <w:r>
              <w:rPr>
                <w:rFonts w:hint="eastAsia"/>
                <w:sz w:val="22"/>
                <w:szCs w:val="22"/>
              </w:rPr>
              <w:t>金桥镇、丛林镇、万东镇、黑山镇及石林镇</w:t>
            </w:r>
          </w:p>
        </w:tc>
        <w:tc>
          <w:tcPr>
            <w:tcW w:w="0" w:type="auto"/>
            <w:shd w:val="clear" w:color="auto" w:fill="auto"/>
            <w:vAlign w:val="center"/>
          </w:tcPr>
          <w:p>
            <w:pPr>
              <w:ind w:firstLine="0" w:firstLineChars="0"/>
              <w:rPr>
                <w:sz w:val="22"/>
                <w:szCs w:val="22"/>
              </w:rPr>
            </w:pPr>
            <w:r>
              <w:rPr>
                <w:rFonts w:hint="eastAsia"/>
                <w:sz w:val="22"/>
                <w:szCs w:val="22"/>
              </w:rPr>
              <w:t>整治河道全长37.863km，主要建设内容包括河道清淤疏浚、堤防工程及水生态景观</w:t>
            </w:r>
          </w:p>
        </w:tc>
        <w:tc>
          <w:tcPr>
            <w:tcW w:w="0" w:type="auto"/>
            <w:shd w:val="clear" w:color="auto" w:fill="auto"/>
            <w:vAlign w:val="center"/>
          </w:tcPr>
          <w:p>
            <w:pPr>
              <w:ind w:firstLine="0" w:firstLineChars="0"/>
              <w:rPr>
                <w:sz w:val="22"/>
                <w:szCs w:val="22"/>
              </w:rPr>
            </w:pPr>
            <w:r>
              <w:rPr>
                <w:rFonts w:hint="eastAsia"/>
                <w:sz w:val="22"/>
                <w:szCs w:val="22"/>
              </w:rPr>
              <w:t>15149.65</w:t>
            </w:r>
          </w:p>
        </w:tc>
        <w:tc>
          <w:tcPr>
            <w:tcW w:w="0" w:type="auto"/>
            <w:shd w:val="clear" w:color="auto" w:fill="auto"/>
            <w:vAlign w:val="center"/>
          </w:tcPr>
          <w:p>
            <w:pPr>
              <w:ind w:firstLine="0" w:firstLineChars="0"/>
              <w:rPr>
                <w:sz w:val="22"/>
                <w:szCs w:val="22"/>
              </w:rPr>
            </w:pPr>
            <w:r>
              <w:rPr>
                <w:rFonts w:hint="eastAsia"/>
                <w:sz w:val="22"/>
                <w:szCs w:val="22"/>
              </w:rPr>
              <w:t>开投集团</w:t>
            </w:r>
          </w:p>
        </w:tc>
        <w:tc>
          <w:tcPr>
            <w:tcW w:w="1229" w:type="dxa"/>
            <w:shd w:val="clear" w:color="auto" w:fill="auto"/>
            <w:vAlign w:val="center"/>
          </w:tcPr>
          <w:p>
            <w:pPr>
              <w:ind w:firstLine="0" w:firstLineChars="0"/>
              <w:rPr>
                <w:sz w:val="22"/>
                <w:szCs w:val="22"/>
              </w:rPr>
            </w:pPr>
            <w:r>
              <w:rPr>
                <w:rFonts w:hint="eastAsia"/>
                <w:sz w:val="22"/>
                <w:szCs w:val="22"/>
              </w:rPr>
              <w:t>中远期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790" w:type="dxa"/>
            <w:shd w:val="clear" w:color="auto" w:fill="auto"/>
            <w:vAlign w:val="center"/>
          </w:tcPr>
          <w:p>
            <w:pPr>
              <w:ind w:firstLine="0" w:firstLineChars="0"/>
              <w:rPr>
                <w:sz w:val="22"/>
                <w:szCs w:val="22"/>
              </w:rPr>
            </w:pPr>
            <w:r>
              <w:rPr>
                <w:sz w:val="22"/>
                <w:szCs w:val="22"/>
              </w:rPr>
              <w:t>6</w:t>
            </w:r>
          </w:p>
        </w:tc>
        <w:tc>
          <w:tcPr>
            <w:tcW w:w="0" w:type="auto"/>
            <w:vMerge w:val="continue"/>
            <w:vAlign w:val="center"/>
          </w:tcPr>
          <w:p>
            <w:pPr>
              <w:ind w:firstLine="0" w:firstLineChars="0"/>
              <w:rPr>
                <w:sz w:val="22"/>
                <w:szCs w:val="22"/>
              </w:rPr>
            </w:pPr>
          </w:p>
        </w:tc>
        <w:tc>
          <w:tcPr>
            <w:tcW w:w="0" w:type="auto"/>
            <w:shd w:val="clear" w:color="auto" w:fill="auto"/>
            <w:vAlign w:val="center"/>
          </w:tcPr>
          <w:p>
            <w:pPr>
              <w:ind w:firstLine="0" w:firstLineChars="0"/>
              <w:rPr>
                <w:sz w:val="22"/>
                <w:szCs w:val="22"/>
              </w:rPr>
            </w:pPr>
            <w:r>
              <w:rPr>
                <w:rFonts w:hint="eastAsia"/>
                <w:sz w:val="22"/>
                <w:szCs w:val="22"/>
              </w:rPr>
              <w:t>丛林河上段水源涵养工程</w:t>
            </w:r>
          </w:p>
        </w:tc>
        <w:tc>
          <w:tcPr>
            <w:tcW w:w="0" w:type="auto"/>
            <w:shd w:val="clear" w:color="auto" w:fill="auto"/>
            <w:vAlign w:val="center"/>
          </w:tcPr>
          <w:p>
            <w:pPr>
              <w:ind w:firstLine="0" w:firstLineChars="0"/>
              <w:rPr>
                <w:sz w:val="22"/>
                <w:szCs w:val="22"/>
              </w:rPr>
            </w:pPr>
            <w:r>
              <w:rPr>
                <w:rFonts w:hint="eastAsia"/>
                <w:sz w:val="22"/>
                <w:szCs w:val="22"/>
              </w:rPr>
              <w:t>丛林镇</w:t>
            </w:r>
          </w:p>
        </w:tc>
        <w:tc>
          <w:tcPr>
            <w:tcW w:w="0" w:type="auto"/>
            <w:shd w:val="clear" w:color="auto" w:fill="auto"/>
            <w:vAlign w:val="center"/>
          </w:tcPr>
          <w:p>
            <w:pPr>
              <w:ind w:firstLine="0" w:firstLineChars="0"/>
              <w:rPr>
                <w:sz w:val="22"/>
                <w:szCs w:val="22"/>
              </w:rPr>
            </w:pPr>
            <w:r>
              <w:rPr>
                <w:rFonts w:hint="eastAsia"/>
                <w:sz w:val="22"/>
                <w:szCs w:val="22"/>
              </w:rPr>
              <w:t>对河道</w:t>
            </w:r>
            <w:r>
              <w:rPr>
                <w:sz w:val="22"/>
                <w:szCs w:val="22"/>
              </w:rPr>
              <w:t>6.6公里清淤，种植面积约12000</w:t>
            </w:r>
            <w:r>
              <w:rPr>
                <w:rFonts w:hint="eastAsia" w:ascii="Batang" w:hAnsi="Batang" w:eastAsia="Batang" w:cs="Batang"/>
                <w:sz w:val="22"/>
                <w:szCs w:val="22"/>
              </w:rPr>
              <w:t>㎡</w:t>
            </w:r>
            <w:r>
              <w:rPr>
                <w:rFonts w:hint="eastAsia"/>
                <w:sz w:val="22"/>
                <w:szCs w:val="22"/>
              </w:rPr>
              <w:t>生态隔离带，提高净水、蓄水功能。加固沿河两岸土质边坡，长</w:t>
            </w:r>
            <w:r>
              <w:rPr>
                <w:sz w:val="22"/>
                <w:szCs w:val="22"/>
              </w:rPr>
              <w:t>800m河岸砌筑驳岸石。</w:t>
            </w:r>
          </w:p>
        </w:tc>
        <w:tc>
          <w:tcPr>
            <w:tcW w:w="0" w:type="auto"/>
            <w:shd w:val="clear" w:color="auto" w:fill="auto"/>
            <w:vAlign w:val="center"/>
          </w:tcPr>
          <w:p>
            <w:pPr>
              <w:ind w:firstLine="0" w:firstLineChars="0"/>
              <w:rPr>
                <w:sz w:val="22"/>
                <w:szCs w:val="22"/>
              </w:rPr>
            </w:pPr>
            <w:r>
              <w:rPr>
                <w:rFonts w:hint="eastAsia"/>
                <w:sz w:val="22"/>
                <w:szCs w:val="22"/>
              </w:rPr>
              <w:t>2000</w:t>
            </w:r>
          </w:p>
        </w:tc>
        <w:tc>
          <w:tcPr>
            <w:tcW w:w="0" w:type="auto"/>
            <w:shd w:val="clear" w:color="auto" w:fill="auto"/>
            <w:vAlign w:val="center"/>
          </w:tcPr>
          <w:p>
            <w:pPr>
              <w:ind w:firstLine="0" w:firstLineChars="0"/>
              <w:rPr>
                <w:sz w:val="22"/>
                <w:szCs w:val="22"/>
              </w:rPr>
            </w:pPr>
            <w:r>
              <w:rPr>
                <w:rFonts w:hint="eastAsia"/>
                <w:sz w:val="22"/>
                <w:szCs w:val="22"/>
              </w:rPr>
              <w:t>规划</w:t>
            </w:r>
          </w:p>
        </w:tc>
        <w:tc>
          <w:tcPr>
            <w:tcW w:w="1229" w:type="dxa"/>
            <w:shd w:val="clear" w:color="auto" w:fill="auto"/>
            <w:vAlign w:val="center"/>
          </w:tcPr>
          <w:p>
            <w:pPr>
              <w:ind w:firstLine="0" w:firstLineChars="0"/>
              <w:rPr>
                <w:sz w:val="22"/>
                <w:szCs w:val="22"/>
              </w:rPr>
            </w:pPr>
            <w:r>
              <w:rPr>
                <w:rFonts w:hint="eastAsia"/>
                <w:sz w:val="22"/>
                <w:szCs w:val="22"/>
              </w:rPr>
              <w:t>中远期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790" w:type="dxa"/>
            <w:shd w:val="clear" w:color="auto" w:fill="auto"/>
            <w:vAlign w:val="center"/>
          </w:tcPr>
          <w:p>
            <w:pPr>
              <w:ind w:firstLine="0" w:firstLineChars="0"/>
              <w:rPr>
                <w:sz w:val="22"/>
                <w:szCs w:val="22"/>
              </w:rPr>
            </w:pPr>
            <w:r>
              <w:rPr>
                <w:sz w:val="22"/>
                <w:szCs w:val="22"/>
              </w:rPr>
              <w:t>7</w:t>
            </w:r>
          </w:p>
        </w:tc>
        <w:tc>
          <w:tcPr>
            <w:tcW w:w="0" w:type="auto"/>
            <w:vMerge w:val="continue"/>
            <w:vAlign w:val="center"/>
          </w:tcPr>
          <w:p>
            <w:pPr>
              <w:ind w:firstLine="0" w:firstLineChars="0"/>
              <w:rPr>
                <w:sz w:val="22"/>
                <w:szCs w:val="22"/>
              </w:rPr>
            </w:pPr>
          </w:p>
        </w:tc>
        <w:tc>
          <w:tcPr>
            <w:tcW w:w="0" w:type="auto"/>
            <w:shd w:val="clear" w:color="auto" w:fill="auto"/>
            <w:vAlign w:val="center"/>
          </w:tcPr>
          <w:p>
            <w:pPr>
              <w:ind w:firstLine="0" w:firstLineChars="0"/>
              <w:rPr>
                <w:sz w:val="22"/>
                <w:szCs w:val="22"/>
              </w:rPr>
            </w:pPr>
            <w:r>
              <w:rPr>
                <w:rFonts w:hint="eastAsia"/>
                <w:sz w:val="22"/>
                <w:szCs w:val="22"/>
              </w:rPr>
              <w:t>板辽湖水体生态修理工程</w:t>
            </w:r>
          </w:p>
        </w:tc>
        <w:tc>
          <w:tcPr>
            <w:tcW w:w="0" w:type="auto"/>
            <w:shd w:val="clear" w:color="auto" w:fill="auto"/>
            <w:vAlign w:val="center"/>
          </w:tcPr>
          <w:p>
            <w:pPr>
              <w:ind w:firstLine="0" w:firstLineChars="0"/>
              <w:rPr>
                <w:sz w:val="22"/>
                <w:szCs w:val="22"/>
              </w:rPr>
            </w:pPr>
            <w:r>
              <w:rPr>
                <w:rFonts w:hint="eastAsia"/>
                <w:sz w:val="22"/>
                <w:szCs w:val="22"/>
              </w:rPr>
              <w:t>青年镇</w:t>
            </w:r>
          </w:p>
        </w:tc>
        <w:tc>
          <w:tcPr>
            <w:tcW w:w="0" w:type="auto"/>
            <w:shd w:val="clear" w:color="auto" w:fill="auto"/>
            <w:vAlign w:val="center"/>
          </w:tcPr>
          <w:p>
            <w:pPr>
              <w:ind w:firstLine="0" w:firstLineChars="0"/>
              <w:rPr>
                <w:sz w:val="22"/>
                <w:szCs w:val="22"/>
              </w:rPr>
            </w:pPr>
            <w:r>
              <w:rPr>
                <w:rFonts w:hint="eastAsia"/>
                <w:sz w:val="22"/>
                <w:szCs w:val="22"/>
              </w:rPr>
              <w:t>对板辽湖水库生态修复，继续推进板辽湖生态环境保护、保障。</w:t>
            </w:r>
          </w:p>
        </w:tc>
        <w:tc>
          <w:tcPr>
            <w:tcW w:w="0" w:type="auto"/>
            <w:shd w:val="clear" w:color="auto" w:fill="auto"/>
            <w:vAlign w:val="center"/>
          </w:tcPr>
          <w:p>
            <w:pPr>
              <w:ind w:firstLine="0" w:firstLineChars="0"/>
              <w:rPr>
                <w:sz w:val="22"/>
                <w:szCs w:val="22"/>
              </w:rPr>
            </w:pPr>
            <w:r>
              <w:rPr>
                <w:rFonts w:hint="eastAsia"/>
                <w:sz w:val="22"/>
                <w:szCs w:val="22"/>
              </w:rPr>
              <w:t>6000</w:t>
            </w:r>
          </w:p>
        </w:tc>
        <w:tc>
          <w:tcPr>
            <w:tcW w:w="0" w:type="auto"/>
            <w:shd w:val="clear" w:color="auto" w:fill="auto"/>
            <w:vAlign w:val="center"/>
          </w:tcPr>
          <w:p>
            <w:pPr>
              <w:ind w:firstLine="0" w:firstLineChars="0"/>
              <w:rPr>
                <w:sz w:val="22"/>
                <w:szCs w:val="22"/>
              </w:rPr>
            </w:pPr>
            <w:r>
              <w:rPr>
                <w:rFonts w:hint="eastAsia"/>
                <w:sz w:val="22"/>
                <w:szCs w:val="22"/>
              </w:rPr>
              <w:t xml:space="preserve">规资局 </w:t>
            </w:r>
          </w:p>
        </w:tc>
        <w:tc>
          <w:tcPr>
            <w:tcW w:w="1229" w:type="dxa"/>
            <w:shd w:val="clear" w:color="auto" w:fill="auto"/>
            <w:vAlign w:val="center"/>
          </w:tcPr>
          <w:p>
            <w:pPr>
              <w:ind w:firstLine="0" w:firstLineChars="0"/>
              <w:rPr>
                <w:sz w:val="22"/>
                <w:szCs w:val="22"/>
              </w:rPr>
            </w:pPr>
            <w:r>
              <w:rPr>
                <w:rFonts w:hint="eastAsia"/>
                <w:sz w:val="22"/>
                <w:szCs w:val="22"/>
              </w:rPr>
              <w:t>中远期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790" w:type="dxa"/>
            <w:shd w:val="clear" w:color="auto" w:fill="auto"/>
            <w:vAlign w:val="center"/>
          </w:tcPr>
          <w:p>
            <w:pPr>
              <w:ind w:firstLine="0" w:firstLineChars="0"/>
              <w:rPr>
                <w:sz w:val="22"/>
                <w:szCs w:val="22"/>
              </w:rPr>
            </w:pPr>
            <w:r>
              <w:rPr>
                <w:sz w:val="22"/>
                <w:szCs w:val="22"/>
              </w:rPr>
              <w:t>8</w:t>
            </w:r>
          </w:p>
        </w:tc>
        <w:tc>
          <w:tcPr>
            <w:tcW w:w="0" w:type="auto"/>
            <w:vMerge w:val="continue"/>
            <w:vAlign w:val="center"/>
          </w:tcPr>
          <w:p>
            <w:pPr>
              <w:ind w:firstLine="0" w:firstLineChars="0"/>
              <w:rPr>
                <w:sz w:val="22"/>
                <w:szCs w:val="22"/>
              </w:rPr>
            </w:pPr>
          </w:p>
        </w:tc>
        <w:tc>
          <w:tcPr>
            <w:tcW w:w="0" w:type="auto"/>
            <w:shd w:val="clear" w:color="auto" w:fill="auto"/>
            <w:vAlign w:val="center"/>
          </w:tcPr>
          <w:p>
            <w:pPr>
              <w:ind w:firstLine="0" w:firstLineChars="0"/>
              <w:rPr>
                <w:sz w:val="22"/>
                <w:szCs w:val="22"/>
              </w:rPr>
            </w:pPr>
            <w:r>
              <w:rPr>
                <w:rFonts w:hint="eastAsia"/>
                <w:sz w:val="22"/>
                <w:szCs w:val="22"/>
              </w:rPr>
              <w:t>万盛经开区关闭煤矿碰头岩涌水点矿井废水治理项目</w:t>
            </w:r>
          </w:p>
        </w:tc>
        <w:tc>
          <w:tcPr>
            <w:tcW w:w="0" w:type="auto"/>
            <w:shd w:val="clear" w:color="auto" w:fill="auto"/>
            <w:vAlign w:val="center"/>
          </w:tcPr>
          <w:p>
            <w:pPr>
              <w:ind w:firstLine="0" w:firstLineChars="0"/>
              <w:rPr>
                <w:sz w:val="22"/>
                <w:szCs w:val="22"/>
              </w:rPr>
            </w:pPr>
            <w:r>
              <w:rPr>
                <w:rFonts w:hint="eastAsia"/>
                <w:sz w:val="22"/>
                <w:szCs w:val="22"/>
              </w:rPr>
              <w:t>南桐镇</w:t>
            </w:r>
          </w:p>
        </w:tc>
        <w:tc>
          <w:tcPr>
            <w:tcW w:w="0" w:type="auto"/>
            <w:shd w:val="clear" w:color="auto" w:fill="auto"/>
            <w:vAlign w:val="center"/>
          </w:tcPr>
          <w:p>
            <w:pPr>
              <w:ind w:firstLine="0" w:firstLineChars="0"/>
              <w:rPr>
                <w:sz w:val="22"/>
                <w:szCs w:val="22"/>
              </w:rPr>
            </w:pPr>
            <w:r>
              <w:rPr>
                <w:rFonts w:hint="eastAsia"/>
                <w:sz w:val="22"/>
                <w:szCs w:val="22"/>
              </w:rPr>
              <w:t>修建一座1200m3/h的废水处理设施及附属设施，处理工艺为截水收集+调节池+中和曝气池+矿井水高效处理一体化设备+清水池，出水水质达到《煤炭工业污染物排放标准》GB20426-2006中表2要求。</w:t>
            </w:r>
          </w:p>
        </w:tc>
        <w:tc>
          <w:tcPr>
            <w:tcW w:w="0" w:type="auto"/>
            <w:shd w:val="clear" w:color="auto" w:fill="auto"/>
            <w:vAlign w:val="center"/>
          </w:tcPr>
          <w:p>
            <w:pPr>
              <w:ind w:firstLine="0" w:firstLineChars="0"/>
              <w:rPr>
                <w:sz w:val="22"/>
                <w:szCs w:val="22"/>
              </w:rPr>
            </w:pPr>
            <w:r>
              <w:rPr>
                <w:rFonts w:hint="eastAsia"/>
                <w:sz w:val="22"/>
                <w:szCs w:val="22"/>
              </w:rPr>
              <w:t>3</w:t>
            </w:r>
            <w:r>
              <w:rPr>
                <w:sz w:val="22"/>
                <w:szCs w:val="22"/>
              </w:rPr>
              <w:t>813.56</w:t>
            </w:r>
          </w:p>
        </w:tc>
        <w:tc>
          <w:tcPr>
            <w:tcW w:w="0" w:type="auto"/>
            <w:shd w:val="clear" w:color="auto" w:fill="auto"/>
            <w:vAlign w:val="center"/>
          </w:tcPr>
          <w:p>
            <w:pPr>
              <w:ind w:firstLine="0" w:firstLineChars="0"/>
              <w:rPr>
                <w:sz w:val="22"/>
                <w:szCs w:val="22"/>
              </w:rPr>
            </w:pPr>
            <w:r>
              <w:rPr>
                <w:rFonts w:hint="eastAsia"/>
                <w:sz w:val="22"/>
                <w:szCs w:val="22"/>
              </w:rPr>
              <w:t>规划</w:t>
            </w:r>
          </w:p>
        </w:tc>
        <w:tc>
          <w:tcPr>
            <w:tcW w:w="1229" w:type="dxa"/>
            <w:shd w:val="clear" w:color="auto" w:fill="auto"/>
            <w:vAlign w:val="center"/>
          </w:tcPr>
          <w:p>
            <w:pPr>
              <w:ind w:firstLine="0" w:firstLineChars="0"/>
              <w:rPr>
                <w:sz w:val="22"/>
                <w:szCs w:val="22"/>
              </w:rPr>
            </w:pPr>
            <w:r>
              <w:rPr>
                <w:rFonts w:hint="eastAsia"/>
                <w:sz w:val="22"/>
                <w:szCs w:val="22"/>
              </w:rPr>
              <w:t>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790" w:type="dxa"/>
            <w:shd w:val="clear" w:color="auto" w:fill="auto"/>
            <w:vAlign w:val="center"/>
          </w:tcPr>
          <w:p>
            <w:pPr>
              <w:ind w:firstLine="0" w:firstLineChars="0"/>
              <w:rPr>
                <w:sz w:val="22"/>
                <w:szCs w:val="22"/>
              </w:rPr>
            </w:pPr>
            <w:r>
              <w:rPr>
                <w:sz w:val="22"/>
                <w:szCs w:val="22"/>
              </w:rPr>
              <w:t>9</w:t>
            </w:r>
          </w:p>
        </w:tc>
        <w:tc>
          <w:tcPr>
            <w:tcW w:w="0" w:type="auto"/>
            <w:vMerge w:val="restart"/>
            <w:shd w:val="clear" w:color="auto" w:fill="auto"/>
            <w:noWrap/>
            <w:vAlign w:val="center"/>
          </w:tcPr>
          <w:p>
            <w:pPr>
              <w:ind w:firstLine="0" w:firstLineChars="0"/>
              <w:rPr>
                <w:sz w:val="22"/>
                <w:szCs w:val="22"/>
              </w:rPr>
            </w:pPr>
            <w:r>
              <w:rPr>
                <w:rFonts w:hint="eastAsia"/>
                <w:sz w:val="22"/>
                <w:szCs w:val="22"/>
              </w:rPr>
              <w:t>采煤沉陷区及矿山综合整治</w:t>
            </w:r>
          </w:p>
        </w:tc>
        <w:tc>
          <w:tcPr>
            <w:tcW w:w="0" w:type="auto"/>
            <w:shd w:val="clear" w:color="auto" w:fill="auto"/>
            <w:vAlign w:val="center"/>
          </w:tcPr>
          <w:p>
            <w:pPr>
              <w:ind w:firstLine="0" w:firstLineChars="0"/>
              <w:rPr>
                <w:sz w:val="22"/>
                <w:szCs w:val="22"/>
              </w:rPr>
            </w:pPr>
            <w:r>
              <w:rPr>
                <w:rFonts w:hint="eastAsia"/>
                <w:sz w:val="22"/>
                <w:szCs w:val="22"/>
              </w:rPr>
              <w:t>南桐镇采煤沉陷区生态生产修复</w:t>
            </w:r>
          </w:p>
        </w:tc>
        <w:tc>
          <w:tcPr>
            <w:tcW w:w="0" w:type="auto"/>
            <w:shd w:val="clear" w:color="auto" w:fill="auto"/>
            <w:vAlign w:val="center"/>
          </w:tcPr>
          <w:p>
            <w:pPr>
              <w:ind w:firstLine="0" w:firstLineChars="0"/>
              <w:rPr>
                <w:sz w:val="22"/>
                <w:szCs w:val="22"/>
              </w:rPr>
            </w:pPr>
            <w:r>
              <w:rPr>
                <w:rFonts w:hint="eastAsia"/>
                <w:sz w:val="22"/>
                <w:szCs w:val="22"/>
              </w:rPr>
              <w:t>南桐镇</w:t>
            </w:r>
          </w:p>
        </w:tc>
        <w:tc>
          <w:tcPr>
            <w:tcW w:w="0" w:type="auto"/>
            <w:shd w:val="clear" w:color="auto" w:fill="auto"/>
            <w:vAlign w:val="center"/>
          </w:tcPr>
          <w:p>
            <w:pPr>
              <w:ind w:firstLine="0" w:firstLineChars="0"/>
              <w:rPr>
                <w:sz w:val="22"/>
                <w:szCs w:val="22"/>
              </w:rPr>
            </w:pPr>
            <w:r>
              <w:rPr>
                <w:rFonts w:hint="eastAsia"/>
                <w:sz w:val="22"/>
                <w:szCs w:val="22"/>
              </w:rPr>
              <w:t>重点对温塘、营寨、民权、沙坝等渝黔复线沿线区域进行植被恢复，建设采煤沉陷治理示范区；提升新建南桐镇采煤沉陷区农业产业通道、水利等设施；对辖区工矿废弃地等复垦土壤进行改土，实施标准化基本农田建设。</w:t>
            </w:r>
          </w:p>
        </w:tc>
        <w:tc>
          <w:tcPr>
            <w:tcW w:w="0" w:type="auto"/>
            <w:shd w:val="clear" w:color="auto" w:fill="auto"/>
            <w:vAlign w:val="center"/>
          </w:tcPr>
          <w:p>
            <w:pPr>
              <w:ind w:firstLine="0" w:firstLineChars="0"/>
              <w:rPr>
                <w:sz w:val="22"/>
                <w:szCs w:val="22"/>
              </w:rPr>
            </w:pPr>
            <w:r>
              <w:rPr>
                <w:rFonts w:hint="eastAsia"/>
                <w:sz w:val="22"/>
                <w:szCs w:val="22"/>
              </w:rPr>
              <w:t>6000</w:t>
            </w:r>
          </w:p>
        </w:tc>
        <w:tc>
          <w:tcPr>
            <w:tcW w:w="0" w:type="auto"/>
            <w:shd w:val="clear" w:color="auto" w:fill="auto"/>
            <w:vAlign w:val="center"/>
          </w:tcPr>
          <w:p>
            <w:pPr>
              <w:ind w:firstLine="0" w:firstLineChars="0"/>
              <w:rPr>
                <w:sz w:val="22"/>
                <w:szCs w:val="22"/>
              </w:rPr>
            </w:pPr>
            <w:r>
              <w:rPr>
                <w:rFonts w:hint="eastAsia"/>
                <w:sz w:val="22"/>
                <w:szCs w:val="22"/>
                <w:lang w:eastAsia="zh-CN"/>
              </w:rPr>
              <w:t>“</w:t>
            </w:r>
            <w:r>
              <w:rPr>
                <w:rFonts w:hint="eastAsia"/>
                <w:sz w:val="22"/>
                <w:szCs w:val="22"/>
              </w:rPr>
              <w:t>十四五</w:t>
            </w:r>
            <w:r>
              <w:rPr>
                <w:rFonts w:hint="eastAsia"/>
                <w:sz w:val="22"/>
                <w:szCs w:val="22"/>
                <w:lang w:eastAsia="zh-CN"/>
              </w:rPr>
              <w:t>”</w:t>
            </w:r>
            <w:r>
              <w:rPr>
                <w:rFonts w:hint="eastAsia"/>
                <w:sz w:val="22"/>
                <w:szCs w:val="22"/>
              </w:rPr>
              <w:t>生态环境保护</w:t>
            </w:r>
          </w:p>
        </w:tc>
        <w:tc>
          <w:tcPr>
            <w:tcW w:w="1229" w:type="dxa"/>
            <w:shd w:val="clear" w:color="auto" w:fill="auto"/>
            <w:vAlign w:val="center"/>
          </w:tcPr>
          <w:p>
            <w:pPr>
              <w:ind w:firstLine="0" w:firstLineChars="0"/>
              <w:rPr>
                <w:sz w:val="22"/>
                <w:szCs w:val="22"/>
              </w:rPr>
            </w:pPr>
            <w:r>
              <w:rPr>
                <w:rFonts w:hint="eastAsia"/>
                <w:sz w:val="22"/>
                <w:szCs w:val="22"/>
              </w:rPr>
              <w:t>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790" w:type="dxa"/>
            <w:shd w:val="clear" w:color="auto" w:fill="auto"/>
            <w:vAlign w:val="center"/>
          </w:tcPr>
          <w:p>
            <w:pPr>
              <w:ind w:firstLine="0" w:firstLineChars="0"/>
              <w:rPr>
                <w:sz w:val="22"/>
                <w:szCs w:val="22"/>
              </w:rPr>
            </w:pPr>
            <w:r>
              <w:rPr>
                <w:sz w:val="22"/>
                <w:szCs w:val="22"/>
              </w:rPr>
              <w:t>10</w:t>
            </w:r>
          </w:p>
        </w:tc>
        <w:tc>
          <w:tcPr>
            <w:tcW w:w="0" w:type="auto"/>
            <w:vMerge w:val="continue"/>
            <w:vAlign w:val="center"/>
          </w:tcPr>
          <w:p>
            <w:pPr>
              <w:ind w:firstLine="0" w:firstLineChars="0"/>
              <w:rPr>
                <w:sz w:val="22"/>
                <w:szCs w:val="22"/>
              </w:rPr>
            </w:pPr>
          </w:p>
        </w:tc>
        <w:tc>
          <w:tcPr>
            <w:tcW w:w="0" w:type="auto"/>
            <w:shd w:val="clear" w:color="auto" w:fill="auto"/>
            <w:vAlign w:val="center"/>
          </w:tcPr>
          <w:p>
            <w:pPr>
              <w:ind w:firstLine="0" w:firstLineChars="0"/>
              <w:rPr>
                <w:sz w:val="22"/>
                <w:szCs w:val="22"/>
              </w:rPr>
            </w:pPr>
            <w:r>
              <w:rPr>
                <w:rFonts w:hint="eastAsia"/>
                <w:sz w:val="22"/>
                <w:szCs w:val="22"/>
              </w:rPr>
              <w:t>红岩-砚石台片区矿山生态修复</w:t>
            </w:r>
          </w:p>
        </w:tc>
        <w:tc>
          <w:tcPr>
            <w:tcW w:w="0" w:type="auto"/>
            <w:shd w:val="clear" w:color="auto" w:fill="auto"/>
            <w:vAlign w:val="center"/>
          </w:tcPr>
          <w:p>
            <w:pPr>
              <w:ind w:firstLine="0" w:firstLineChars="0"/>
              <w:rPr>
                <w:sz w:val="22"/>
                <w:szCs w:val="22"/>
              </w:rPr>
            </w:pPr>
          </w:p>
        </w:tc>
        <w:tc>
          <w:tcPr>
            <w:tcW w:w="0" w:type="auto"/>
            <w:shd w:val="clear" w:color="auto" w:fill="auto"/>
            <w:vAlign w:val="center"/>
          </w:tcPr>
          <w:p>
            <w:pPr>
              <w:ind w:firstLine="0" w:firstLineChars="0"/>
              <w:rPr>
                <w:sz w:val="22"/>
                <w:szCs w:val="22"/>
              </w:rPr>
            </w:pPr>
            <w:r>
              <w:rPr>
                <w:rFonts w:hint="eastAsia"/>
                <w:sz w:val="22"/>
                <w:szCs w:val="22"/>
              </w:rPr>
              <w:t>建设内容：对红岩-砚石台片区862.92亩矿山及土地开展植被恢复、土地整治、土地复垦，并结合矿山风貌打造观光体验式项目</w:t>
            </w:r>
          </w:p>
        </w:tc>
        <w:tc>
          <w:tcPr>
            <w:tcW w:w="0" w:type="auto"/>
            <w:shd w:val="clear" w:color="auto" w:fill="auto"/>
            <w:vAlign w:val="center"/>
          </w:tcPr>
          <w:p>
            <w:pPr>
              <w:ind w:firstLine="0" w:firstLineChars="0"/>
              <w:rPr>
                <w:sz w:val="22"/>
                <w:szCs w:val="22"/>
              </w:rPr>
            </w:pPr>
            <w:r>
              <w:rPr>
                <w:rFonts w:hint="eastAsia"/>
                <w:sz w:val="22"/>
                <w:szCs w:val="22"/>
              </w:rPr>
              <w:t>17000</w:t>
            </w:r>
          </w:p>
        </w:tc>
        <w:tc>
          <w:tcPr>
            <w:tcW w:w="0" w:type="auto"/>
            <w:shd w:val="clear" w:color="auto" w:fill="auto"/>
            <w:vAlign w:val="center"/>
          </w:tcPr>
          <w:p>
            <w:pPr>
              <w:ind w:firstLine="0" w:firstLineChars="0"/>
              <w:rPr>
                <w:sz w:val="22"/>
                <w:szCs w:val="22"/>
              </w:rPr>
            </w:pPr>
            <w:r>
              <w:rPr>
                <w:rFonts w:hint="eastAsia"/>
                <w:sz w:val="22"/>
                <w:szCs w:val="22"/>
              </w:rPr>
              <w:t>开投集团</w:t>
            </w:r>
          </w:p>
        </w:tc>
        <w:tc>
          <w:tcPr>
            <w:tcW w:w="1229" w:type="dxa"/>
            <w:shd w:val="clear" w:color="auto" w:fill="auto"/>
            <w:vAlign w:val="center"/>
          </w:tcPr>
          <w:p>
            <w:pPr>
              <w:ind w:firstLine="0" w:firstLineChars="0"/>
              <w:rPr>
                <w:sz w:val="22"/>
                <w:szCs w:val="22"/>
              </w:rPr>
            </w:pPr>
            <w:r>
              <w:rPr>
                <w:rFonts w:hint="eastAsia"/>
                <w:sz w:val="22"/>
                <w:szCs w:val="22"/>
              </w:rPr>
              <w:t>中远期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790" w:type="dxa"/>
            <w:shd w:val="clear" w:color="auto" w:fill="auto"/>
            <w:vAlign w:val="center"/>
          </w:tcPr>
          <w:p>
            <w:pPr>
              <w:ind w:firstLine="0" w:firstLineChars="0"/>
              <w:rPr>
                <w:sz w:val="22"/>
                <w:szCs w:val="22"/>
              </w:rPr>
            </w:pPr>
            <w:r>
              <w:rPr>
                <w:sz w:val="22"/>
                <w:szCs w:val="22"/>
              </w:rPr>
              <w:t>11</w:t>
            </w:r>
          </w:p>
        </w:tc>
        <w:tc>
          <w:tcPr>
            <w:tcW w:w="0" w:type="auto"/>
            <w:vMerge w:val="continue"/>
            <w:vAlign w:val="center"/>
          </w:tcPr>
          <w:p>
            <w:pPr>
              <w:ind w:firstLine="0" w:firstLineChars="0"/>
              <w:rPr>
                <w:sz w:val="22"/>
                <w:szCs w:val="22"/>
              </w:rPr>
            </w:pPr>
          </w:p>
        </w:tc>
        <w:tc>
          <w:tcPr>
            <w:tcW w:w="0" w:type="auto"/>
            <w:shd w:val="clear" w:color="auto" w:fill="auto"/>
            <w:vAlign w:val="center"/>
          </w:tcPr>
          <w:p>
            <w:pPr>
              <w:ind w:firstLine="0" w:firstLineChars="0"/>
              <w:rPr>
                <w:sz w:val="22"/>
                <w:szCs w:val="22"/>
              </w:rPr>
            </w:pPr>
            <w:r>
              <w:rPr>
                <w:rFonts w:hint="eastAsia"/>
                <w:sz w:val="22"/>
                <w:szCs w:val="22"/>
              </w:rPr>
              <w:t>矸石山地质灾害防治</w:t>
            </w:r>
          </w:p>
        </w:tc>
        <w:tc>
          <w:tcPr>
            <w:tcW w:w="0" w:type="auto"/>
            <w:shd w:val="clear" w:color="auto" w:fill="auto"/>
            <w:vAlign w:val="center"/>
          </w:tcPr>
          <w:p>
            <w:pPr>
              <w:ind w:firstLine="0" w:firstLineChars="0"/>
              <w:rPr>
                <w:sz w:val="22"/>
                <w:szCs w:val="22"/>
              </w:rPr>
            </w:pPr>
            <w:r>
              <w:rPr>
                <w:rFonts w:hint="eastAsia"/>
                <w:sz w:val="22"/>
                <w:szCs w:val="22"/>
              </w:rPr>
              <w:t>全域</w:t>
            </w:r>
          </w:p>
        </w:tc>
        <w:tc>
          <w:tcPr>
            <w:tcW w:w="0" w:type="auto"/>
            <w:shd w:val="clear" w:color="auto" w:fill="auto"/>
            <w:vAlign w:val="center"/>
          </w:tcPr>
          <w:p>
            <w:pPr>
              <w:ind w:firstLine="0" w:firstLineChars="0"/>
              <w:rPr>
                <w:sz w:val="22"/>
                <w:szCs w:val="22"/>
              </w:rPr>
            </w:pPr>
            <w:r>
              <w:rPr>
                <w:rFonts w:hint="eastAsia"/>
                <w:sz w:val="22"/>
                <w:szCs w:val="22"/>
              </w:rPr>
              <w:t>全域煤矿矸石山、采空区和采空影响区土地进行地质灾害防治</w:t>
            </w:r>
          </w:p>
        </w:tc>
        <w:tc>
          <w:tcPr>
            <w:tcW w:w="0" w:type="auto"/>
            <w:shd w:val="clear" w:color="auto" w:fill="auto"/>
            <w:vAlign w:val="center"/>
          </w:tcPr>
          <w:p>
            <w:pPr>
              <w:ind w:firstLine="0" w:firstLineChars="0"/>
              <w:rPr>
                <w:sz w:val="22"/>
                <w:szCs w:val="22"/>
              </w:rPr>
            </w:pPr>
            <w:r>
              <w:rPr>
                <w:rFonts w:hint="eastAsia"/>
                <w:sz w:val="22"/>
                <w:szCs w:val="22"/>
              </w:rPr>
              <w:t>12000</w:t>
            </w:r>
          </w:p>
        </w:tc>
        <w:tc>
          <w:tcPr>
            <w:tcW w:w="0" w:type="auto"/>
            <w:shd w:val="clear" w:color="auto" w:fill="auto"/>
            <w:vAlign w:val="center"/>
          </w:tcPr>
          <w:p>
            <w:pPr>
              <w:ind w:firstLine="0" w:firstLineChars="0"/>
              <w:rPr>
                <w:sz w:val="22"/>
                <w:szCs w:val="22"/>
              </w:rPr>
            </w:pPr>
            <w:r>
              <w:rPr>
                <w:rFonts w:hint="eastAsia"/>
                <w:sz w:val="22"/>
                <w:szCs w:val="22"/>
              </w:rPr>
              <w:t>开投集团</w:t>
            </w:r>
          </w:p>
        </w:tc>
        <w:tc>
          <w:tcPr>
            <w:tcW w:w="1229" w:type="dxa"/>
            <w:shd w:val="clear" w:color="auto" w:fill="auto"/>
            <w:vAlign w:val="center"/>
          </w:tcPr>
          <w:p>
            <w:pPr>
              <w:ind w:firstLine="0" w:firstLineChars="0"/>
              <w:rPr>
                <w:sz w:val="22"/>
                <w:szCs w:val="22"/>
              </w:rPr>
            </w:pPr>
            <w:r>
              <w:rPr>
                <w:rFonts w:hint="eastAsia"/>
                <w:sz w:val="22"/>
                <w:szCs w:val="22"/>
              </w:rPr>
              <w:t>中远期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790" w:type="dxa"/>
            <w:shd w:val="clear" w:color="auto" w:fill="auto"/>
            <w:vAlign w:val="center"/>
          </w:tcPr>
          <w:p>
            <w:pPr>
              <w:ind w:firstLine="0" w:firstLineChars="0"/>
              <w:rPr>
                <w:sz w:val="22"/>
                <w:szCs w:val="22"/>
              </w:rPr>
            </w:pPr>
            <w:r>
              <w:rPr>
                <w:sz w:val="22"/>
                <w:szCs w:val="22"/>
              </w:rPr>
              <w:t>12</w:t>
            </w:r>
          </w:p>
        </w:tc>
        <w:tc>
          <w:tcPr>
            <w:tcW w:w="0" w:type="auto"/>
            <w:vMerge w:val="continue"/>
            <w:vAlign w:val="center"/>
          </w:tcPr>
          <w:p>
            <w:pPr>
              <w:ind w:firstLine="0" w:firstLineChars="0"/>
              <w:rPr>
                <w:sz w:val="22"/>
                <w:szCs w:val="22"/>
              </w:rPr>
            </w:pPr>
          </w:p>
        </w:tc>
        <w:tc>
          <w:tcPr>
            <w:tcW w:w="0" w:type="auto"/>
            <w:shd w:val="clear" w:color="auto" w:fill="auto"/>
            <w:vAlign w:val="center"/>
          </w:tcPr>
          <w:p>
            <w:pPr>
              <w:ind w:firstLine="0" w:firstLineChars="0"/>
              <w:rPr>
                <w:sz w:val="22"/>
                <w:szCs w:val="22"/>
              </w:rPr>
            </w:pPr>
            <w:r>
              <w:rPr>
                <w:rFonts w:hint="eastAsia"/>
                <w:sz w:val="22"/>
                <w:szCs w:val="22"/>
              </w:rPr>
              <w:t>历史遗留关闭矿山生态修复</w:t>
            </w:r>
          </w:p>
        </w:tc>
        <w:tc>
          <w:tcPr>
            <w:tcW w:w="0" w:type="auto"/>
            <w:shd w:val="clear" w:color="auto" w:fill="auto"/>
            <w:vAlign w:val="center"/>
          </w:tcPr>
          <w:p>
            <w:pPr>
              <w:ind w:firstLine="0" w:firstLineChars="0"/>
              <w:rPr>
                <w:sz w:val="22"/>
                <w:szCs w:val="22"/>
              </w:rPr>
            </w:pPr>
            <w:r>
              <w:rPr>
                <w:rFonts w:hint="eastAsia"/>
                <w:sz w:val="22"/>
                <w:szCs w:val="22"/>
              </w:rPr>
              <w:t>全域</w:t>
            </w:r>
          </w:p>
        </w:tc>
        <w:tc>
          <w:tcPr>
            <w:tcW w:w="0" w:type="auto"/>
            <w:shd w:val="clear" w:color="auto" w:fill="auto"/>
            <w:vAlign w:val="center"/>
          </w:tcPr>
          <w:p>
            <w:pPr>
              <w:ind w:firstLine="0" w:firstLineChars="0"/>
              <w:rPr>
                <w:sz w:val="22"/>
                <w:szCs w:val="22"/>
              </w:rPr>
            </w:pPr>
            <w:r>
              <w:rPr>
                <w:rFonts w:hint="eastAsia"/>
                <w:sz w:val="22"/>
                <w:szCs w:val="22"/>
              </w:rPr>
              <w:t>涉及全域未治理历史遗留关闭矿山70处共计87.5公顷，建设用地再利用8.26公顷，主要为沙坝村煤矿、重庆中汇洗选厂、王家坝煤矿、渔田堡煤矿矸石山、南桐大石社搅拌站。</w:t>
            </w:r>
          </w:p>
        </w:tc>
        <w:tc>
          <w:tcPr>
            <w:tcW w:w="0" w:type="auto"/>
            <w:shd w:val="clear" w:color="auto" w:fill="auto"/>
            <w:vAlign w:val="center"/>
          </w:tcPr>
          <w:p>
            <w:pPr>
              <w:ind w:firstLine="0" w:firstLineChars="0"/>
              <w:rPr>
                <w:sz w:val="22"/>
                <w:szCs w:val="22"/>
              </w:rPr>
            </w:pPr>
            <w:r>
              <w:rPr>
                <w:rFonts w:hint="eastAsia"/>
                <w:sz w:val="22"/>
                <w:szCs w:val="22"/>
              </w:rPr>
              <w:t>7</w:t>
            </w:r>
            <w:r>
              <w:rPr>
                <w:sz w:val="22"/>
                <w:szCs w:val="22"/>
              </w:rPr>
              <w:t>000</w:t>
            </w:r>
          </w:p>
        </w:tc>
        <w:tc>
          <w:tcPr>
            <w:tcW w:w="0" w:type="auto"/>
            <w:shd w:val="clear" w:color="auto" w:fill="auto"/>
            <w:vAlign w:val="center"/>
          </w:tcPr>
          <w:p>
            <w:pPr>
              <w:ind w:firstLine="0" w:firstLineChars="0"/>
              <w:rPr>
                <w:sz w:val="22"/>
                <w:szCs w:val="22"/>
              </w:rPr>
            </w:pPr>
            <w:r>
              <w:rPr>
                <w:rFonts w:hint="eastAsia"/>
                <w:sz w:val="22"/>
                <w:szCs w:val="22"/>
              </w:rPr>
              <w:t>规划</w:t>
            </w:r>
          </w:p>
        </w:tc>
        <w:tc>
          <w:tcPr>
            <w:tcW w:w="1229" w:type="dxa"/>
            <w:shd w:val="clear" w:color="auto" w:fill="auto"/>
            <w:vAlign w:val="center"/>
          </w:tcPr>
          <w:p>
            <w:pPr>
              <w:ind w:firstLine="0" w:firstLineChars="0"/>
              <w:rPr>
                <w:sz w:val="22"/>
                <w:szCs w:val="22"/>
              </w:rPr>
            </w:pPr>
            <w:r>
              <w:rPr>
                <w:rFonts w:hint="eastAsia"/>
                <w:sz w:val="22"/>
                <w:szCs w:val="22"/>
              </w:rPr>
              <w:t>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790" w:type="dxa"/>
            <w:shd w:val="clear" w:color="auto" w:fill="auto"/>
            <w:vAlign w:val="center"/>
          </w:tcPr>
          <w:p>
            <w:pPr>
              <w:ind w:firstLine="0" w:firstLineChars="0"/>
              <w:rPr>
                <w:sz w:val="22"/>
                <w:szCs w:val="22"/>
              </w:rPr>
            </w:pPr>
            <w:r>
              <w:rPr>
                <w:rFonts w:hint="eastAsia"/>
                <w:sz w:val="22"/>
                <w:szCs w:val="22"/>
              </w:rPr>
              <w:t>13</w:t>
            </w:r>
          </w:p>
        </w:tc>
        <w:tc>
          <w:tcPr>
            <w:tcW w:w="0" w:type="auto"/>
            <w:vMerge w:val="continue"/>
            <w:vAlign w:val="center"/>
          </w:tcPr>
          <w:p>
            <w:pPr>
              <w:ind w:firstLine="0" w:firstLineChars="0"/>
              <w:rPr>
                <w:sz w:val="22"/>
                <w:szCs w:val="22"/>
              </w:rPr>
            </w:pPr>
          </w:p>
        </w:tc>
        <w:tc>
          <w:tcPr>
            <w:tcW w:w="0" w:type="auto"/>
            <w:shd w:val="clear" w:color="auto" w:fill="auto"/>
            <w:vAlign w:val="center"/>
          </w:tcPr>
          <w:p>
            <w:pPr>
              <w:ind w:firstLine="0" w:firstLineChars="0"/>
              <w:rPr>
                <w:sz w:val="22"/>
                <w:szCs w:val="22"/>
              </w:rPr>
            </w:pPr>
            <w:r>
              <w:rPr>
                <w:rFonts w:hint="eastAsia"/>
                <w:sz w:val="22"/>
                <w:szCs w:val="22"/>
              </w:rPr>
              <w:t>万盛采煤沉陷区矿山地质环境监测</w:t>
            </w:r>
          </w:p>
        </w:tc>
        <w:tc>
          <w:tcPr>
            <w:tcW w:w="0" w:type="auto"/>
            <w:shd w:val="clear" w:color="auto" w:fill="auto"/>
            <w:vAlign w:val="center"/>
          </w:tcPr>
          <w:p>
            <w:pPr>
              <w:ind w:firstLine="0" w:firstLineChars="0"/>
              <w:rPr>
                <w:sz w:val="22"/>
                <w:szCs w:val="22"/>
              </w:rPr>
            </w:pPr>
            <w:r>
              <w:rPr>
                <w:rFonts w:hint="eastAsia"/>
                <w:sz w:val="22"/>
                <w:szCs w:val="22"/>
              </w:rPr>
              <w:t>全域</w:t>
            </w:r>
          </w:p>
        </w:tc>
        <w:tc>
          <w:tcPr>
            <w:tcW w:w="0" w:type="auto"/>
            <w:shd w:val="clear" w:color="auto" w:fill="auto"/>
            <w:vAlign w:val="center"/>
          </w:tcPr>
          <w:p>
            <w:pPr>
              <w:ind w:firstLine="0" w:firstLineChars="0"/>
              <w:rPr>
                <w:sz w:val="22"/>
                <w:szCs w:val="22"/>
              </w:rPr>
            </w:pPr>
            <w:r>
              <w:rPr>
                <w:rFonts w:hint="eastAsia"/>
                <w:sz w:val="22"/>
                <w:szCs w:val="22"/>
              </w:rPr>
              <w:t>针对万盛采煤沉陷区99平方公里进行监测，南桐镇平山片区、鱼田堡东林街道城镇建设区以及丛林镇绿水村、青年堡堂湛家、关坝兴隆以及其他重点规划开发区作为重点监测区域，重点监测面积约50平方公里。以需求为导向，结合采沉区实际，主要监测用地安全和水环境安全两大内容，采用空－天－地－深多维立体监测手段和ＩＮＳＡＲ、光纤光栅等监测技术，实现自动化智能采集分析监测系统。</w:t>
            </w:r>
          </w:p>
        </w:tc>
        <w:tc>
          <w:tcPr>
            <w:tcW w:w="0" w:type="auto"/>
            <w:shd w:val="clear" w:color="auto" w:fill="auto"/>
            <w:vAlign w:val="center"/>
          </w:tcPr>
          <w:p>
            <w:pPr>
              <w:ind w:firstLine="0" w:firstLineChars="0"/>
              <w:rPr>
                <w:sz w:val="22"/>
                <w:szCs w:val="22"/>
              </w:rPr>
            </w:pPr>
            <w:r>
              <w:rPr>
                <w:rFonts w:hint="eastAsia"/>
                <w:sz w:val="22"/>
                <w:szCs w:val="22"/>
              </w:rPr>
              <w:t>3000</w:t>
            </w:r>
          </w:p>
        </w:tc>
        <w:tc>
          <w:tcPr>
            <w:tcW w:w="0" w:type="auto"/>
            <w:shd w:val="clear" w:color="auto" w:fill="auto"/>
            <w:vAlign w:val="center"/>
          </w:tcPr>
          <w:p>
            <w:pPr>
              <w:ind w:firstLine="0" w:firstLineChars="0"/>
              <w:rPr>
                <w:sz w:val="22"/>
                <w:szCs w:val="22"/>
              </w:rPr>
            </w:pPr>
            <w:r>
              <w:rPr>
                <w:rFonts w:hint="eastAsia"/>
                <w:sz w:val="22"/>
                <w:szCs w:val="22"/>
              </w:rPr>
              <w:t xml:space="preserve">规资局 </w:t>
            </w:r>
          </w:p>
        </w:tc>
        <w:tc>
          <w:tcPr>
            <w:tcW w:w="1229" w:type="dxa"/>
            <w:shd w:val="clear" w:color="auto" w:fill="auto"/>
            <w:vAlign w:val="center"/>
          </w:tcPr>
          <w:p>
            <w:pPr>
              <w:ind w:firstLine="0" w:firstLineChars="0"/>
              <w:rPr>
                <w:sz w:val="22"/>
                <w:szCs w:val="22"/>
              </w:rPr>
            </w:pPr>
            <w:r>
              <w:rPr>
                <w:rFonts w:hint="eastAsia"/>
                <w:sz w:val="22"/>
                <w:szCs w:val="22"/>
              </w:rPr>
              <w:t>中远期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790" w:type="dxa"/>
            <w:shd w:val="clear" w:color="auto" w:fill="auto"/>
            <w:vAlign w:val="center"/>
          </w:tcPr>
          <w:p>
            <w:pPr>
              <w:ind w:firstLine="0" w:firstLineChars="0"/>
              <w:rPr>
                <w:sz w:val="22"/>
                <w:szCs w:val="22"/>
              </w:rPr>
            </w:pPr>
            <w:r>
              <w:rPr>
                <w:sz w:val="22"/>
                <w:szCs w:val="22"/>
              </w:rPr>
              <w:t>14</w:t>
            </w:r>
          </w:p>
        </w:tc>
        <w:tc>
          <w:tcPr>
            <w:tcW w:w="0" w:type="auto"/>
            <w:vMerge w:val="restart"/>
            <w:shd w:val="clear" w:color="auto" w:fill="auto"/>
            <w:vAlign w:val="center"/>
          </w:tcPr>
          <w:p>
            <w:pPr>
              <w:ind w:firstLine="0" w:firstLineChars="0"/>
              <w:rPr>
                <w:sz w:val="22"/>
                <w:szCs w:val="22"/>
              </w:rPr>
            </w:pPr>
            <w:r>
              <w:rPr>
                <w:rFonts w:hint="eastAsia"/>
                <w:sz w:val="22"/>
                <w:szCs w:val="22"/>
              </w:rPr>
              <w:t>人居环境品质提升</w:t>
            </w:r>
          </w:p>
        </w:tc>
        <w:tc>
          <w:tcPr>
            <w:tcW w:w="0" w:type="auto"/>
            <w:shd w:val="clear" w:color="auto" w:fill="auto"/>
            <w:vAlign w:val="center"/>
          </w:tcPr>
          <w:p>
            <w:pPr>
              <w:ind w:firstLine="0" w:firstLineChars="0"/>
              <w:rPr>
                <w:sz w:val="22"/>
                <w:szCs w:val="22"/>
              </w:rPr>
            </w:pPr>
            <w:r>
              <w:rPr>
                <w:rFonts w:hint="eastAsia"/>
                <w:sz w:val="22"/>
                <w:szCs w:val="22"/>
              </w:rPr>
              <w:t>万盛八角度假区群众公园</w:t>
            </w:r>
          </w:p>
        </w:tc>
        <w:tc>
          <w:tcPr>
            <w:tcW w:w="0" w:type="auto"/>
            <w:shd w:val="clear" w:color="auto" w:fill="auto"/>
            <w:vAlign w:val="center"/>
          </w:tcPr>
          <w:p>
            <w:pPr>
              <w:ind w:firstLine="0" w:firstLineChars="0"/>
              <w:rPr>
                <w:sz w:val="22"/>
                <w:szCs w:val="22"/>
              </w:rPr>
            </w:pPr>
            <w:r>
              <w:rPr>
                <w:rFonts w:hint="eastAsia"/>
                <w:sz w:val="22"/>
                <w:szCs w:val="22"/>
              </w:rPr>
              <w:t>黑山镇</w:t>
            </w:r>
          </w:p>
        </w:tc>
        <w:tc>
          <w:tcPr>
            <w:tcW w:w="0" w:type="auto"/>
            <w:shd w:val="clear" w:color="auto" w:fill="auto"/>
            <w:vAlign w:val="center"/>
          </w:tcPr>
          <w:p>
            <w:pPr>
              <w:ind w:firstLine="0" w:firstLineChars="0"/>
              <w:rPr>
                <w:sz w:val="22"/>
                <w:szCs w:val="22"/>
              </w:rPr>
            </w:pPr>
            <w:r>
              <w:rPr>
                <w:rFonts w:hint="eastAsia"/>
                <w:sz w:val="22"/>
                <w:szCs w:val="22"/>
              </w:rPr>
              <w:t>占地面积11548</w:t>
            </w:r>
            <w:r>
              <w:rPr>
                <w:rFonts w:hint="eastAsia" w:ascii="Batang" w:hAnsi="Batang" w:eastAsia="Batang" w:cs="Batang"/>
                <w:sz w:val="22"/>
                <w:szCs w:val="22"/>
              </w:rPr>
              <w:t>㎡</w:t>
            </w:r>
            <w:r>
              <w:rPr>
                <w:rFonts w:hint="eastAsia"/>
                <w:sz w:val="22"/>
                <w:szCs w:val="22"/>
              </w:rPr>
              <w:t>，建设乒乓球场、篮球场、羽毛球场、门球场、气排球等各类球场设施8块，面积约1000</w:t>
            </w:r>
            <w:r>
              <w:rPr>
                <w:rFonts w:hint="eastAsia" w:ascii="Batang" w:hAnsi="Batang" w:eastAsia="Batang" w:cs="Batang"/>
                <w:sz w:val="22"/>
                <w:szCs w:val="22"/>
              </w:rPr>
              <w:t>㎡</w:t>
            </w:r>
            <w:r>
              <w:rPr>
                <w:rFonts w:hint="eastAsia"/>
                <w:sz w:val="22"/>
                <w:szCs w:val="22"/>
              </w:rPr>
              <w:t>；新建登山步道约3公里；建设公共厕所两座、景观亭1座；安装排污管网1.2公里；公园照明安装、自来水供水管道铺设1.2</w:t>
            </w:r>
            <w:r>
              <w:rPr>
                <w:rFonts w:hint="eastAsia"/>
                <w:sz w:val="22"/>
                <w:szCs w:val="22"/>
                <w:lang w:val="en-US" w:eastAsia="zh-CN"/>
              </w:rPr>
              <w:t>k</w:t>
            </w:r>
            <w:r>
              <w:rPr>
                <w:rFonts w:hint="eastAsia"/>
                <w:sz w:val="22"/>
                <w:szCs w:val="22"/>
              </w:rPr>
              <w:t>m，新设10处直饮水点、健身平台3处共计面积1200</w:t>
            </w:r>
            <w:r>
              <w:rPr>
                <w:rFonts w:hint="eastAsia" w:ascii="Batang" w:hAnsi="Batang" w:eastAsia="Batang" w:cs="Batang"/>
                <w:sz w:val="22"/>
                <w:szCs w:val="22"/>
              </w:rPr>
              <w:t>㎡</w:t>
            </w:r>
            <w:r>
              <w:rPr>
                <w:rFonts w:hint="eastAsia"/>
                <w:sz w:val="22"/>
                <w:szCs w:val="22"/>
              </w:rPr>
              <w:t>。轮滑场地一处700</w:t>
            </w:r>
            <w:r>
              <w:rPr>
                <w:rFonts w:hint="eastAsia" w:ascii="Batang" w:hAnsi="Batang" w:eastAsia="Batang" w:cs="Batang"/>
                <w:sz w:val="22"/>
                <w:szCs w:val="22"/>
              </w:rPr>
              <w:t>㎡</w:t>
            </w:r>
            <w:r>
              <w:rPr>
                <w:rFonts w:hint="eastAsia" w:cs="Batang" w:asciiTheme="minorEastAsia" w:hAnsiTheme="minorEastAsia" w:eastAsiaTheme="minorEastAsia"/>
                <w:sz w:val="22"/>
                <w:szCs w:val="22"/>
              </w:rPr>
              <w:t>。</w:t>
            </w:r>
          </w:p>
        </w:tc>
        <w:tc>
          <w:tcPr>
            <w:tcW w:w="0" w:type="auto"/>
            <w:shd w:val="clear" w:color="auto" w:fill="auto"/>
            <w:vAlign w:val="center"/>
          </w:tcPr>
          <w:p>
            <w:pPr>
              <w:ind w:firstLine="0" w:firstLineChars="0"/>
              <w:rPr>
                <w:sz w:val="22"/>
                <w:szCs w:val="22"/>
              </w:rPr>
            </w:pPr>
            <w:r>
              <w:rPr>
                <w:rFonts w:hint="eastAsia"/>
                <w:sz w:val="22"/>
                <w:szCs w:val="22"/>
              </w:rPr>
              <w:t>2800</w:t>
            </w:r>
          </w:p>
        </w:tc>
        <w:tc>
          <w:tcPr>
            <w:tcW w:w="0" w:type="auto"/>
            <w:shd w:val="clear" w:color="auto" w:fill="auto"/>
            <w:vAlign w:val="center"/>
          </w:tcPr>
          <w:p>
            <w:pPr>
              <w:ind w:firstLine="0" w:firstLineChars="0"/>
              <w:rPr>
                <w:sz w:val="22"/>
                <w:szCs w:val="22"/>
              </w:rPr>
            </w:pPr>
            <w:r>
              <w:rPr>
                <w:rFonts w:hint="eastAsia"/>
                <w:sz w:val="22"/>
                <w:szCs w:val="22"/>
              </w:rPr>
              <w:t>开投集团</w:t>
            </w:r>
          </w:p>
        </w:tc>
        <w:tc>
          <w:tcPr>
            <w:tcW w:w="1229" w:type="dxa"/>
            <w:shd w:val="clear" w:color="auto" w:fill="auto"/>
            <w:vAlign w:val="center"/>
          </w:tcPr>
          <w:p>
            <w:pPr>
              <w:ind w:firstLine="0" w:firstLineChars="0"/>
              <w:rPr>
                <w:sz w:val="22"/>
                <w:szCs w:val="22"/>
              </w:rPr>
            </w:pPr>
            <w:r>
              <w:rPr>
                <w:rFonts w:hint="eastAsia"/>
                <w:sz w:val="22"/>
                <w:szCs w:val="22"/>
              </w:rPr>
              <w:t>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790" w:type="dxa"/>
            <w:shd w:val="clear" w:color="auto" w:fill="auto"/>
            <w:vAlign w:val="center"/>
          </w:tcPr>
          <w:p>
            <w:pPr>
              <w:ind w:firstLine="0" w:firstLineChars="0"/>
              <w:rPr>
                <w:sz w:val="22"/>
                <w:szCs w:val="22"/>
              </w:rPr>
            </w:pPr>
            <w:r>
              <w:rPr>
                <w:sz w:val="22"/>
                <w:szCs w:val="22"/>
              </w:rPr>
              <w:t>15</w:t>
            </w:r>
          </w:p>
        </w:tc>
        <w:tc>
          <w:tcPr>
            <w:tcW w:w="0" w:type="auto"/>
            <w:vMerge w:val="continue"/>
            <w:vAlign w:val="center"/>
          </w:tcPr>
          <w:p>
            <w:pPr>
              <w:ind w:firstLine="0" w:firstLineChars="0"/>
              <w:rPr>
                <w:sz w:val="22"/>
                <w:szCs w:val="22"/>
              </w:rPr>
            </w:pPr>
          </w:p>
        </w:tc>
        <w:tc>
          <w:tcPr>
            <w:tcW w:w="0" w:type="auto"/>
            <w:shd w:val="clear" w:color="auto" w:fill="auto"/>
            <w:vAlign w:val="center"/>
          </w:tcPr>
          <w:p>
            <w:pPr>
              <w:ind w:firstLine="0" w:firstLineChars="0"/>
              <w:rPr>
                <w:sz w:val="22"/>
                <w:szCs w:val="22"/>
              </w:rPr>
            </w:pPr>
            <w:r>
              <w:rPr>
                <w:rFonts w:hint="eastAsia"/>
                <w:sz w:val="22"/>
                <w:szCs w:val="22"/>
              </w:rPr>
              <w:t>绿地建设与管控项目</w:t>
            </w:r>
          </w:p>
        </w:tc>
        <w:tc>
          <w:tcPr>
            <w:tcW w:w="0" w:type="auto"/>
            <w:shd w:val="clear" w:color="auto" w:fill="auto"/>
            <w:vAlign w:val="center"/>
          </w:tcPr>
          <w:p>
            <w:pPr>
              <w:ind w:firstLine="0" w:firstLineChars="0"/>
              <w:rPr>
                <w:sz w:val="22"/>
                <w:szCs w:val="22"/>
              </w:rPr>
            </w:pPr>
            <w:r>
              <w:rPr>
                <w:rFonts w:hint="eastAsia"/>
                <w:sz w:val="22"/>
                <w:szCs w:val="22"/>
              </w:rPr>
              <w:t>青年镇</w:t>
            </w:r>
          </w:p>
        </w:tc>
        <w:tc>
          <w:tcPr>
            <w:tcW w:w="0" w:type="auto"/>
            <w:shd w:val="clear" w:color="auto" w:fill="auto"/>
            <w:vAlign w:val="center"/>
          </w:tcPr>
          <w:p>
            <w:pPr>
              <w:ind w:firstLine="0" w:firstLineChars="0"/>
              <w:rPr>
                <w:sz w:val="22"/>
                <w:szCs w:val="22"/>
              </w:rPr>
            </w:pPr>
            <w:r>
              <w:rPr>
                <w:rFonts w:hint="eastAsia"/>
                <w:sz w:val="22"/>
                <w:szCs w:val="22"/>
              </w:rPr>
              <w:t>完成国家园林城市创建规划；</w:t>
            </w:r>
            <w:r>
              <w:rPr>
                <w:sz w:val="22"/>
                <w:szCs w:val="22"/>
              </w:rPr>
              <w:t>3000亩堡堂文化公园开展生态修复、生态绿化提升工作</w:t>
            </w:r>
            <w:r>
              <w:rPr>
                <w:rFonts w:hint="eastAsia"/>
                <w:sz w:val="22"/>
                <w:szCs w:val="22"/>
              </w:rPr>
              <w:t>；对整个青年镇已完成绿化进行日常管护。</w:t>
            </w:r>
          </w:p>
        </w:tc>
        <w:tc>
          <w:tcPr>
            <w:tcW w:w="0" w:type="auto"/>
            <w:shd w:val="clear" w:color="auto" w:fill="auto"/>
            <w:vAlign w:val="center"/>
          </w:tcPr>
          <w:p>
            <w:pPr>
              <w:ind w:firstLine="0" w:firstLineChars="0"/>
              <w:rPr>
                <w:sz w:val="22"/>
                <w:szCs w:val="22"/>
              </w:rPr>
            </w:pPr>
            <w:r>
              <w:rPr>
                <w:rFonts w:hint="eastAsia"/>
                <w:sz w:val="22"/>
                <w:szCs w:val="22"/>
              </w:rPr>
              <w:t>5000</w:t>
            </w:r>
          </w:p>
        </w:tc>
        <w:tc>
          <w:tcPr>
            <w:tcW w:w="0" w:type="auto"/>
            <w:shd w:val="clear" w:color="auto" w:fill="auto"/>
            <w:vAlign w:val="center"/>
          </w:tcPr>
          <w:p>
            <w:pPr>
              <w:ind w:firstLine="0" w:firstLineChars="0"/>
              <w:rPr>
                <w:sz w:val="22"/>
                <w:szCs w:val="22"/>
              </w:rPr>
            </w:pPr>
            <w:r>
              <w:rPr>
                <w:rFonts w:hint="eastAsia"/>
                <w:sz w:val="22"/>
                <w:szCs w:val="22"/>
                <w:lang w:eastAsia="zh-CN"/>
              </w:rPr>
              <w:t>“</w:t>
            </w:r>
            <w:r>
              <w:rPr>
                <w:rFonts w:hint="eastAsia"/>
                <w:sz w:val="22"/>
                <w:szCs w:val="22"/>
              </w:rPr>
              <w:t>十四五</w:t>
            </w:r>
            <w:r>
              <w:rPr>
                <w:rFonts w:hint="eastAsia"/>
                <w:sz w:val="22"/>
                <w:szCs w:val="22"/>
                <w:lang w:eastAsia="zh-CN"/>
              </w:rPr>
              <w:t>”</w:t>
            </w:r>
            <w:r>
              <w:rPr>
                <w:rFonts w:hint="eastAsia"/>
                <w:sz w:val="22"/>
                <w:szCs w:val="22"/>
              </w:rPr>
              <w:t>生态环境保护</w:t>
            </w:r>
          </w:p>
        </w:tc>
        <w:tc>
          <w:tcPr>
            <w:tcW w:w="1229" w:type="dxa"/>
            <w:shd w:val="clear" w:color="auto" w:fill="auto"/>
            <w:vAlign w:val="center"/>
          </w:tcPr>
          <w:p>
            <w:pPr>
              <w:ind w:firstLine="0" w:firstLineChars="0"/>
              <w:rPr>
                <w:sz w:val="22"/>
                <w:szCs w:val="22"/>
              </w:rPr>
            </w:pPr>
            <w:r>
              <w:rPr>
                <w:rFonts w:hint="eastAsia"/>
                <w:sz w:val="22"/>
                <w:szCs w:val="22"/>
              </w:rPr>
              <w:t>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90" w:type="dxa"/>
            <w:shd w:val="clear" w:color="auto" w:fill="auto"/>
            <w:vAlign w:val="center"/>
          </w:tcPr>
          <w:p>
            <w:pPr>
              <w:ind w:firstLine="0" w:firstLineChars="0"/>
              <w:rPr>
                <w:sz w:val="22"/>
                <w:szCs w:val="22"/>
              </w:rPr>
            </w:pPr>
            <w:r>
              <w:rPr>
                <w:sz w:val="22"/>
                <w:szCs w:val="22"/>
              </w:rPr>
              <w:t>16</w:t>
            </w:r>
          </w:p>
        </w:tc>
        <w:tc>
          <w:tcPr>
            <w:tcW w:w="0" w:type="auto"/>
            <w:vMerge w:val="continue"/>
            <w:vAlign w:val="center"/>
          </w:tcPr>
          <w:p>
            <w:pPr>
              <w:ind w:firstLine="0" w:firstLineChars="0"/>
              <w:rPr>
                <w:sz w:val="22"/>
                <w:szCs w:val="22"/>
              </w:rPr>
            </w:pPr>
          </w:p>
        </w:tc>
        <w:tc>
          <w:tcPr>
            <w:tcW w:w="0" w:type="auto"/>
            <w:shd w:val="clear" w:color="auto" w:fill="auto"/>
            <w:vAlign w:val="center"/>
          </w:tcPr>
          <w:p>
            <w:pPr>
              <w:ind w:firstLine="0" w:firstLineChars="0"/>
              <w:rPr>
                <w:sz w:val="22"/>
                <w:szCs w:val="22"/>
              </w:rPr>
            </w:pPr>
            <w:r>
              <w:rPr>
                <w:rFonts w:hint="eastAsia"/>
                <w:sz w:val="22"/>
                <w:szCs w:val="22"/>
              </w:rPr>
              <w:t>渝黔复线两侧生态修复与环境整治</w:t>
            </w:r>
          </w:p>
        </w:tc>
        <w:tc>
          <w:tcPr>
            <w:tcW w:w="0" w:type="auto"/>
            <w:shd w:val="clear" w:color="auto" w:fill="auto"/>
            <w:vAlign w:val="center"/>
          </w:tcPr>
          <w:p>
            <w:pPr>
              <w:ind w:firstLine="0" w:firstLineChars="0"/>
              <w:rPr>
                <w:sz w:val="22"/>
                <w:szCs w:val="22"/>
              </w:rPr>
            </w:pPr>
          </w:p>
        </w:tc>
        <w:tc>
          <w:tcPr>
            <w:tcW w:w="0" w:type="auto"/>
            <w:shd w:val="clear" w:color="auto" w:fill="auto"/>
            <w:vAlign w:val="center"/>
          </w:tcPr>
          <w:p>
            <w:pPr>
              <w:ind w:firstLine="0" w:firstLineChars="0"/>
              <w:rPr>
                <w:sz w:val="22"/>
                <w:szCs w:val="22"/>
              </w:rPr>
            </w:pPr>
            <w:r>
              <w:rPr>
                <w:rFonts w:hint="eastAsia"/>
                <w:sz w:val="22"/>
                <w:szCs w:val="22"/>
              </w:rPr>
              <w:t>对南桐、关坝、青年渝黔复线两侧进行生态植被修复及周边生态修护。主要包括：修建人行便道、山洪沟等基础设施工程；渝黔复线两侧及周边的生态植被修复。</w:t>
            </w:r>
          </w:p>
        </w:tc>
        <w:tc>
          <w:tcPr>
            <w:tcW w:w="0" w:type="auto"/>
            <w:shd w:val="clear" w:color="auto" w:fill="auto"/>
            <w:vAlign w:val="center"/>
          </w:tcPr>
          <w:p>
            <w:pPr>
              <w:ind w:firstLine="0" w:firstLineChars="0"/>
              <w:rPr>
                <w:sz w:val="22"/>
                <w:szCs w:val="22"/>
              </w:rPr>
            </w:pPr>
            <w:r>
              <w:rPr>
                <w:rFonts w:hint="eastAsia"/>
                <w:sz w:val="22"/>
                <w:szCs w:val="22"/>
              </w:rPr>
              <w:t>2000</w:t>
            </w:r>
          </w:p>
        </w:tc>
        <w:tc>
          <w:tcPr>
            <w:tcW w:w="0" w:type="auto"/>
            <w:shd w:val="clear" w:color="auto" w:fill="auto"/>
            <w:vAlign w:val="center"/>
          </w:tcPr>
          <w:p>
            <w:pPr>
              <w:ind w:firstLine="0" w:firstLineChars="0"/>
              <w:rPr>
                <w:sz w:val="22"/>
                <w:szCs w:val="22"/>
              </w:rPr>
            </w:pPr>
            <w:r>
              <w:rPr>
                <w:rFonts w:hint="eastAsia"/>
                <w:sz w:val="22"/>
                <w:szCs w:val="22"/>
              </w:rPr>
              <w:t>十四五生态环境保护</w:t>
            </w:r>
          </w:p>
        </w:tc>
        <w:tc>
          <w:tcPr>
            <w:tcW w:w="1229" w:type="dxa"/>
            <w:shd w:val="clear" w:color="auto" w:fill="auto"/>
            <w:vAlign w:val="center"/>
          </w:tcPr>
          <w:p>
            <w:pPr>
              <w:ind w:firstLine="0" w:firstLineChars="0"/>
              <w:rPr>
                <w:sz w:val="22"/>
                <w:szCs w:val="22"/>
              </w:rPr>
            </w:pPr>
            <w:r>
              <w:rPr>
                <w:rFonts w:hint="eastAsia"/>
                <w:sz w:val="22"/>
                <w:szCs w:val="22"/>
              </w:rPr>
              <w:t>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790" w:type="dxa"/>
            <w:shd w:val="clear" w:color="auto" w:fill="auto"/>
            <w:vAlign w:val="center"/>
          </w:tcPr>
          <w:p>
            <w:pPr>
              <w:ind w:firstLine="0" w:firstLineChars="0"/>
              <w:rPr>
                <w:sz w:val="22"/>
                <w:szCs w:val="22"/>
              </w:rPr>
            </w:pPr>
            <w:r>
              <w:rPr>
                <w:sz w:val="22"/>
                <w:szCs w:val="22"/>
              </w:rPr>
              <w:t>17</w:t>
            </w:r>
          </w:p>
        </w:tc>
        <w:tc>
          <w:tcPr>
            <w:tcW w:w="0" w:type="auto"/>
            <w:vMerge w:val="continue"/>
            <w:vAlign w:val="center"/>
          </w:tcPr>
          <w:p>
            <w:pPr>
              <w:ind w:firstLine="0" w:firstLineChars="0"/>
              <w:rPr>
                <w:sz w:val="22"/>
                <w:szCs w:val="22"/>
              </w:rPr>
            </w:pPr>
          </w:p>
        </w:tc>
        <w:tc>
          <w:tcPr>
            <w:tcW w:w="0" w:type="auto"/>
            <w:shd w:val="clear" w:color="auto" w:fill="auto"/>
            <w:vAlign w:val="center"/>
          </w:tcPr>
          <w:p>
            <w:pPr>
              <w:ind w:firstLine="0" w:firstLineChars="0"/>
              <w:rPr>
                <w:sz w:val="22"/>
                <w:szCs w:val="22"/>
              </w:rPr>
            </w:pPr>
            <w:r>
              <w:rPr>
                <w:rFonts w:hint="eastAsia"/>
                <w:sz w:val="22"/>
                <w:szCs w:val="22"/>
              </w:rPr>
              <w:t>万盛水环境综合治理 PPP 项目</w:t>
            </w:r>
          </w:p>
        </w:tc>
        <w:tc>
          <w:tcPr>
            <w:tcW w:w="0" w:type="auto"/>
            <w:shd w:val="clear" w:color="auto" w:fill="auto"/>
            <w:vAlign w:val="center"/>
          </w:tcPr>
          <w:p>
            <w:pPr>
              <w:ind w:firstLine="0" w:firstLineChars="0"/>
              <w:rPr>
                <w:sz w:val="22"/>
                <w:szCs w:val="22"/>
              </w:rPr>
            </w:pPr>
            <w:r>
              <w:rPr>
                <w:rFonts w:hint="eastAsia"/>
                <w:sz w:val="22"/>
                <w:szCs w:val="22"/>
              </w:rPr>
              <w:t>全域</w:t>
            </w:r>
          </w:p>
        </w:tc>
        <w:tc>
          <w:tcPr>
            <w:tcW w:w="0" w:type="auto"/>
            <w:shd w:val="clear" w:color="auto" w:fill="auto"/>
            <w:vAlign w:val="center"/>
          </w:tcPr>
          <w:p>
            <w:pPr>
              <w:ind w:firstLine="0" w:firstLineChars="0"/>
              <w:rPr>
                <w:sz w:val="22"/>
                <w:szCs w:val="22"/>
              </w:rPr>
            </w:pPr>
            <w:r>
              <w:rPr>
                <w:rFonts w:hint="eastAsia"/>
                <w:sz w:val="22"/>
                <w:szCs w:val="22"/>
              </w:rPr>
              <w:t>污水管网完善及雨污分流改造工程、污水处理厂新建及技术改造工程、给水管网工程、智慧水务等四大工程。</w:t>
            </w:r>
          </w:p>
        </w:tc>
        <w:tc>
          <w:tcPr>
            <w:tcW w:w="0" w:type="auto"/>
            <w:shd w:val="clear" w:color="auto" w:fill="auto"/>
            <w:vAlign w:val="center"/>
          </w:tcPr>
          <w:p>
            <w:pPr>
              <w:ind w:firstLine="0" w:firstLineChars="0"/>
              <w:rPr>
                <w:sz w:val="22"/>
                <w:szCs w:val="22"/>
              </w:rPr>
            </w:pPr>
            <w:r>
              <w:rPr>
                <w:rFonts w:hint="eastAsia"/>
                <w:sz w:val="22"/>
                <w:szCs w:val="22"/>
              </w:rPr>
              <w:t>139817.25</w:t>
            </w:r>
          </w:p>
        </w:tc>
        <w:tc>
          <w:tcPr>
            <w:tcW w:w="0" w:type="auto"/>
            <w:shd w:val="clear" w:color="auto" w:fill="auto"/>
            <w:vAlign w:val="center"/>
          </w:tcPr>
          <w:p>
            <w:pPr>
              <w:ind w:firstLine="0" w:firstLineChars="0"/>
              <w:rPr>
                <w:sz w:val="22"/>
                <w:szCs w:val="22"/>
              </w:rPr>
            </w:pPr>
            <w:r>
              <w:rPr>
                <w:rFonts w:hint="eastAsia"/>
                <w:sz w:val="22"/>
                <w:szCs w:val="22"/>
              </w:rPr>
              <w:t>PPP项目</w:t>
            </w:r>
          </w:p>
        </w:tc>
        <w:tc>
          <w:tcPr>
            <w:tcW w:w="1229" w:type="dxa"/>
            <w:shd w:val="clear" w:color="auto" w:fill="auto"/>
            <w:vAlign w:val="center"/>
          </w:tcPr>
          <w:p>
            <w:pPr>
              <w:ind w:firstLine="0" w:firstLineChars="0"/>
              <w:rPr>
                <w:sz w:val="22"/>
                <w:szCs w:val="22"/>
              </w:rPr>
            </w:pPr>
            <w:r>
              <w:rPr>
                <w:rFonts w:hint="eastAsia"/>
                <w:sz w:val="22"/>
                <w:szCs w:val="22"/>
              </w:rPr>
              <w:t>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790" w:type="dxa"/>
            <w:shd w:val="clear" w:color="auto" w:fill="auto"/>
            <w:vAlign w:val="center"/>
          </w:tcPr>
          <w:p>
            <w:pPr>
              <w:ind w:firstLine="0" w:firstLineChars="0"/>
              <w:rPr>
                <w:sz w:val="22"/>
                <w:szCs w:val="22"/>
              </w:rPr>
            </w:pPr>
            <w:r>
              <w:rPr>
                <w:sz w:val="22"/>
                <w:szCs w:val="22"/>
              </w:rPr>
              <w:t>18</w:t>
            </w:r>
          </w:p>
        </w:tc>
        <w:tc>
          <w:tcPr>
            <w:tcW w:w="0" w:type="auto"/>
            <w:vMerge w:val="continue"/>
            <w:vAlign w:val="center"/>
          </w:tcPr>
          <w:p>
            <w:pPr>
              <w:ind w:firstLine="0" w:firstLineChars="0"/>
              <w:rPr>
                <w:sz w:val="22"/>
                <w:szCs w:val="22"/>
              </w:rPr>
            </w:pPr>
          </w:p>
        </w:tc>
        <w:tc>
          <w:tcPr>
            <w:tcW w:w="0" w:type="auto"/>
            <w:shd w:val="clear" w:color="auto" w:fill="auto"/>
            <w:vAlign w:val="center"/>
          </w:tcPr>
          <w:p>
            <w:pPr>
              <w:ind w:firstLine="0" w:firstLineChars="0"/>
              <w:rPr>
                <w:sz w:val="22"/>
                <w:szCs w:val="22"/>
              </w:rPr>
            </w:pPr>
            <w:r>
              <w:rPr>
                <w:rFonts w:hint="eastAsia"/>
                <w:sz w:val="22"/>
                <w:szCs w:val="22"/>
              </w:rPr>
              <w:t>万盛公园</w:t>
            </w:r>
          </w:p>
        </w:tc>
        <w:tc>
          <w:tcPr>
            <w:tcW w:w="0" w:type="auto"/>
            <w:shd w:val="clear" w:color="auto" w:fill="auto"/>
            <w:vAlign w:val="center"/>
          </w:tcPr>
          <w:p>
            <w:pPr>
              <w:ind w:firstLine="0" w:firstLineChars="0"/>
              <w:rPr>
                <w:sz w:val="22"/>
                <w:szCs w:val="22"/>
              </w:rPr>
            </w:pPr>
            <w:r>
              <w:rPr>
                <w:rFonts w:hint="eastAsia"/>
                <w:sz w:val="22"/>
                <w:szCs w:val="22"/>
              </w:rPr>
              <w:t>万东镇</w:t>
            </w:r>
          </w:p>
        </w:tc>
        <w:tc>
          <w:tcPr>
            <w:tcW w:w="0" w:type="auto"/>
            <w:shd w:val="clear" w:color="auto" w:fill="auto"/>
            <w:vAlign w:val="center"/>
          </w:tcPr>
          <w:p>
            <w:pPr>
              <w:ind w:firstLine="0" w:firstLineChars="0"/>
              <w:rPr>
                <w:sz w:val="22"/>
                <w:szCs w:val="22"/>
              </w:rPr>
            </w:pPr>
            <w:r>
              <w:rPr>
                <w:rFonts w:hint="eastAsia"/>
                <w:sz w:val="22"/>
                <w:szCs w:val="22"/>
              </w:rPr>
              <w:t>连接万盛矿山公园、万盛公园，建设万盛城区生态廊道</w:t>
            </w:r>
          </w:p>
        </w:tc>
        <w:tc>
          <w:tcPr>
            <w:tcW w:w="0" w:type="auto"/>
            <w:shd w:val="clear" w:color="auto" w:fill="auto"/>
            <w:vAlign w:val="center"/>
          </w:tcPr>
          <w:p>
            <w:pPr>
              <w:ind w:firstLine="0" w:firstLineChars="0"/>
              <w:rPr>
                <w:sz w:val="22"/>
                <w:szCs w:val="22"/>
              </w:rPr>
            </w:pPr>
            <w:r>
              <w:rPr>
                <w:rFonts w:hint="eastAsia"/>
                <w:sz w:val="22"/>
                <w:szCs w:val="22"/>
              </w:rPr>
              <w:t>800</w:t>
            </w:r>
          </w:p>
        </w:tc>
        <w:tc>
          <w:tcPr>
            <w:tcW w:w="0" w:type="auto"/>
            <w:shd w:val="clear" w:color="auto" w:fill="auto"/>
            <w:vAlign w:val="center"/>
          </w:tcPr>
          <w:p>
            <w:pPr>
              <w:ind w:firstLine="0" w:firstLineChars="0"/>
              <w:rPr>
                <w:sz w:val="22"/>
                <w:szCs w:val="22"/>
              </w:rPr>
            </w:pPr>
            <w:r>
              <w:rPr>
                <w:rFonts w:hint="eastAsia"/>
                <w:sz w:val="22"/>
                <w:szCs w:val="22"/>
              </w:rPr>
              <w:t>规划</w:t>
            </w:r>
          </w:p>
        </w:tc>
        <w:tc>
          <w:tcPr>
            <w:tcW w:w="1229" w:type="dxa"/>
            <w:shd w:val="clear" w:color="auto" w:fill="auto"/>
            <w:vAlign w:val="center"/>
          </w:tcPr>
          <w:p>
            <w:pPr>
              <w:ind w:firstLine="0" w:firstLineChars="0"/>
              <w:rPr>
                <w:sz w:val="22"/>
                <w:szCs w:val="22"/>
              </w:rPr>
            </w:pPr>
            <w:r>
              <w:rPr>
                <w:rFonts w:hint="eastAsia"/>
                <w:sz w:val="22"/>
                <w:szCs w:val="22"/>
              </w:rPr>
              <w:t>中远期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790" w:type="dxa"/>
            <w:shd w:val="clear" w:color="auto" w:fill="auto"/>
            <w:vAlign w:val="center"/>
          </w:tcPr>
          <w:p>
            <w:pPr>
              <w:ind w:firstLine="0" w:firstLineChars="0"/>
              <w:rPr>
                <w:sz w:val="22"/>
                <w:szCs w:val="22"/>
              </w:rPr>
            </w:pPr>
            <w:r>
              <w:rPr>
                <w:sz w:val="22"/>
                <w:szCs w:val="22"/>
              </w:rPr>
              <w:t>19</w:t>
            </w:r>
          </w:p>
        </w:tc>
        <w:tc>
          <w:tcPr>
            <w:tcW w:w="0" w:type="auto"/>
            <w:vMerge w:val="continue"/>
            <w:vAlign w:val="center"/>
          </w:tcPr>
          <w:p>
            <w:pPr>
              <w:ind w:firstLine="0" w:firstLineChars="0"/>
              <w:rPr>
                <w:sz w:val="22"/>
                <w:szCs w:val="22"/>
              </w:rPr>
            </w:pPr>
          </w:p>
        </w:tc>
        <w:tc>
          <w:tcPr>
            <w:tcW w:w="0" w:type="auto"/>
            <w:shd w:val="clear" w:color="auto" w:fill="auto"/>
            <w:vAlign w:val="center"/>
          </w:tcPr>
          <w:p>
            <w:pPr>
              <w:ind w:firstLine="0" w:firstLineChars="0"/>
              <w:rPr>
                <w:sz w:val="22"/>
                <w:szCs w:val="22"/>
              </w:rPr>
            </w:pPr>
            <w:r>
              <w:rPr>
                <w:rFonts w:hint="eastAsia"/>
                <w:sz w:val="22"/>
                <w:szCs w:val="22"/>
              </w:rPr>
              <w:t>煤电化产业园生态防护带项目</w:t>
            </w:r>
          </w:p>
        </w:tc>
        <w:tc>
          <w:tcPr>
            <w:tcW w:w="0" w:type="auto"/>
            <w:shd w:val="clear" w:color="auto" w:fill="auto"/>
            <w:vAlign w:val="center"/>
          </w:tcPr>
          <w:p>
            <w:pPr>
              <w:ind w:firstLine="0" w:firstLineChars="0"/>
              <w:rPr>
                <w:sz w:val="22"/>
                <w:szCs w:val="22"/>
              </w:rPr>
            </w:pPr>
            <w:r>
              <w:rPr>
                <w:rFonts w:hint="eastAsia"/>
                <w:sz w:val="22"/>
                <w:szCs w:val="22"/>
              </w:rPr>
              <w:t>关坝镇</w:t>
            </w:r>
          </w:p>
        </w:tc>
        <w:tc>
          <w:tcPr>
            <w:tcW w:w="0" w:type="auto"/>
            <w:shd w:val="clear" w:color="auto" w:fill="auto"/>
            <w:vAlign w:val="center"/>
          </w:tcPr>
          <w:p>
            <w:pPr>
              <w:ind w:firstLine="0" w:firstLineChars="0"/>
              <w:rPr>
                <w:sz w:val="22"/>
                <w:szCs w:val="22"/>
              </w:rPr>
            </w:pPr>
            <w:r>
              <w:rPr>
                <w:rFonts w:hint="eastAsia"/>
                <w:sz w:val="22"/>
                <w:szCs w:val="22"/>
              </w:rPr>
              <w:t>结合煤电化产业园规划布局生态防护林（约30m）、水资源生态净化等工程，重点生态治理溱溪河关联段。</w:t>
            </w:r>
          </w:p>
        </w:tc>
        <w:tc>
          <w:tcPr>
            <w:tcW w:w="0" w:type="auto"/>
            <w:shd w:val="clear" w:color="auto" w:fill="auto"/>
            <w:vAlign w:val="center"/>
          </w:tcPr>
          <w:p>
            <w:pPr>
              <w:ind w:firstLine="0" w:firstLineChars="0"/>
              <w:rPr>
                <w:sz w:val="22"/>
                <w:szCs w:val="22"/>
              </w:rPr>
            </w:pPr>
            <w:r>
              <w:rPr>
                <w:rFonts w:hint="eastAsia"/>
                <w:sz w:val="22"/>
                <w:szCs w:val="22"/>
              </w:rPr>
              <w:t>3000</w:t>
            </w:r>
          </w:p>
        </w:tc>
        <w:tc>
          <w:tcPr>
            <w:tcW w:w="0" w:type="auto"/>
            <w:shd w:val="clear" w:color="auto" w:fill="auto"/>
            <w:vAlign w:val="center"/>
          </w:tcPr>
          <w:p>
            <w:pPr>
              <w:ind w:firstLine="0" w:firstLineChars="0"/>
              <w:rPr>
                <w:sz w:val="22"/>
                <w:szCs w:val="22"/>
              </w:rPr>
            </w:pPr>
            <w:r>
              <w:rPr>
                <w:rFonts w:hint="eastAsia"/>
                <w:sz w:val="22"/>
                <w:szCs w:val="22"/>
              </w:rPr>
              <w:t>规划</w:t>
            </w:r>
          </w:p>
        </w:tc>
        <w:tc>
          <w:tcPr>
            <w:tcW w:w="1229" w:type="dxa"/>
            <w:shd w:val="clear" w:color="auto" w:fill="auto"/>
            <w:vAlign w:val="center"/>
          </w:tcPr>
          <w:p>
            <w:pPr>
              <w:ind w:firstLine="0" w:firstLineChars="0"/>
              <w:rPr>
                <w:sz w:val="22"/>
                <w:szCs w:val="22"/>
              </w:rPr>
            </w:pPr>
            <w:r>
              <w:rPr>
                <w:rFonts w:hint="eastAsia"/>
                <w:sz w:val="22"/>
                <w:szCs w:val="22"/>
              </w:rPr>
              <w:t>中远期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90" w:type="dxa"/>
            <w:shd w:val="clear" w:color="auto" w:fill="auto"/>
            <w:vAlign w:val="center"/>
          </w:tcPr>
          <w:p>
            <w:pPr>
              <w:ind w:firstLine="0" w:firstLineChars="0"/>
              <w:rPr>
                <w:sz w:val="22"/>
                <w:szCs w:val="22"/>
              </w:rPr>
            </w:pPr>
            <w:r>
              <w:rPr>
                <w:sz w:val="22"/>
                <w:szCs w:val="22"/>
              </w:rPr>
              <w:t>20</w:t>
            </w:r>
          </w:p>
        </w:tc>
        <w:tc>
          <w:tcPr>
            <w:tcW w:w="0" w:type="auto"/>
            <w:vMerge w:val="restart"/>
            <w:shd w:val="clear" w:color="auto" w:fill="auto"/>
            <w:vAlign w:val="center"/>
          </w:tcPr>
          <w:p>
            <w:pPr>
              <w:ind w:firstLine="0" w:firstLineChars="0"/>
              <w:rPr>
                <w:sz w:val="22"/>
                <w:szCs w:val="22"/>
              </w:rPr>
            </w:pPr>
            <w:r>
              <w:rPr>
                <w:rFonts w:hint="eastAsia"/>
                <w:sz w:val="22"/>
                <w:szCs w:val="22"/>
              </w:rPr>
              <w:t>林地保护与修复</w:t>
            </w:r>
          </w:p>
        </w:tc>
        <w:tc>
          <w:tcPr>
            <w:tcW w:w="0" w:type="auto"/>
            <w:shd w:val="clear" w:color="auto" w:fill="auto"/>
            <w:vAlign w:val="center"/>
          </w:tcPr>
          <w:p>
            <w:pPr>
              <w:ind w:firstLine="0" w:firstLineChars="0"/>
              <w:rPr>
                <w:sz w:val="22"/>
                <w:szCs w:val="22"/>
              </w:rPr>
            </w:pPr>
            <w:r>
              <w:rPr>
                <w:rFonts w:hint="eastAsia"/>
                <w:sz w:val="22"/>
                <w:szCs w:val="22"/>
              </w:rPr>
              <w:t>黑山国家森林公园生态屏障建设项目</w:t>
            </w:r>
          </w:p>
        </w:tc>
        <w:tc>
          <w:tcPr>
            <w:tcW w:w="0" w:type="auto"/>
            <w:shd w:val="clear" w:color="auto" w:fill="auto"/>
            <w:vAlign w:val="center"/>
          </w:tcPr>
          <w:p>
            <w:pPr>
              <w:ind w:firstLine="0" w:firstLineChars="0"/>
              <w:rPr>
                <w:sz w:val="22"/>
                <w:szCs w:val="22"/>
              </w:rPr>
            </w:pPr>
            <w:r>
              <w:rPr>
                <w:rFonts w:hint="eastAsia"/>
                <w:sz w:val="22"/>
                <w:szCs w:val="22"/>
              </w:rPr>
              <w:t>黑山森林公园</w:t>
            </w:r>
          </w:p>
        </w:tc>
        <w:tc>
          <w:tcPr>
            <w:tcW w:w="0" w:type="auto"/>
            <w:shd w:val="clear" w:color="auto" w:fill="auto"/>
            <w:vAlign w:val="center"/>
          </w:tcPr>
          <w:p>
            <w:pPr>
              <w:ind w:firstLine="0" w:firstLineChars="0"/>
              <w:rPr>
                <w:sz w:val="22"/>
                <w:szCs w:val="22"/>
              </w:rPr>
            </w:pPr>
            <w:r>
              <w:rPr>
                <w:rFonts w:hint="eastAsia"/>
                <w:sz w:val="22"/>
                <w:szCs w:val="22"/>
              </w:rPr>
              <w:t>实施5万亩森林屏障建设和森林质量精准提升，全面推进森林生态修复，大力实施森林抚育、低效林改造及林业有害生物防治，完善林区配套设施，完成3.5万亩国家储备林建设，1.5万亩森林质量提升，完成4.5万亩马尾松林林地质量提升。</w:t>
            </w:r>
          </w:p>
        </w:tc>
        <w:tc>
          <w:tcPr>
            <w:tcW w:w="0" w:type="auto"/>
            <w:shd w:val="clear" w:color="auto" w:fill="auto"/>
            <w:vAlign w:val="center"/>
          </w:tcPr>
          <w:p>
            <w:pPr>
              <w:ind w:firstLine="0" w:firstLineChars="0"/>
              <w:rPr>
                <w:sz w:val="22"/>
                <w:szCs w:val="22"/>
              </w:rPr>
            </w:pPr>
            <w:r>
              <w:rPr>
                <w:sz w:val="22"/>
                <w:szCs w:val="22"/>
              </w:rPr>
              <w:t>12000</w:t>
            </w:r>
          </w:p>
        </w:tc>
        <w:tc>
          <w:tcPr>
            <w:tcW w:w="0" w:type="auto"/>
            <w:shd w:val="clear" w:color="auto" w:fill="auto"/>
            <w:vAlign w:val="center"/>
          </w:tcPr>
          <w:p>
            <w:pPr>
              <w:ind w:firstLine="0" w:firstLineChars="0"/>
              <w:rPr>
                <w:sz w:val="22"/>
                <w:szCs w:val="22"/>
              </w:rPr>
            </w:pPr>
            <w:r>
              <w:rPr>
                <w:rFonts w:hint="eastAsia"/>
                <w:sz w:val="22"/>
                <w:szCs w:val="22"/>
                <w:lang w:eastAsia="zh-CN"/>
              </w:rPr>
              <w:t>“</w:t>
            </w:r>
            <w:r>
              <w:rPr>
                <w:rFonts w:hint="eastAsia"/>
                <w:sz w:val="22"/>
                <w:szCs w:val="22"/>
              </w:rPr>
              <w:t>十四五</w:t>
            </w:r>
            <w:r>
              <w:rPr>
                <w:rFonts w:hint="eastAsia"/>
                <w:sz w:val="22"/>
                <w:szCs w:val="22"/>
                <w:lang w:eastAsia="zh-CN"/>
              </w:rPr>
              <w:t>”</w:t>
            </w:r>
            <w:r>
              <w:rPr>
                <w:rFonts w:hint="eastAsia"/>
                <w:sz w:val="22"/>
                <w:szCs w:val="22"/>
              </w:rPr>
              <w:t>生态环境保护</w:t>
            </w:r>
          </w:p>
        </w:tc>
        <w:tc>
          <w:tcPr>
            <w:tcW w:w="1229" w:type="dxa"/>
            <w:shd w:val="clear" w:color="auto" w:fill="auto"/>
            <w:vAlign w:val="center"/>
          </w:tcPr>
          <w:p>
            <w:pPr>
              <w:ind w:firstLine="0" w:firstLineChars="0"/>
              <w:rPr>
                <w:sz w:val="22"/>
                <w:szCs w:val="22"/>
              </w:rPr>
            </w:pPr>
            <w:r>
              <w:rPr>
                <w:rFonts w:hint="eastAsia"/>
                <w:sz w:val="22"/>
                <w:szCs w:val="22"/>
              </w:rPr>
              <w:t>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790" w:type="dxa"/>
            <w:shd w:val="clear" w:color="auto" w:fill="auto"/>
            <w:vAlign w:val="center"/>
          </w:tcPr>
          <w:p>
            <w:pPr>
              <w:ind w:firstLine="0" w:firstLineChars="0"/>
              <w:rPr>
                <w:sz w:val="22"/>
                <w:szCs w:val="22"/>
              </w:rPr>
            </w:pPr>
            <w:r>
              <w:rPr>
                <w:sz w:val="22"/>
                <w:szCs w:val="22"/>
              </w:rPr>
              <w:t>21</w:t>
            </w:r>
          </w:p>
        </w:tc>
        <w:tc>
          <w:tcPr>
            <w:tcW w:w="0" w:type="auto"/>
            <w:vMerge w:val="continue"/>
            <w:vAlign w:val="center"/>
          </w:tcPr>
          <w:p>
            <w:pPr>
              <w:ind w:firstLine="0" w:firstLineChars="0"/>
              <w:rPr>
                <w:sz w:val="22"/>
                <w:szCs w:val="22"/>
              </w:rPr>
            </w:pPr>
          </w:p>
        </w:tc>
        <w:tc>
          <w:tcPr>
            <w:tcW w:w="0" w:type="auto"/>
            <w:shd w:val="clear" w:color="auto" w:fill="auto"/>
            <w:vAlign w:val="center"/>
          </w:tcPr>
          <w:p>
            <w:pPr>
              <w:ind w:firstLine="0" w:firstLineChars="0"/>
              <w:rPr>
                <w:sz w:val="22"/>
                <w:szCs w:val="22"/>
              </w:rPr>
            </w:pPr>
            <w:r>
              <w:rPr>
                <w:rFonts w:hint="eastAsia"/>
                <w:sz w:val="22"/>
                <w:szCs w:val="22"/>
              </w:rPr>
              <w:t>马尾松森林质量提升项目</w:t>
            </w:r>
          </w:p>
        </w:tc>
        <w:tc>
          <w:tcPr>
            <w:tcW w:w="0" w:type="auto"/>
            <w:shd w:val="clear" w:color="auto" w:fill="auto"/>
            <w:vAlign w:val="center"/>
          </w:tcPr>
          <w:p>
            <w:pPr>
              <w:ind w:firstLine="0" w:firstLineChars="0"/>
              <w:rPr>
                <w:sz w:val="22"/>
                <w:szCs w:val="22"/>
              </w:rPr>
            </w:pPr>
            <w:r>
              <w:rPr>
                <w:rFonts w:hint="eastAsia"/>
                <w:sz w:val="22"/>
                <w:szCs w:val="22"/>
              </w:rPr>
              <w:t>全域</w:t>
            </w:r>
          </w:p>
        </w:tc>
        <w:tc>
          <w:tcPr>
            <w:tcW w:w="0" w:type="auto"/>
            <w:shd w:val="clear" w:color="auto" w:fill="auto"/>
            <w:vAlign w:val="center"/>
          </w:tcPr>
          <w:p>
            <w:pPr>
              <w:ind w:firstLine="0" w:firstLineChars="0"/>
              <w:rPr>
                <w:sz w:val="22"/>
                <w:szCs w:val="22"/>
              </w:rPr>
            </w:pPr>
            <w:r>
              <w:rPr>
                <w:rFonts w:hint="eastAsia"/>
                <w:sz w:val="22"/>
                <w:szCs w:val="22"/>
              </w:rPr>
              <w:t>涉及全域的马尾松组，去除连片面积小于600㎡，主要实施91.98平方公里松林砍劣保优、改造低效林、优化林分结构、提升林相、提高生态效益等工作。</w:t>
            </w:r>
          </w:p>
        </w:tc>
        <w:tc>
          <w:tcPr>
            <w:tcW w:w="0" w:type="auto"/>
            <w:shd w:val="clear" w:color="auto" w:fill="auto"/>
            <w:vAlign w:val="center"/>
          </w:tcPr>
          <w:p>
            <w:pPr>
              <w:ind w:firstLine="0" w:firstLineChars="0"/>
              <w:rPr>
                <w:sz w:val="22"/>
                <w:szCs w:val="22"/>
              </w:rPr>
            </w:pPr>
            <w:r>
              <w:rPr>
                <w:rFonts w:hint="eastAsia"/>
                <w:sz w:val="22"/>
                <w:szCs w:val="22"/>
              </w:rPr>
              <w:t>6</w:t>
            </w:r>
            <w:r>
              <w:rPr>
                <w:sz w:val="22"/>
                <w:szCs w:val="22"/>
              </w:rPr>
              <w:t>000</w:t>
            </w:r>
          </w:p>
        </w:tc>
        <w:tc>
          <w:tcPr>
            <w:tcW w:w="0" w:type="auto"/>
            <w:shd w:val="clear" w:color="auto" w:fill="auto"/>
            <w:vAlign w:val="center"/>
          </w:tcPr>
          <w:p>
            <w:pPr>
              <w:ind w:firstLine="0" w:firstLineChars="0"/>
              <w:rPr>
                <w:sz w:val="22"/>
                <w:szCs w:val="22"/>
              </w:rPr>
            </w:pPr>
            <w:r>
              <w:rPr>
                <w:rFonts w:hint="eastAsia"/>
                <w:sz w:val="22"/>
                <w:szCs w:val="22"/>
              </w:rPr>
              <w:t>规划</w:t>
            </w:r>
          </w:p>
        </w:tc>
        <w:tc>
          <w:tcPr>
            <w:tcW w:w="1229" w:type="dxa"/>
            <w:shd w:val="clear" w:color="auto" w:fill="auto"/>
            <w:vAlign w:val="center"/>
          </w:tcPr>
          <w:p>
            <w:pPr>
              <w:ind w:firstLine="0" w:firstLineChars="0"/>
              <w:rPr>
                <w:sz w:val="22"/>
                <w:szCs w:val="22"/>
              </w:rPr>
            </w:pPr>
            <w:r>
              <w:rPr>
                <w:rFonts w:hint="eastAsia"/>
                <w:sz w:val="22"/>
                <w:szCs w:val="22"/>
              </w:rPr>
              <w:t>中远期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790" w:type="dxa"/>
            <w:shd w:val="clear" w:color="auto" w:fill="auto"/>
            <w:vAlign w:val="center"/>
          </w:tcPr>
          <w:p>
            <w:pPr>
              <w:ind w:firstLine="0" w:firstLineChars="0"/>
              <w:rPr>
                <w:sz w:val="22"/>
                <w:szCs w:val="22"/>
              </w:rPr>
            </w:pPr>
            <w:r>
              <w:rPr>
                <w:sz w:val="22"/>
                <w:szCs w:val="22"/>
              </w:rPr>
              <w:t>22</w:t>
            </w:r>
          </w:p>
        </w:tc>
        <w:tc>
          <w:tcPr>
            <w:tcW w:w="0" w:type="auto"/>
            <w:vMerge w:val="continue"/>
            <w:vAlign w:val="center"/>
          </w:tcPr>
          <w:p>
            <w:pPr>
              <w:ind w:firstLine="0" w:firstLineChars="0"/>
              <w:rPr>
                <w:sz w:val="22"/>
                <w:szCs w:val="22"/>
              </w:rPr>
            </w:pPr>
          </w:p>
        </w:tc>
        <w:tc>
          <w:tcPr>
            <w:tcW w:w="0" w:type="auto"/>
            <w:shd w:val="clear" w:color="auto" w:fill="auto"/>
            <w:vAlign w:val="center"/>
          </w:tcPr>
          <w:p>
            <w:pPr>
              <w:ind w:firstLine="0" w:firstLineChars="0"/>
              <w:rPr>
                <w:sz w:val="22"/>
                <w:szCs w:val="22"/>
              </w:rPr>
            </w:pPr>
            <w:r>
              <w:rPr>
                <w:rFonts w:hint="eastAsia"/>
                <w:sz w:val="22"/>
                <w:szCs w:val="22"/>
              </w:rPr>
              <w:t>生物多样性观测站点建设</w:t>
            </w:r>
          </w:p>
        </w:tc>
        <w:tc>
          <w:tcPr>
            <w:tcW w:w="0" w:type="auto"/>
            <w:shd w:val="clear" w:color="auto" w:fill="auto"/>
            <w:vAlign w:val="center"/>
          </w:tcPr>
          <w:p>
            <w:pPr>
              <w:ind w:firstLine="0" w:firstLineChars="0"/>
              <w:rPr>
                <w:sz w:val="22"/>
                <w:szCs w:val="22"/>
              </w:rPr>
            </w:pPr>
            <w:r>
              <w:rPr>
                <w:rFonts w:hint="eastAsia"/>
                <w:sz w:val="22"/>
                <w:szCs w:val="22"/>
              </w:rPr>
              <w:t>黑山森林公园</w:t>
            </w:r>
          </w:p>
        </w:tc>
        <w:tc>
          <w:tcPr>
            <w:tcW w:w="0" w:type="auto"/>
            <w:shd w:val="clear" w:color="auto" w:fill="auto"/>
            <w:vAlign w:val="center"/>
          </w:tcPr>
          <w:p>
            <w:pPr>
              <w:ind w:firstLine="0" w:firstLineChars="0"/>
              <w:rPr>
                <w:sz w:val="22"/>
                <w:szCs w:val="22"/>
              </w:rPr>
            </w:pPr>
            <w:r>
              <w:rPr>
                <w:rFonts w:hint="eastAsia"/>
                <w:sz w:val="22"/>
                <w:szCs w:val="22"/>
              </w:rPr>
              <w:t>在黑山县级自然保护区建立生物多样性观测站点。</w:t>
            </w:r>
          </w:p>
        </w:tc>
        <w:tc>
          <w:tcPr>
            <w:tcW w:w="0" w:type="auto"/>
            <w:shd w:val="clear" w:color="auto" w:fill="auto"/>
            <w:vAlign w:val="center"/>
          </w:tcPr>
          <w:p>
            <w:pPr>
              <w:ind w:firstLine="0" w:firstLineChars="0"/>
              <w:rPr>
                <w:sz w:val="22"/>
                <w:szCs w:val="22"/>
              </w:rPr>
            </w:pPr>
            <w:r>
              <w:rPr>
                <w:rFonts w:hint="eastAsia"/>
                <w:sz w:val="22"/>
                <w:szCs w:val="22"/>
              </w:rPr>
              <w:t>100</w:t>
            </w:r>
          </w:p>
        </w:tc>
        <w:tc>
          <w:tcPr>
            <w:tcW w:w="0" w:type="auto"/>
            <w:shd w:val="clear" w:color="auto" w:fill="auto"/>
            <w:vAlign w:val="center"/>
          </w:tcPr>
          <w:p>
            <w:pPr>
              <w:ind w:firstLine="0" w:firstLineChars="0"/>
              <w:rPr>
                <w:sz w:val="22"/>
                <w:szCs w:val="22"/>
              </w:rPr>
            </w:pPr>
            <w:r>
              <w:rPr>
                <w:rFonts w:hint="eastAsia"/>
                <w:sz w:val="22"/>
                <w:szCs w:val="22"/>
                <w:lang w:eastAsia="zh-CN"/>
              </w:rPr>
              <w:t>“</w:t>
            </w:r>
            <w:r>
              <w:rPr>
                <w:rFonts w:hint="eastAsia"/>
                <w:sz w:val="22"/>
                <w:szCs w:val="22"/>
              </w:rPr>
              <w:t>十四五</w:t>
            </w:r>
            <w:r>
              <w:rPr>
                <w:rFonts w:hint="eastAsia"/>
                <w:sz w:val="22"/>
                <w:szCs w:val="22"/>
                <w:lang w:eastAsia="zh-CN"/>
              </w:rPr>
              <w:t>”</w:t>
            </w:r>
            <w:r>
              <w:rPr>
                <w:rFonts w:hint="eastAsia"/>
                <w:sz w:val="22"/>
                <w:szCs w:val="22"/>
              </w:rPr>
              <w:t>生态环境保护</w:t>
            </w:r>
          </w:p>
        </w:tc>
        <w:tc>
          <w:tcPr>
            <w:tcW w:w="1229" w:type="dxa"/>
            <w:shd w:val="clear" w:color="auto" w:fill="auto"/>
            <w:vAlign w:val="center"/>
          </w:tcPr>
          <w:p>
            <w:pPr>
              <w:ind w:firstLine="0" w:firstLineChars="0"/>
              <w:rPr>
                <w:sz w:val="22"/>
                <w:szCs w:val="22"/>
              </w:rPr>
            </w:pPr>
            <w:r>
              <w:rPr>
                <w:rFonts w:hint="eastAsia"/>
                <w:sz w:val="22"/>
                <w:szCs w:val="22"/>
              </w:rPr>
              <w:t>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790" w:type="dxa"/>
            <w:shd w:val="clear" w:color="auto" w:fill="auto"/>
            <w:vAlign w:val="center"/>
          </w:tcPr>
          <w:p>
            <w:pPr>
              <w:ind w:firstLine="0" w:firstLineChars="0"/>
              <w:rPr>
                <w:sz w:val="22"/>
                <w:szCs w:val="22"/>
              </w:rPr>
            </w:pPr>
            <w:r>
              <w:rPr>
                <w:sz w:val="22"/>
                <w:szCs w:val="22"/>
              </w:rPr>
              <w:t>23</w:t>
            </w:r>
          </w:p>
        </w:tc>
        <w:tc>
          <w:tcPr>
            <w:tcW w:w="0" w:type="auto"/>
            <w:vMerge w:val="restart"/>
            <w:shd w:val="clear" w:color="auto" w:fill="auto"/>
            <w:vAlign w:val="center"/>
          </w:tcPr>
          <w:p>
            <w:pPr>
              <w:ind w:firstLine="0" w:firstLineChars="0"/>
              <w:rPr>
                <w:sz w:val="22"/>
                <w:szCs w:val="22"/>
              </w:rPr>
            </w:pPr>
            <w:r>
              <w:rPr>
                <w:rFonts w:hint="eastAsia"/>
                <w:sz w:val="22"/>
                <w:szCs w:val="22"/>
              </w:rPr>
              <w:t>生态修复系统性综合服务</w:t>
            </w:r>
          </w:p>
        </w:tc>
        <w:tc>
          <w:tcPr>
            <w:tcW w:w="0" w:type="auto"/>
            <w:shd w:val="clear" w:color="auto" w:fill="auto"/>
            <w:vAlign w:val="center"/>
          </w:tcPr>
          <w:p>
            <w:pPr>
              <w:ind w:firstLine="0" w:firstLineChars="0"/>
              <w:rPr>
                <w:sz w:val="22"/>
                <w:szCs w:val="22"/>
              </w:rPr>
            </w:pPr>
            <w:r>
              <w:rPr>
                <w:rFonts w:hint="eastAsia"/>
                <w:sz w:val="22"/>
                <w:szCs w:val="22"/>
              </w:rPr>
              <w:t>生物多样性保护工程</w:t>
            </w:r>
          </w:p>
        </w:tc>
        <w:tc>
          <w:tcPr>
            <w:tcW w:w="0" w:type="auto"/>
            <w:shd w:val="clear" w:color="auto" w:fill="auto"/>
            <w:vAlign w:val="center"/>
          </w:tcPr>
          <w:p>
            <w:pPr>
              <w:ind w:firstLine="0" w:firstLineChars="0"/>
              <w:rPr>
                <w:sz w:val="22"/>
                <w:szCs w:val="22"/>
              </w:rPr>
            </w:pPr>
            <w:r>
              <w:rPr>
                <w:rFonts w:hint="eastAsia"/>
                <w:sz w:val="22"/>
                <w:szCs w:val="22"/>
              </w:rPr>
              <w:t>全域</w:t>
            </w:r>
          </w:p>
        </w:tc>
        <w:tc>
          <w:tcPr>
            <w:tcW w:w="0" w:type="auto"/>
            <w:shd w:val="clear" w:color="auto" w:fill="auto"/>
            <w:vAlign w:val="center"/>
          </w:tcPr>
          <w:p>
            <w:pPr>
              <w:ind w:firstLine="0" w:firstLineChars="0"/>
              <w:rPr>
                <w:sz w:val="22"/>
                <w:szCs w:val="22"/>
              </w:rPr>
            </w:pPr>
            <w:r>
              <w:rPr>
                <w:rFonts w:hint="eastAsia"/>
                <w:sz w:val="22"/>
                <w:szCs w:val="22"/>
              </w:rPr>
              <w:t>开展万盛经开区生物多样性调查，制定重点保护物种名录。实施万盛特色物种保护，开展外来物种入侵监管。实施“十年禁渔”，开展水生生物多样性保护。</w:t>
            </w:r>
          </w:p>
        </w:tc>
        <w:tc>
          <w:tcPr>
            <w:tcW w:w="0" w:type="auto"/>
            <w:shd w:val="clear" w:color="auto" w:fill="auto"/>
            <w:vAlign w:val="center"/>
          </w:tcPr>
          <w:p>
            <w:pPr>
              <w:ind w:firstLine="0" w:firstLineChars="0"/>
              <w:rPr>
                <w:sz w:val="22"/>
                <w:szCs w:val="22"/>
              </w:rPr>
            </w:pPr>
            <w:r>
              <w:rPr>
                <w:rFonts w:hint="eastAsia"/>
                <w:sz w:val="22"/>
                <w:szCs w:val="22"/>
              </w:rPr>
              <w:t>500</w:t>
            </w:r>
          </w:p>
        </w:tc>
        <w:tc>
          <w:tcPr>
            <w:tcW w:w="0" w:type="auto"/>
            <w:shd w:val="clear" w:color="auto" w:fill="auto"/>
            <w:vAlign w:val="center"/>
          </w:tcPr>
          <w:p>
            <w:pPr>
              <w:ind w:firstLine="0" w:firstLineChars="0"/>
              <w:rPr>
                <w:sz w:val="22"/>
                <w:szCs w:val="22"/>
              </w:rPr>
            </w:pPr>
            <w:r>
              <w:rPr>
                <w:rFonts w:hint="eastAsia"/>
                <w:sz w:val="22"/>
                <w:szCs w:val="22"/>
                <w:lang w:eastAsia="zh-CN"/>
              </w:rPr>
              <w:t>“</w:t>
            </w:r>
            <w:r>
              <w:rPr>
                <w:rFonts w:hint="eastAsia"/>
                <w:sz w:val="22"/>
                <w:szCs w:val="22"/>
              </w:rPr>
              <w:t>十四五</w:t>
            </w:r>
            <w:r>
              <w:rPr>
                <w:rFonts w:hint="eastAsia"/>
                <w:sz w:val="22"/>
                <w:szCs w:val="22"/>
                <w:lang w:eastAsia="zh-CN"/>
              </w:rPr>
              <w:t>”</w:t>
            </w:r>
            <w:r>
              <w:rPr>
                <w:rFonts w:hint="eastAsia"/>
                <w:sz w:val="22"/>
                <w:szCs w:val="22"/>
              </w:rPr>
              <w:t>生态环境保护</w:t>
            </w:r>
          </w:p>
        </w:tc>
        <w:tc>
          <w:tcPr>
            <w:tcW w:w="1229" w:type="dxa"/>
            <w:shd w:val="clear" w:color="auto" w:fill="auto"/>
            <w:vAlign w:val="center"/>
          </w:tcPr>
          <w:p>
            <w:pPr>
              <w:ind w:firstLine="0" w:firstLineChars="0"/>
              <w:rPr>
                <w:sz w:val="22"/>
                <w:szCs w:val="22"/>
              </w:rPr>
            </w:pPr>
            <w:r>
              <w:rPr>
                <w:rFonts w:hint="eastAsia"/>
                <w:sz w:val="22"/>
                <w:szCs w:val="22"/>
              </w:rPr>
              <w:t>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790" w:type="dxa"/>
            <w:shd w:val="clear" w:color="auto" w:fill="auto"/>
            <w:vAlign w:val="center"/>
          </w:tcPr>
          <w:p>
            <w:pPr>
              <w:ind w:firstLine="0" w:firstLineChars="0"/>
              <w:rPr>
                <w:sz w:val="22"/>
                <w:szCs w:val="22"/>
              </w:rPr>
            </w:pPr>
            <w:r>
              <w:rPr>
                <w:sz w:val="22"/>
                <w:szCs w:val="22"/>
              </w:rPr>
              <w:t>24</w:t>
            </w:r>
          </w:p>
        </w:tc>
        <w:tc>
          <w:tcPr>
            <w:tcW w:w="0" w:type="auto"/>
            <w:vMerge w:val="continue"/>
            <w:vAlign w:val="center"/>
          </w:tcPr>
          <w:p>
            <w:pPr>
              <w:ind w:firstLine="0" w:firstLineChars="0"/>
              <w:rPr>
                <w:sz w:val="22"/>
                <w:szCs w:val="22"/>
              </w:rPr>
            </w:pPr>
          </w:p>
        </w:tc>
        <w:tc>
          <w:tcPr>
            <w:tcW w:w="0" w:type="auto"/>
            <w:shd w:val="clear" w:color="auto" w:fill="auto"/>
            <w:vAlign w:val="center"/>
          </w:tcPr>
          <w:p>
            <w:pPr>
              <w:ind w:firstLine="0" w:firstLineChars="0"/>
              <w:rPr>
                <w:sz w:val="22"/>
                <w:szCs w:val="22"/>
              </w:rPr>
            </w:pPr>
            <w:r>
              <w:rPr>
                <w:rFonts w:hint="eastAsia"/>
                <w:sz w:val="22"/>
                <w:szCs w:val="22"/>
              </w:rPr>
              <w:t>生态修复管理服务</w:t>
            </w:r>
          </w:p>
        </w:tc>
        <w:tc>
          <w:tcPr>
            <w:tcW w:w="0" w:type="auto"/>
            <w:shd w:val="clear" w:color="auto" w:fill="auto"/>
            <w:vAlign w:val="center"/>
          </w:tcPr>
          <w:p>
            <w:pPr>
              <w:ind w:firstLine="0" w:firstLineChars="0"/>
              <w:rPr>
                <w:sz w:val="22"/>
                <w:szCs w:val="22"/>
              </w:rPr>
            </w:pPr>
            <w:r>
              <w:rPr>
                <w:rFonts w:hint="eastAsia"/>
                <w:sz w:val="22"/>
                <w:szCs w:val="22"/>
              </w:rPr>
              <w:t>全域</w:t>
            </w:r>
          </w:p>
        </w:tc>
        <w:tc>
          <w:tcPr>
            <w:tcW w:w="0" w:type="auto"/>
            <w:shd w:val="clear" w:color="auto" w:fill="auto"/>
            <w:vAlign w:val="center"/>
          </w:tcPr>
          <w:p>
            <w:pPr>
              <w:ind w:firstLine="0" w:firstLineChars="0"/>
              <w:rPr>
                <w:sz w:val="22"/>
                <w:szCs w:val="22"/>
              </w:rPr>
            </w:pPr>
            <w:r>
              <w:rPr>
                <w:rFonts w:hint="eastAsia"/>
                <w:sz w:val="22"/>
                <w:szCs w:val="22"/>
              </w:rPr>
              <w:t>实时监督生态修复项目、反馈修复效果、发现修复问题，管理生态修复项目后期运营。</w:t>
            </w:r>
          </w:p>
        </w:tc>
        <w:tc>
          <w:tcPr>
            <w:tcW w:w="0" w:type="auto"/>
            <w:shd w:val="clear" w:color="auto" w:fill="auto"/>
            <w:vAlign w:val="center"/>
          </w:tcPr>
          <w:p>
            <w:pPr>
              <w:ind w:firstLine="0" w:firstLineChars="0"/>
              <w:rPr>
                <w:sz w:val="22"/>
                <w:szCs w:val="22"/>
              </w:rPr>
            </w:pPr>
            <w:r>
              <w:rPr>
                <w:rFonts w:hint="eastAsia"/>
                <w:sz w:val="22"/>
                <w:szCs w:val="22"/>
              </w:rPr>
              <w:t>600</w:t>
            </w:r>
          </w:p>
        </w:tc>
        <w:tc>
          <w:tcPr>
            <w:tcW w:w="0" w:type="auto"/>
            <w:shd w:val="clear" w:color="auto" w:fill="auto"/>
            <w:vAlign w:val="center"/>
          </w:tcPr>
          <w:p>
            <w:pPr>
              <w:ind w:firstLine="0" w:firstLineChars="0"/>
              <w:rPr>
                <w:sz w:val="22"/>
                <w:szCs w:val="22"/>
              </w:rPr>
            </w:pPr>
            <w:r>
              <w:rPr>
                <w:rFonts w:hint="eastAsia"/>
                <w:sz w:val="22"/>
                <w:szCs w:val="22"/>
              </w:rPr>
              <w:t>规划</w:t>
            </w:r>
          </w:p>
        </w:tc>
        <w:tc>
          <w:tcPr>
            <w:tcW w:w="1229" w:type="dxa"/>
            <w:shd w:val="clear" w:color="auto" w:fill="auto"/>
            <w:vAlign w:val="center"/>
          </w:tcPr>
          <w:p>
            <w:pPr>
              <w:ind w:firstLine="0" w:firstLineChars="0"/>
              <w:rPr>
                <w:sz w:val="22"/>
                <w:szCs w:val="22"/>
              </w:rPr>
            </w:pPr>
            <w:r>
              <w:rPr>
                <w:rFonts w:hint="eastAsia"/>
                <w:sz w:val="22"/>
                <w:szCs w:val="22"/>
              </w:rPr>
              <w:t>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790" w:type="dxa"/>
            <w:shd w:val="clear" w:color="auto" w:fill="auto"/>
            <w:vAlign w:val="center"/>
          </w:tcPr>
          <w:p>
            <w:pPr>
              <w:ind w:firstLine="0" w:firstLineChars="0"/>
              <w:rPr>
                <w:sz w:val="22"/>
                <w:szCs w:val="22"/>
              </w:rPr>
            </w:pPr>
            <w:r>
              <w:rPr>
                <w:sz w:val="22"/>
                <w:szCs w:val="22"/>
              </w:rPr>
              <w:t>25</w:t>
            </w:r>
          </w:p>
        </w:tc>
        <w:tc>
          <w:tcPr>
            <w:tcW w:w="0" w:type="auto"/>
            <w:vMerge w:val="continue"/>
            <w:vAlign w:val="center"/>
          </w:tcPr>
          <w:p>
            <w:pPr>
              <w:ind w:firstLine="0" w:firstLineChars="0"/>
              <w:rPr>
                <w:sz w:val="22"/>
                <w:szCs w:val="22"/>
              </w:rPr>
            </w:pPr>
          </w:p>
        </w:tc>
        <w:tc>
          <w:tcPr>
            <w:tcW w:w="0" w:type="auto"/>
            <w:shd w:val="clear" w:color="auto" w:fill="auto"/>
            <w:vAlign w:val="center"/>
          </w:tcPr>
          <w:p>
            <w:pPr>
              <w:ind w:firstLine="0" w:firstLineChars="0"/>
              <w:rPr>
                <w:sz w:val="22"/>
                <w:szCs w:val="22"/>
              </w:rPr>
            </w:pPr>
            <w:r>
              <w:rPr>
                <w:rFonts w:hint="eastAsia"/>
                <w:sz w:val="22"/>
                <w:szCs w:val="22"/>
              </w:rPr>
              <w:t>新经济产业园山体生态环境监测网络系统</w:t>
            </w:r>
          </w:p>
        </w:tc>
        <w:tc>
          <w:tcPr>
            <w:tcW w:w="0" w:type="auto"/>
            <w:shd w:val="clear" w:color="auto" w:fill="auto"/>
            <w:vAlign w:val="center"/>
          </w:tcPr>
          <w:p>
            <w:pPr>
              <w:ind w:firstLine="0" w:firstLineChars="0"/>
              <w:rPr>
                <w:sz w:val="22"/>
                <w:szCs w:val="22"/>
              </w:rPr>
            </w:pPr>
            <w:r>
              <w:rPr>
                <w:rFonts w:hint="eastAsia"/>
                <w:sz w:val="22"/>
                <w:szCs w:val="22"/>
              </w:rPr>
              <w:t>全域</w:t>
            </w:r>
          </w:p>
        </w:tc>
        <w:tc>
          <w:tcPr>
            <w:tcW w:w="0" w:type="auto"/>
            <w:shd w:val="clear" w:color="auto" w:fill="auto"/>
            <w:vAlign w:val="center"/>
          </w:tcPr>
          <w:p>
            <w:pPr>
              <w:ind w:firstLine="0" w:firstLineChars="0"/>
              <w:rPr>
                <w:sz w:val="22"/>
                <w:szCs w:val="22"/>
              </w:rPr>
            </w:pPr>
            <w:r>
              <w:rPr>
                <w:rFonts w:hint="eastAsia"/>
                <w:sz w:val="22"/>
                <w:szCs w:val="22"/>
              </w:rPr>
              <w:t>针对新经济产业园</w:t>
            </w:r>
            <w:r>
              <w:rPr>
                <w:sz w:val="22"/>
                <w:szCs w:val="22"/>
              </w:rPr>
              <w:t>310平方公里范围内进行监测，对丛黑公路沿线，黑山、南天门、九锅箐片区生态红线范围内的山体，作为重点监测区域，重点监测区面积约70平方公里，对违法开发建设、毁坏山体形态、破坏生态环境等行为及时查处。</w:t>
            </w:r>
          </w:p>
        </w:tc>
        <w:tc>
          <w:tcPr>
            <w:tcW w:w="0" w:type="auto"/>
            <w:shd w:val="clear" w:color="auto" w:fill="auto"/>
            <w:vAlign w:val="center"/>
          </w:tcPr>
          <w:p>
            <w:pPr>
              <w:ind w:firstLine="0" w:firstLineChars="0"/>
              <w:rPr>
                <w:sz w:val="22"/>
                <w:szCs w:val="22"/>
              </w:rPr>
            </w:pPr>
            <w:r>
              <w:rPr>
                <w:sz w:val="22"/>
                <w:szCs w:val="22"/>
              </w:rPr>
              <w:t>5000</w:t>
            </w:r>
          </w:p>
        </w:tc>
        <w:tc>
          <w:tcPr>
            <w:tcW w:w="0" w:type="auto"/>
            <w:shd w:val="clear" w:color="auto" w:fill="auto"/>
            <w:vAlign w:val="center"/>
          </w:tcPr>
          <w:p>
            <w:pPr>
              <w:ind w:firstLine="0" w:firstLineChars="0"/>
              <w:rPr>
                <w:sz w:val="22"/>
                <w:szCs w:val="22"/>
              </w:rPr>
            </w:pPr>
            <w:r>
              <w:rPr>
                <w:rFonts w:hint="eastAsia"/>
                <w:sz w:val="22"/>
                <w:szCs w:val="22"/>
              </w:rPr>
              <w:t>规资局</w:t>
            </w:r>
          </w:p>
        </w:tc>
        <w:tc>
          <w:tcPr>
            <w:tcW w:w="1229" w:type="dxa"/>
            <w:shd w:val="clear" w:color="auto" w:fill="auto"/>
            <w:vAlign w:val="center"/>
          </w:tcPr>
          <w:p>
            <w:pPr>
              <w:ind w:firstLine="0" w:firstLineChars="0"/>
              <w:rPr>
                <w:sz w:val="22"/>
                <w:szCs w:val="22"/>
              </w:rPr>
            </w:pPr>
            <w:r>
              <w:rPr>
                <w:rFonts w:hint="eastAsia"/>
                <w:sz w:val="22"/>
                <w:szCs w:val="22"/>
              </w:rPr>
              <w:t>中远期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790" w:type="dxa"/>
            <w:shd w:val="clear" w:color="auto" w:fill="auto"/>
            <w:vAlign w:val="center"/>
          </w:tcPr>
          <w:p>
            <w:pPr>
              <w:ind w:firstLine="0" w:firstLineChars="0"/>
              <w:rPr>
                <w:sz w:val="22"/>
                <w:szCs w:val="22"/>
              </w:rPr>
            </w:pPr>
            <w:r>
              <w:rPr>
                <w:rFonts w:hint="eastAsia"/>
                <w:sz w:val="22"/>
                <w:szCs w:val="22"/>
              </w:rPr>
              <w:t>2</w:t>
            </w:r>
            <w:r>
              <w:rPr>
                <w:sz w:val="22"/>
                <w:szCs w:val="22"/>
              </w:rPr>
              <w:t>6</w:t>
            </w:r>
          </w:p>
        </w:tc>
        <w:tc>
          <w:tcPr>
            <w:tcW w:w="0" w:type="auto"/>
            <w:vMerge w:val="restart"/>
            <w:vAlign w:val="center"/>
          </w:tcPr>
          <w:p>
            <w:pPr>
              <w:ind w:firstLine="0" w:firstLineChars="0"/>
              <w:rPr>
                <w:sz w:val="22"/>
                <w:szCs w:val="22"/>
              </w:rPr>
            </w:pPr>
            <w:bookmarkStart w:id="124" w:name="_Hlk127652186"/>
            <w:r>
              <w:rPr>
                <w:rFonts w:hint="eastAsia"/>
                <w:sz w:val="22"/>
                <w:szCs w:val="22"/>
              </w:rPr>
              <w:t>土壤污染治理修复工程</w:t>
            </w:r>
            <w:bookmarkEnd w:id="124"/>
          </w:p>
        </w:tc>
        <w:tc>
          <w:tcPr>
            <w:tcW w:w="0" w:type="auto"/>
            <w:shd w:val="clear" w:color="auto" w:fill="auto"/>
            <w:vAlign w:val="center"/>
          </w:tcPr>
          <w:p>
            <w:pPr>
              <w:ind w:firstLine="0" w:firstLineChars="0"/>
              <w:rPr>
                <w:sz w:val="22"/>
                <w:szCs w:val="22"/>
              </w:rPr>
            </w:pPr>
            <w:r>
              <w:rPr>
                <w:rFonts w:hint="eastAsia"/>
                <w:sz w:val="22"/>
                <w:szCs w:val="22"/>
              </w:rPr>
              <w:t>耕地土壤污染安全利用项目</w:t>
            </w:r>
          </w:p>
        </w:tc>
        <w:tc>
          <w:tcPr>
            <w:tcW w:w="0" w:type="auto"/>
            <w:shd w:val="clear" w:color="auto" w:fill="auto"/>
            <w:vAlign w:val="center"/>
          </w:tcPr>
          <w:p>
            <w:pPr>
              <w:ind w:firstLine="0" w:firstLineChars="0"/>
              <w:rPr>
                <w:sz w:val="22"/>
                <w:szCs w:val="22"/>
              </w:rPr>
            </w:pPr>
            <w:r>
              <w:rPr>
                <w:rFonts w:hint="eastAsia"/>
                <w:sz w:val="22"/>
                <w:szCs w:val="22"/>
              </w:rPr>
              <w:t>全域</w:t>
            </w:r>
          </w:p>
        </w:tc>
        <w:tc>
          <w:tcPr>
            <w:tcW w:w="0" w:type="auto"/>
            <w:shd w:val="clear" w:color="auto" w:fill="auto"/>
            <w:vAlign w:val="center"/>
          </w:tcPr>
          <w:p>
            <w:pPr>
              <w:ind w:firstLine="0" w:firstLineChars="0"/>
              <w:rPr>
                <w:rFonts w:ascii="仿宋_GB2312" w:hAnsi="仿宋_GB2312" w:cs="仿宋_GB2312"/>
                <w:bCs/>
              </w:rPr>
            </w:pPr>
            <w:r>
              <w:rPr>
                <w:rFonts w:hint="eastAsia"/>
                <w:sz w:val="22"/>
                <w:szCs w:val="22"/>
              </w:rPr>
              <w:t>根据市级下达任务安排，采取农业措施治理被污染土壤耕地，主要包括：低积累品种种植、叶面阻隔、土壤调理等农艺措施，强化安全利用；通过种植结构调整和退耕还林还草等措施落实严格管控。</w:t>
            </w:r>
          </w:p>
        </w:tc>
        <w:tc>
          <w:tcPr>
            <w:tcW w:w="0" w:type="auto"/>
            <w:shd w:val="clear" w:color="auto" w:fill="auto"/>
            <w:vAlign w:val="center"/>
          </w:tcPr>
          <w:p>
            <w:pPr>
              <w:ind w:firstLine="0" w:firstLineChars="0"/>
              <w:rPr>
                <w:sz w:val="22"/>
                <w:szCs w:val="22"/>
              </w:rPr>
            </w:pPr>
            <w:r>
              <w:rPr>
                <w:rFonts w:hint="eastAsia"/>
                <w:sz w:val="22"/>
                <w:szCs w:val="22"/>
              </w:rPr>
              <w:t>1</w:t>
            </w:r>
            <w:r>
              <w:rPr>
                <w:sz w:val="22"/>
                <w:szCs w:val="22"/>
              </w:rPr>
              <w:t>500</w:t>
            </w:r>
          </w:p>
        </w:tc>
        <w:tc>
          <w:tcPr>
            <w:tcW w:w="0" w:type="auto"/>
            <w:shd w:val="clear" w:color="auto" w:fill="auto"/>
            <w:vAlign w:val="center"/>
          </w:tcPr>
          <w:p>
            <w:pPr>
              <w:ind w:firstLine="0" w:firstLineChars="0"/>
              <w:rPr>
                <w:sz w:val="22"/>
                <w:szCs w:val="22"/>
              </w:rPr>
            </w:pPr>
            <w:r>
              <w:rPr>
                <w:rFonts w:hint="eastAsia"/>
                <w:sz w:val="22"/>
                <w:szCs w:val="22"/>
                <w:lang w:eastAsia="zh-CN"/>
              </w:rPr>
              <w:t>“</w:t>
            </w:r>
            <w:r>
              <w:rPr>
                <w:rFonts w:hint="eastAsia"/>
                <w:sz w:val="22"/>
                <w:szCs w:val="22"/>
              </w:rPr>
              <w:t>十四五</w:t>
            </w:r>
            <w:r>
              <w:rPr>
                <w:rFonts w:hint="eastAsia"/>
                <w:sz w:val="22"/>
                <w:szCs w:val="22"/>
                <w:lang w:eastAsia="zh-CN"/>
              </w:rPr>
              <w:t>”</w:t>
            </w:r>
            <w:r>
              <w:rPr>
                <w:rFonts w:hint="eastAsia"/>
                <w:sz w:val="22"/>
                <w:szCs w:val="22"/>
              </w:rPr>
              <w:t>生态环境保护</w:t>
            </w:r>
          </w:p>
        </w:tc>
        <w:tc>
          <w:tcPr>
            <w:tcW w:w="1229" w:type="dxa"/>
            <w:shd w:val="clear" w:color="auto" w:fill="auto"/>
            <w:vAlign w:val="center"/>
          </w:tcPr>
          <w:p>
            <w:pPr>
              <w:ind w:firstLine="0" w:firstLineChars="0"/>
              <w:rPr>
                <w:sz w:val="22"/>
                <w:szCs w:val="22"/>
              </w:rPr>
            </w:pPr>
            <w:r>
              <w:rPr>
                <w:rFonts w:hint="eastAsia"/>
                <w:sz w:val="22"/>
                <w:szCs w:val="22"/>
              </w:rPr>
              <w:t>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790" w:type="dxa"/>
            <w:shd w:val="clear" w:color="auto" w:fill="auto"/>
            <w:vAlign w:val="center"/>
          </w:tcPr>
          <w:p>
            <w:pPr>
              <w:ind w:firstLine="0" w:firstLineChars="0"/>
              <w:rPr>
                <w:sz w:val="22"/>
                <w:szCs w:val="22"/>
              </w:rPr>
            </w:pPr>
            <w:r>
              <w:rPr>
                <w:rFonts w:hint="eastAsia"/>
                <w:sz w:val="22"/>
                <w:szCs w:val="22"/>
              </w:rPr>
              <w:t>2</w:t>
            </w:r>
            <w:r>
              <w:rPr>
                <w:sz w:val="22"/>
                <w:szCs w:val="22"/>
              </w:rPr>
              <w:t>7</w:t>
            </w:r>
          </w:p>
        </w:tc>
        <w:tc>
          <w:tcPr>
            <w:tcW w:w="0" w:type="auto"/>
            <w:vMerge w:val="continue"/>
            <w:vAlign w:val="center"/>
          </w:tcPr>
          <w:p>
            <w:pPr>
              <w:ind w:firstLine="0" w:firstLineChars="0"/>
              <w:rPr>
                <w:sz w:val="22"/>
                <w:szCs w:val="22"/>
              </w:rPr>
            </w:pPr>
          </w:p>
        </w:tc>
        <w:tc>
          <w:tcPr>
            <w:tcW w:w="0" w:type="auto"/>
            <w:shd w:val="clear" w:color="auto" w:fill="auto"/>
            <w:vAlign w:val="center"/>
          </w:tcPr>
          <w:p>
            <w:pPr>
              <w:ind w:firstLine="0" w:firstLineChars="0"/>
              <w:rPr>
                <w:sz w:val="22"/>
                <w:szCs w:val="22"/>
              </w:rPr>
            </w:pPr>
            <w:r>
              <w:rPr>
                <w:rFonts w:hint="eastAsia"/>
                <w:sz w:val="22"/>
                <w:szCs w:val="22"/>
              </w:rPr>
              <w:t>建设用地污染地块修复项目</w:t>
            </w:r>
          </w:p>
        </w:tc>
        <w:tc>
          <w:tcPr>
            <w:tcW w:w="0" w:type="auto"/>
            <w:shd w:val="clear" w:color="auto" w:fill="auto"/>
            <w:vAlign w:val="center"/>
          </w:tcPr>
          <w:p>
            <w:pPr>
              <w:ind w:firstLine="0" w:firstLineChars="0"/>
              <w:rPr>
                <w:sz w:val="22"/>
                <w:szCs w:val="22"/>
              </w:rPr>
            </w:pPr>
            <w:r>
              <w:rPr>
                <w:rFonts w:hint="eastAsia"/>
                <w:sz w:val="22"/>
                <w:szCs w:val="22"/>
              </w:rPr>
              <w:t>南桐镇、丛林镇</w:t>
            </w:r>
          </w:p>
        </w:tc>
        <w:tc>
          <w:tcPr>
            <w:tcW w:w="0" w:type="auto"/>
            <w:shd w:val="clear" w:color="auto" w:fill="auto"/>
            <w:vAlign w:val="center"/>
          </w:tcPr>
          <w:p>
            <w:pPr>
              <w:ind w:firstLine="0" w:firstLineChars="0"/>
              <w:rPr>
                <w:sz w:val="22"/>
                <w:szCs w:val="22"/>
              </w:rPr>
            </w:pPr>
            <w:r>
              <w:rPr>
                <w:rFonts w:hint="eastAsia"/>
                <w:sz w:val="22"/>
                <w:szCs w:val="22"/>
              </w:rPr>
              <w:t>开展和美机械配件加工厂地块、原晋林机械厂铸件加工区地块修复。</w:t>
            </w:r>
          </w:p>
        </w:tc>
        <w:tc>
          <w:tcPr>
            <w:tcW w:w="0" w:type="auto"/>
            <w:shd w:val="clear" w:color="auto" w:fill="auto"/>
            <w:vAlign w:val="center"/>
          </w:tcPr>
          <w:p>
            <w:pPr>
              <w:ind w:firstLine="0" w:firstLineChars="0"/>
              <w:rPr>
                <w:sz w:val="22"/>
                <w:szCs w:val="22"/>
              </w:rPr>
            </w:pPr>
            <w:r>
              <w:rPr>
                <w:rFonts w:hint="eastAsia"/>
                <w:sz w:val="22"/>
                <w:szCs w:val="22"/>
              </w:rPr>
              <w:t>2</w:t>
            </w:r>
            <w:r>
              <w:rPr>
                <w:sz w:val="22"/>
                <w:szCs w:val="22"/>
              </w:rPr>
              <w:t>000</w:t>
            </w:r>
          </w:p>
        </w:tc>
        <w:tc>
          <w:tcPr>
            <w:tcW w:w="0" w:type="auto"/>
            <w:shd w:val="clear" w:color="auto" w:fill="auto"/>
            <w:vAlign w:val="center"/>
          </w:tcPr>
          <w:p>
            <w:pPr>
              <w:ind w:firstLine="0" w:firstLineChars="0"/>
              <w:rPr>
                <w:sz w:val="22"/>
                <w:szCs w:val="22"/>
              </w:rPr>
            </w:pPr>
            <w:r>
              <w:rPr>
                <w:rFonts w:hint="eastAsia"/>
                <w:sz w:val="22"/>
                <w:szCs w:val="22"/>
                <w:lang w:eastAsia="zh-CN"/>
              </w:rPr>
              <w:t>“</w:t>
            </w:r>
            <w:r>
              <w:rPr>
                <w:rFonts w:hint="eastAsia"/>
                <w:sz w:val="22"/>
                <w:szCs w:val="22"/>
              </w:rPr>
              <w:t>十四五</w:t>
            </w:r>
            <w:r>
              <w:rPr>
                <w:rFonts w:hint="eastAsia"/>
                <w:sz w:val="22"/>
                <w:szCs w:val="22"/>
                <w:lang w:eastAsia="zh-CN"/>
              </w:rPr>
              <w:t>”</w:t>
            </w:r>
            <w:r>
              <w:rPr>
                <w:rFonts w:hint="eastAsia"/>
                <w:sz w:val="22"/>
                <w:szCs w:val="22"/>
              </w:rPr>
              <w:t>生态环境保护</w:t>
            </w:r>
          </w:p>
        </w:tc>
        <w:tc>
          <w:tcPr>
            <w:tcW w:w="1229" w:type="dxa"/>
            <w:shd w:val="clear" w:color="auto" w:fill="auto"/>
            <w:vAlign w:val="center"/>
          </w:tcPr>
          <w:p>
            <w:pPr>
              <w:ind w:firstLine="0" w:firstLineChars="0"/>
              <w:rPr>
                <w:sz w:val="22"/>
                <w:szCs w:val="22"/>
              </w:rPr>
            </w:pPr>
            <w:r>
              <w:rPr>
                <w:rFonts w:hint="eastAsia"/>
                <w:sz w:val="22"/>
                <w:szCs w:val="22"/>
              </w:rPr>
              <w:t>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790" w:type="dxa"/>
            <w:shd w:val="clear" w:color="auto" w:fill="auto"/>
            <w:vAlign w:val="center"/>
          </w:tcPr>
          <w:p>
            <w:pPr>
              <w:ind w:firstLine="0" w:firstLineChars="0"/>
              <w:rPr>
                <w:sz w:val="22"/>
                <w:szCs w:val="22"/>
              </w:rPr>
            </w:pPr>
            <w:r>
              <w:rPr>
                <w:sz w:val="22"/>
                <w:szCs w:val="22"/>
              </w:rPr>
              <w:t>28</w:t>
            </w:r>
          </w:p>
        </w:tc>
        <w:tc>
          <w:tcPr>
            <w:tcW w:w="0" w:type="auto"/>
            <w:vAlign w:val="center"/>
          </w:tcPr>
          <w:p>
            <w:pPr>
              <w:ind w:firstLine="0" w:firstLineChars="0"/>
              <w:rPr>
                <w:sz w:val="22"/>
                <w:szCs w:val="22"/>
              </w:rPr>
            </w:pPr>
            <w:r>
              <w:rPr>
                <w:rFonts w:hint="eastAsia"/>
                <w:sz w:val="22"/>
                <w:szCs w:val="22"/>
              </w:rPr>
              <w:t>全域土地综合整治</w:t>
            </w:r>
          </w:p>
        </w:tc>
        <w:tc>
          <w:tcPr>
            <w:tcW w:w="0" w:type="auto"/>
            <w:shd w:val="clear" w:color="auto" w:fill="auto"/>
            <w:vAlign w:val="center"/>
          </w:tcPr>
          <w:p>
            <w:pPr>
              <w:ind w:firstLine="0" w:firstLineChars="0"/>
              <w:rPr>
                <w:sz w:val="22"/>
                <w:szCs w:val="22"/>
              </w:rPr>
            </w:pPr>
            <w:r>
              <w:rPr>
                <w:rFonts w:hint="eastAsia"/>
                <w:sz w:val="22"/>
                <w:szCs w:val="22"/>
              </w:rPr>
              <w:t>万盛经开区土地开发整理项目</w:t>
            </w:r>
          </w:p>
        </w:tc>
        <w:tc>
          <w:tcPr>
            <w:tcW w:w="0" w:type="auto"/>
            <w:shd w:val="clear" w:color="auto" w:fill="auto"/>
            <w:vAlign w:val="center"/>
          </w:tcPr>
          <w:p>
            <w:pPr>
              <w:ind w:firstLine="0" w:firstLineChars="0"/>
              <w:rPr>
                <w:sz w:val="22"/>
                <w:szCs w:val="22"/>
              </w:rPr>
            </w:pPr>
            <w:r>
              <w:rPr>
                <w:rFonts w:hint="eastAsia"/>
                <w:sz w:val="22"/>
                <w:szCs w:val="22"/>
              </w:rPr>
              <w:t>石林镇茶园村、石鼓村</w:t>
            </w:r>
          </w:p>
          <w:p>
            <w:pPr>
              <w:ind w:firstLine="0" w:firstLineChars="0"/>
              <w:rPr>
                <w:sz w:val="22"/>
                <w:szCs w:val="22"/>
              </w:rPr>
            </w:pPr>
            <w:r>
              <w:rPr>
                <w:rFonts w:hint="eastAsia"/>
                <w:sz w:val="22"/>
                <w:szCs w:val="22"/>
              </w:rPr>
              <w:t>青年镇板辽村</w:t>
            </w:r>
          </w:p>
        </w:tc>
        <w:tc>
          <w:tcPr>
            <w:tcW w:w="0" w:type="auto"/>
            <w:shd w:val="clear" w:color="auto" w:fill="auto"/>
            <w:vAlign w:val="center"/>
          </w:tcPr>
          <w:p>
            <w:pPr>
              <w:ind w:firstLine="0" w:firstLineChars="0"/>
              <w:rPr>
                <w:sz w:val="22"/>
                <w:szCs w:val="22"/>
              </w:rPr>
            </w:pPr>
            <w:r>
              <w:rPr>
                <w:rFonts w:hint="eastAsia"/>
                <w:sz w:val="22"/>
                <w:szCs w:val="22"/>
              </w:rPr>
              <w:t>在万盛经开区石林镇、青年镇等布设土地平整工程、灌溉排水工程、田间道路工程、其他工程，计划实施规模244公顷，预计增加新增耕地12公顷，提高耕地质量，改善经开区生态环境。</w:t>
            </w:r>
          </w:p>
        </w:tc>
        <w:tc>
          <w:tcPr>
            <w:tcW w:w="0" w:type="auto"/>
            <w:shd w:val="clear" w:color="auto" w:fill="auto"/>
            <w:vAlign w:val="center"/>
          </w:tcPr>
          <w:p>
            <w:pPr>
              <w:ind w:firstLine="0" w:firstLineChars="0"/>
              <w:rPr>
                <w:sz w:val="22"/>
                <w:szCs w:val="22"/>
              </w:rPr>
            </w:pPr>
            <w:r>
              <w:rPr>
                <w:rFonts w:hint="eastAsia"/>
                <w:sz w:val="22"/>
                <w:szCs w:val="22"/>
              </w:rPr>
              <w:t>3</w:t>
            </w:r>
            <w:r>
              <w:rPr>
                <w:sz w:val="22"/>
                <w:szCs w:val="22"/>
              </w:rPr>
              <w:t>000</w:t>
            </w:r>
          </w:p>
        </w:tc>
        <w:tc>
          <w:tcPr>
            <w:tcW w:w="0" w:type="auto"/>
            <w:shd w:val="clear" w:color="auto" w:fill="auto"/>
            <w:vAlign w:val="center"/>
          </w:tcPr>
          <w:p>
            <w:pPr>
              <w:ind w:firstLine="0" w:firstLineChars="0"/>
              <w:rPr>
                <w:sz w:val="22"/>
                <w:szCs w:val="22"/>
              </w:rPr>
            </w:pPr>
            <w:r>
              <w:rPr>
                <w:rFonts w:hint="eastAsia"/>
                <w:sz w:val="22"/>
                <w:szCs w:val="22"/>
              </w:rPr>
              <w:t>规资局</w:t>
            </w:r>
          </w:p>
        </w:tc>
        <w:tc>
          <w:tcPr>
            <w:tcW w:w="1229" w:type="dxa"/>
            <w:shd w:val="clear" w:color="auto" w:fill="auto"/>
            <w:vAlign w:val="center"/>
          </w:tcPr>
          <w:p>
            <w:pPr>
              <w:ind w:firstLine="0" w:firstLineChars="0"/>
              <w:rPr>
                <w:sz w:val="22"/>
                <w:szCs w:val="22"/>
              </w:rPr>
            </w:pPr>
            <w:r>
              <w:rPr>
                <w:rFonts w:hint="eastAsia"/>
                <w:sz w:val="22"/>
                <w:szCs w:val="22"/>
              </w:rPr>
              <w:t>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790" w:type="dxa"/>
            <w:shd w:val="clear" w:color="auto" w:fill="auto"/>
            <w:vAlign w:val="center"/>
          </w:tcPr>
          <w:p>
            <w:pPr>
              <w:ind w:firstLine="0" w:firstLineChars="0"/>
              <w:rPr>
                <w:sz w:val="22"/>
                <w:szCs w:val="22"/>
              </w:rPr>
            </w:pPr>
            <w:r>
              <w:rPr>
                <w:rFonts w:hint="eastAsia"/>
                <w:sz w:val="22"/>
                <w:szCs w:val="22"/>
              </w:rPr>
              <w:t>合计</w:t>
            </w:r>
          </w:p>
        </w:tc>
        <w:tc>
          <w:tcPr>
            <w:tcW w:w="0" w:type="auto"/>
            <w:vAlign w:val="center"/>
          </w:tcPr>
          <w:p>
            <w:pPr>
              <w:ind w:firstLine="0" w:firstLineChars="0"/>
              <w:rPr>
                <w:sz w:val="22"/>
                <w:szCs w:val="22"/>
              </w:rPr>
            </w:pPr>
          </w:p>
        </w:tc>
        <w:tc>
          <w:tcPr>
            <w:tcW w:w="0" w:type="auto"/>
            <w:shd w:val="clear" w:color="auto" w:fill="auto"/>
            <w:vAlign w:val="center"/>
          </w:tcPr>
          <w:p>
            <w:pPr>
              <w:ind w:firstLine="0" w:firstLineChars="0"/>
              <w:rPr>
                <w:sz w:val="22"/>
                <w:szCs w:val="22"/>
              </w:rPr>
            </w:pPr>
          </w:p>
        </w:tc>
        <w:tc>
          <w:tcPr>
            <w:tcW w:w="0" w:type="auto"/>
            <w:shd w:val="clear" w:color="auto" w:fill="auto"/>
            <w:vAlign w:val="center"/>
          </w:tcPr>
          <w:p>
            <w:pPr>
              <w:ind w:firstLine="0" w:firstLineChars="0"/>
              <w:rPr>
                <w:sz w:val="22"/>
                <w:szCs w:val="22"/>
              </w:rPr>
            </w:pPr>
          </w:p>
        </w:tc>
        <w:tc>
          <w:tcPr>
            <w:tcW w:w="0" w:type="auto"/>
            <w:shd w:val="clear" w:color="auto" w:fill="auto"/>
            <w:vAlign w:val="center"/>
          </w:tcPr>
          <w:p>
            <w:pPr>
              <w:ind w:firstLine="0" w:firstLineChars="0"/>
              <w:rPr>
                <w:sz w:val="22"/>
                <w:szCs w:val="22"/>
              </w:rPr>
            </w:pPr>
          </w:p>
        </w:tc>
        <w:tc>
          <w:tcPr>
            <w:tcW w:w="0" w:type="auto"/>
            <w:shd w:val="clear" w:color="auto" w:fill="auto"/>
            <w:vAlign w:val="center"/>
          </w:tcPr>
          <w:p>
            <w:pPr>
              <w:ind w:firstLine="0" w:firstLineChars="0"/>
              <w:rPr>
                <w:sz w:val="22"/>
                <w:szCs w:val="22"/>
              </w:rPr>
            </w:pPr>
            <w:r>
              <w:rPr>
                <w:sz w:val="22"/>
                <w:szCs w:val="22"/>
              </w:rPr>
              <w:t>282459.35</w:t>
            </w:r>
          </w:p>
        </w:tc>
        <w:tc>
          <w:tcPr>
            <w:tcW w:w="0" w:type="auto"/>
            <w:shd w:val="clear" w:color="auto" w:fill="auto"/>
            <w:vAlign w:val="center"/>
          </w:tcPr>
          <w:p>
            <w:pPr>
              <w:ind w:firstLine="0" w:firstLineChars="0"/>
              <w:rPr>
                <w:sz w:val="22"/>
                <w:szCs w:val="22"/>
              </w:rPr>
            </w:pPr>
          </w:p>
        </w:tc>
        <w:tc>
          <w:tcPr>
            <w:tcW w:w="1229" w:type="dxa"/>
            <w:shd w:val="clear" w:color="auto" w:fill="auto"/>
            <w:vAlign w:val="center"/>
          </w:tcPr>
          <w:p>
            <w:pPr>
              <w:ind w:firstLine="0" w:firstLineChars="0"/>
              <w:rPr>
                <w:sz w:val="22"/>
                <w:szCs w:val="22"/>
              </w:rPr>
            </w:pPr>
          </w:p>
        </w:tc>
      </w:tr>
      <w:bookmarkEnd w:id="123"/>
    </w:tbl>
    <w:p/>
    <w:bookmarkEnd w:id="34"/>
    <w:p>
      <w:pPr>
        <w:ind w:firstLine="0" w:firstLineChars="0"/>
        <w:rPr>
          <w:b/>
          <w:bCs/>
        </w:rPr>
      </w:pPr>
    </w:p>
    <w:sectPr>
      <w:headerReference r:id="rId14" w:type="first"/>
      <w:footerReference r:id="rId17" w:type="first"/>
      <w:headerReference r:id="rId12" w:type="default"/>
      <w:footerReference r:id="rId15" w:type="default"/>
      <w:headerReference r:id="rId13" w:type="even"/>
      <w:footerReference r:id="rId16" w:type="even"/>
      <w:pgSz w:w="16838" w:h="11906" w:orient="landscape"/>
      <w:pgMar w:top="1587" w:right="1701" w:bottom="1474" w:left="1440" w:header="851" w:footer="992" w:gutter="0"/>
      <w:cols w:space="0" w:num="1"/>
      <w:docGrid w:type="lines" w:linePitch="408"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00"/>
      </w:pPr>
      <w:r>
        <w:separator/>
      </w:r>
    </w:p>
  </w:endnote>
  <w:endnote w:type="continuationSeparator" w:id="1">
    <w:p>
      <w:pPr>
        <w:spacing w:line="240" w:lineRule="auto"/>
        <w:ind w:firstLine="6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方正仿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Segoe UI Symbol">
    <w:panose1 w:val="020B0502040204020203"/>
    <w:charset w:val="00"/>
    <w:family w:val="swiss"/>
    <w:pitch w:val="default"/>
    <w:sig w:usb0="8000006F" w:usb1="1200FBEF" w:usb2="0004C000" w:usb3="00000000" w:csb0="00000001" w:csb1="40000000"/>
  </w:font>
  <w:font w:name="方正小标宋_GBK">
    <w:panose1 w:val="03000509000000000000"/>
    <w:charset w:val="86"/>
    <w:family w:val="script"/>
    <w:pitch w:val="default"/>
    <w:sig w:usb0="00000001" w:usb1="080E0000" w:usb2="00000000" w:usb3="00000000" w:csb0="00040000" w:csb1="00000000"/>
  </w:font>
  <w:font w:name="Batang">
    <w:panose1 w:val="02030600000101010101"/>
    <w:charset w:val="81"/>
    <w:family w:val="roman"/>
    <w:pitch w:val="default"/>
    <w:sig w:usb0="B00002AF" w:usb1="69D77CFB" w:usb2="00000030" w:usb3="00000000" w:csb0="4008009F" w:csb1="DFD70000"/>
  </w:font>
  <w:font w:name="微软雅黑">
    <w:panose1 w:val="020B0503020204020204"/>
    <w:charset w:val="86"/>
    <w:family w:val="auto"/>
    <w:pitch w:val="default"/>
    <w:sig w:usb0="80000287" w:usb1="280F3C52" w:usb2="00000016" w:usb3="00000000" w:csb0="0004001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29067033"/>
      <w:docPartObj>
        <w:docPartGallery w:val="autotext"/>
      </w:docPartObj>
    </w:sdtPr>
    <w:sdtContent>
      <w:p>
        <w:pPr>
          <w:pStyle w:val="15"/>
          <w:ind w:firstLine="360"/>
          <w:jc w:val="center"/>
        </w:pPr>
        <w:r>
          <w:fldChar w:fldCharType="begin"/>
        </w:r>
        <w:r>
          <w:instrText xml:space="preserve">PAGE   \* MERGEFORMAT</w:instrText>
        </w:r>
        <w:r>
          <w:fldChar w:fldCharType="separate"/>
        </w:r>
        <w:r>
          <w:rPr>
            <w:lang w:val="zh-CN"/>
          </w:rPr>
          <w:t>2</w:t>
        </w:r>
        <w:r>
          <w:fldChar w:fldCharType="end"/>
        </w:r>
      </w:p>
    </w:sdtContent>
  </w:sdt>
  <w:p>
    <w:pPr>
      <w:pStyle w:val="15"/>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93777843"/>
      <w:docPartObj>
        <w:docPartGallery w:val="autotext"/>
      </w:docPartObj>
    </w:sdtPr>
    <w:sdtContent>
      <w:p>
        <w:pPr>
          <w:pStyle w:val="15"/>
          <w:ind w:firstLine="360"/>
          <w:jc w:val="center"/>
        </w:pPr>
        <w:r>
          <w:fldChar w:fldCharType="begin"/>
        </w:r>
        <w:r>
          <w:instrText xml:space="preserve">PAGE   \* MERGEFORMAT</w:instrText>
        </w:r>
        <w:r>
          <w:fldChar w:fldCharType="separate"/>
        </w:r>
        <w:r>
          <w:rPr>
            <w:lang w:val="zh-CN"/>
          </w:rPr>
          <w:t>2</w:t>
        </w:r>
        <w:r>
          <w:fldChar w:fldCharType="end"/>
        </w:r>
      </w:p>
    </w:sdtContent>
  </w:sdt>
  <w:p>
    <w:pPr>
      <w:pStyle w:val="15"/>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12" w:lineRule="auto"/>
        <w:ind w:firstLine="600"/>
      </w:pPr>
      <w:r>
        <w:separator/>
      </w:r>
    </w:p>
  </w:footnote>
  <w:footnote w:type="continuationSeparator" w:id="1">
    <w:p>
      <w:pPr>
        <w:spacing w:line="312" w:lineRule="auto"/>
        <w:ind w:firstLine="60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63C54B1"/>
    <w:multiLevelType w:val="multilevel"/>
    <w:tmpl w:val="363C54B1"/>
    <w:lvl w:ilvl="0" w:tentative="0">
      <w:start w:val="8"/>
      <w:numFmt w:val="chineseCountingThousand"/>
      <w:lvlText w:val="第%1章"/>
      <w:lvlJc w:val="left"/>
      <w:pPr>
        <w:ind w:left="10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A501BC8"/>
    <w:multiLevelType w:val="multilevel"/>
    <w:tmpl w:val="4A501BC8"/>
    <w:lvl w:ilvl="0" w:tentative="0">
      <w:start w:val="5"/>
      <w:numFmt w:val="chineseCountingThousand"/>
      <w:lvlText w:val="第%1章"/>
      <w:lvlJc w:val="left"/>
      <w:pPr>
        <w:ind w:left="3113" w:hanging="420"/>
      </w:pPr>
      <w:rPr>
        <w:rFonts w:hint="eastAsia" w:ascii="黑体" w:hAnsi="黑体" w:eastAsia="黑体"/>
        <w:b/>
        <w:bCs/>
        <w:sz w:val="44"/>
        <w:szCs w:val="44"/>
      </w:rPr>
    </w:lvl>
    <w:lvl w:ilvl="1" w:tentative="0">
      <w:start w:val="1"/>
      <w:numFmt w:val="lowerLetter"/>
      <w:lvlText w:val="%2)"/>
      <w:lvlJc w:val="left"/>
      <w:pPr>
        <w:ind w:left="3533" w:hanging="420"/>
      </w:pPr>
    </w:lvl>
    <w:lvl w:ilvl="2" w:tentative="0">
      <w:start w:val="1"/>
      <w:numFmt w:val="lowerRoman"/>
      <w:lvlText w:val="%3."/>
      <w:lvlJc w:val="right"/>
      <w:pPr>
        <w:ind w:left="3953" w:hanging="420"/>
      </w:pPr>
    </w:lvl>
    <w:lvl w:ilvl="3" w:tentative="0">
      <w:start w:val="1"/>
      <w:numFmt w:val="decimal"/>
      <w:lvlText w:val="%4."/>
      <w:lvlJc w:val="left"/>
      <w:pPr>
        <w:ind w:left="4373" w:hanging="420"/>
      </w:pPr>
    </w:lvl>
    <w:lvl w:ilvl="4" w:tentative="0">
      <w:start w:val="1"/>
      <w:numFmt w:val="lowerLetter"/>
      <w:lvlText w:val="%5)"/>
      <w:lvlJc w:val="left"/>
      <w:pPr>
        <w:ind w:left="4793" w:hanging="420"/>
      </w:pPr>
    </w:lvl>
    <w:lvl w:ilvl="5" w:tentative="0">
      <w:start w:val="1"/>
      <w:numFmt w:val="lowerRoman"/>
      <w:lvlText w:val="%6."/>
      <w:lvlJc w:val="right"/>
      <w:pPr>
        <w:ind w:left="5213" w:hanging="420"/>
      </w:pPr>
    </w:lvl>
    <w:lvl w:ilvl="6" w:tentative="0">
      <w:start w:val="1"/>
      <w:numFmt w:val="decimal"/>
      <w:lvlText w:val="%7."/>
      <w:lvlJc w:val="left"/>
      <w:pPr>
        <w:ind w:left="5633" w:hanging="420"/>
      </w:pPr>
    </w:lvl>
    <w:lvl w:ilvl="7" w:tentative="0">
      <w:start w:val="1"/>
      <w:numFmt w:val="lowerLetter"/>
      <w:lvlText w:val="%8)"/>
      <w:lvlJc w:val="left"/>
      <w:pPr>
        <w:ind w:left="6053" w:hanging="420"/>
      </w:pPr>
    </w:lvl>
    <w:lvl w:ilvl="8" w:tentative="0">
      <w:start w:val="1"/>
      <w:numFmt w:val="lowerRoman"/>
      <w:lvlText w:val="%9."/>
      <w:lvlJc w:val="right"/>
      <w:pPr>
        <w:ind w:left="6473" w:hanging="420"/>
      </w:pPr>
    </w:lvl>
  </w:abstractNum>
  <w:abstractNum w:abstractNumId="2">
    <w:nsid w:val="4B4A0EC7"/>
    <w:multiLevelType w:val="multilevel"/>
    <w:tmpl w:val="4B4A0EC7"/>
    <w:lvl w:ilvl="0" w:tentative="0">
      <w:start w:val="6"/>
      <w:numFmt w:val="chineseCountingThousand"/>
      <w:lvlText w:val="第%1章"/>
      <w:lvlJc w:val="left"/>
      <w:pPr>
        <w:ind w:left="10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20811A4"/>
    <w:multiLevelType w:val="multilevel"/>
    <w:tmpl w:val="620811A4"/>
    <w:lvl w:ilvl="0" w:tentative="0">
      <w:start w:val="7"/>
      <w:numFmt w:val="chineseCountingThousand"/>
      <w:lvlText w:val="第%1章"/>
      <w:lvlJc w:val="left"/>
      <w:pPr>
        <w:ind w:left="987" w:hanging="420"/>
      </w:pPr>
      <w:rPr>
        <w:rFonts w:hint="eastAsia"/>
      </w:rPr>
    </w:lvl>
    <w:lvl w:ilvl="1" w:tentative="0">
      <w:start w:val="1"/>
      <w:numFmt w:val="lowerLetter"/>
      <w:lvlText w:val="%2)"/>
      <w:lvlJc w:val="left"/>
      <w:pPr>
        <w:ind w:left="807" w:hanging="420"/>
      </w:pPr>
    </w:lvl>
    <w:lvl w:ilvl="2" w:tentative="0">
      <w:start w:val="1"/>
      <w:numFmt w:val="lowerRoman"/>
      <w:lvlText w:val="%3."/>
      <w:lvlJc w:val="right"/>
      <w:pPr>
        <w:ind w:left="1227" w:hanging="420"/>
      </w:pPr>
    </w:lvl>
    <w:lvl w:ilvl="3" w:tentative="0">
      <w:start w:val="1"/>
      <w:numFmt w:val="decimal"/>
      <w:lvlText w:val="%4."/>
      <w:lvlJc w:val="left"/>
      <w:pPr>
        <w:ind w:left="1647" w:hanging="420"/>
      </w:pPr>
    </w:lvl>
    <w:lvl w:ilvl="4" w:tentative="0">
      <w:start w:val="1"/>
      <w:numFmt w:val="lowerLetter"/>
      <w:lvlText w:val="%5)"/>
      <w:lvlJc w:val="left"/>
      <w:pPr>
        <w:ind w:left="2067" w:hanging="420"/>
      </w:pPr>
    </w:lvl>
    <w:lvl w:ilvl="5" w:tentative="0">
      <w:start w:val="1"/>
      <w:numFmt w:val="lowerRoman"/>
      <w:lvlText w:val="%6."/>
      <w:lvlJc w:val="right"/>
      <w:pPr>
        <w:ind w:left="2487" w:hanging="420"/>
      </w:pPr>
    </w:lvl>
    <w:lvl w:ilvl="6" w:tentative="0">
      <w:start w:val="1"/>
      <w:numFmt w:val="decimal"/>
      <w:lvlText w:val="%7."/>
      <w:lvlJc w:val="left"/>
      <w:pPr>
        <w:ind w:left="2907" w:hanging="420"/>
      </w:pPr>
    </w:lvl>
    <w:lvl w:ilvl="7" w:tentative="0">
      <w:start w:val="1"/>
      <w:numFmt w:val="lowerLetter"/>
      <w:lvlText w:val="%8)"/>
      <w:lvlJc w:val="left"/>
      <w:pPr>
        <w:ind w:left="3327" w:hanging="420"/>
      </w:pPr>
    </w:lvl>
    <w:lvl w:ilvl="8" w:tentative="0">
      <w:start w:val="1"/>
      <w:numFmt w:val="lowerRoman"/>
      <w:lvlText w:val="%9."/>
      <w:lvlJc w:val="right"/>
      <w:pPr>
        <w:ind w:left="3747" w:hanging="42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50"/>
  <w:drawingGridVerticalSpacing w:val="204"/>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UyMjhlYmI1MzgyYWY1MDg5NWFkZDRiMGJlYTIyMjAifQ=="/>
  </w:docVars>
  <w:rsids>
    <w:rsidRoot w:val="00FE1C52"/>
    <w:rsid w:val="000005F8"/>
    <w:rsid w:val="0000508C"/>
    <w:rsid w:val="00006A63"/>
    <w:rsid w:val="00006C71"/>
    <w:rsid w:val="00012073"/>
    <w:rsid w:val="00020FEE"/>
    <w:rsid w:val="000210F6"/>
    <w:rsid w:val="0002400E"/>
    <w:rsid w:val="00031F43"/>
    <w:rsid w:val="00035F66"/>
    <w:rsid w:val="000479E6"/>
    <w:rsid w:val="00050F0B"/>
    <w:rsid w:val="0005172F"/>
    <w:rsid w:val="0005641B"/>
    <w:rsid w:val="00057B8C"/>
    <w:rsid w:val="0006758A"/>
    <w:rsid w:val="000714DF"/>
    <w:rsid w:val="00072573"/>
    <w:rsid w:val="00072DB8"/>
    <w:rsid w:val="00074D51"/>
    <w:rsid w:val="00081859"/>
    <w:rsid w:val="0009295B"/>
    <w:rsid w:val="0009369B"/>
    <w:rsid w:val="00093CE1"/>
    <w:rsid w:val="000952BE"/>
    <w:rsid w:val="0009582C"/>
    <w:rsid w:val="00096087"/>
    <w:rsid w:val="000A2EC5"/>
    <w:rsid w:val="000A35E5"/>
    <w:rsid w:val="000A3C27"/>
    <w:rsid w:val="000A7944"/>
    <w:rsid w:val="000B007E"/>
    <w:rsid w:val="000B3DFB"/>
    <w:rsid w:val="000C0E60"/>
    <w:rsid w:val="000C266C"/>
    <w:rsid w:val="000D065E"/>
    <w:rsid w:val="000D2170"/>
    <w:rsid w:val="000E1973"/>
    <w:rsid w:val="000F7B24"/>
    <w:rsid w:val="001079A7"/>
    <w:rsid w:val="00120D13"/>
    <w:rsid w:val="001230B1"/>
    <w:rsid w:val="00123E02"/>
    <w:rsid w:val="001343A9"/>
    <w:rsid w:val="00134AC7"/>
    <w:rsid w:val="001404EB"/>
    <w:rsid w:val="00142FFE"/>
    <w:rsid w:val="00145F60"/>
    <w:rsid w:val="0014748A"/>
    <w:rsid w:val="00153412"/>
    <w:rsid w:val="00153F30"/>
    <w:rsid w:val="00160F93"/>
    <w:rsid w:val="00164ED3"/>
    <w:rsid w:val="00167B3C"/>
    <w:rsid w:val="00171202"/>
    <w:rsid w:val="001723BB"/>
    <w:rsid w:val="00181DC6"/>
    <w:rsid w:val="00183985"/>
    <w:rsid w:val="00184641"/>
    <w:rsid w:val="001931B1"/>
    <w:rsid w:val="00197A1A"/>
    <w:rsid w:val="001A7AA7"/>
    <w:rsid w:val="001B2FE4"/>
    <w:rsid w:val="001B34A3"/>
    <w:rsid w:val="001B431B"/>
    <w:rsid w:val="001B7D41"/>
    <w:rsid w:val="001C03AC"/>
    <w:rsid w:val="001C4376"/>
    <w:rsid w:val="001D39FB"/>
    <w:rsid w:val="001D45B7"/>
    <w:rsid w:val="001D5A45"/>
    <w:rsid w:val="001E07CD"/>
    <w:rsid w:val="001F135A"/>
    <w:rsid w:val="001F6C1E"/>
    <w:rsid w:val="00202640"/>
    <w:rsid w:val="00210EE4"/>
    <w:rsid w:val="00220AA1"/>
    <w:rsid w:val="002218B9"/>
    <w:rsid w:val="00227EDB"/>
    <w:rsid w:val="0023476F"/>
    <w:rsid w:val="00250195"/>
    <w:rsid w:val="00260CF1"/>
    <w:rsid w:val="00264F1D"/>
    <w:rsid w:val="00274DC2"/>
    <w:rsid w:val="00275A1E"/>
    <w:rsid w:val="002858CA"/>
    <w:rsid w:val="002938DB"/>
    <w:rsid w:val="002A2CAA"/>
    <w:rsid w:val="002B5550"/>
    <w:rsid w:val="002C7BA6"/>
    <w:rsid w:val="002D1735"/>
    <w:rsid w:val="002D2F6B"/>
    <w:rsid w:val="002D3612"/>
    <w:rsid w:val="002D53AA"/>
    <w:rsid w:val="002E7675"/>
    <w:rsid w:val="002E7BF4"/>
    <w:rsid w:val="002F22BD"/>
    <w:rsid w:val="002F7555"/>
    <w:rsid w:val="00300329"/>
    <w:rsid w:val="00302241"/>
    <w:rsid w:val="00305D38"/>
    <w:rsid w:val="003061E1"/>
    <w:rsid w:val="003064EB"/>
    <w:rsid w:val="003165BB"/>
    <w:rsid w:val="00326114"/>
    <w:rsid w:val="00331595"/>
    <w:rsid w:val="003340A1"/>
    <w:rsid w:val="003359E2"/>
    <w:rsid w:val="003411B2"/>
    <w:rsid w:val="0034283B"/>
    <w:rsid w:val="0035175C"/>
    <w:rsid w:val="00352844"/>
    <w:rsid w:val="00364196"/>
    <w:rsid w:val="00371268"/>
    <w:rsid w:val="00376B77"/>
    <w:rsid w:val="0038465F"/>
    <w:rsid w:val="00390531"/>
    <w:rsid w:val="00396F3A"/>
    <w:rsid w:val="003A3A24"/>
    <w:rsid w:val="003B7AE3"/>
    <w:rsid w:val="003C63C9"/>
    <w:rsid w:val="003D57E8"/>
    <w:rsid w:val="003D678E"/>
    <w:rsid w:val="003E45AD"/>
    <w:rsid w:val="003E4A3A"/>
    <w:rsid w:val="0040222C"/>
    <w:rsid w:val="00403F93"/>
    <w:rsid w:val="00407F85"/>
    <w:rsid w:val="00417697"/>
    <w:rsid w:val="0042391E"/>
    <w:rsid w:val="0042458A"/>
    <w:rsid w:val="00444D02"/>
    <w:rsid w:val="00447041"/>
    <w:rsid w:val="00451B96"/>
    <w:rsid w:val="00453D65"/>
    <w:rsid w:val="00457B6D"/>
    <w:rsid w:val="00467F94"/>
    <w:rsid w:val="0047192E"/>
    <w:rsid w:val="004753F4"/>
    <w:rsid w:val="00481559"/>
    <w:rsid w:val="00482C1F"/>
    <w:rsid w:val="00492872"/>
    <w:rsid w:val="0049293D"/>
    <w:rsid w:val="00495684"/>
    <w:rsid w:val="004A02D4"/>
    <w:rsid w:val="004A18C5"/>
    <w:rsid w:val="004A6164"/>
    <w:rsid w:val="004B4D9C"/>
    <w:rsid w:val="004C11C3"/>
    <w:rsid w:val="004D050D"/>
    <w:rsid w:val="004E6BC0"/>
    <w:rsid w:val="004E6FBF"/>
    <w:rsid w:val="004F0903"/>
    <w:rsid w:val="005016F7"/>
    <w:rsid w:val="00502966"/>
    <w:rsid w:val="00506AE4"/>
    <w:rsid w:val="0050762A"/>
    <w:rsid w:val="005079B7"/>
    <w:rsid w:val="00511E3E"/>
    <w:rsid w:val="005262D9"/>
    <w:rsid w:val="005332FC"/>
    <w:rsid w:val="005342F2"/>
    <w:rsid w:val="00541687"/>
    <w:rsid w:val="00544EFC"/>
    <w:rsid w:val="0055487F"/>
    <w:rsid w:val="00556830"/>
    <w:rsid w:val="0056618A"/>
    <w:rsid w:val="00566F5C"/>
    <w:rsid w:val="00575810"/>
    <w:rsid w:val="005758DD"/>
    <w:rsid w:val="0058499D"/>
    <w:rsid w:val="00584E50"/>
    <w:rsid w:val="005851F7"/>
    <w:rsid w:val="00590A99"/>
    <w:rsid w:val="00590DFB"/>
    <w:rsid w:val="005B04C1"/>
    <w:rsid w:val="005B3CFF"/>
    <w:rsid w:val="005D2248"/>
    <w:rsid w:val="005D4FF8"/>
    <w:rsid w:val="005D5EBA"/>
    <w:rsid w:val="005D6F18"/>
    <w:rsid w:val="005E1441"/>
    <w:rsid w:val="005E558B"/>
    <w:rsid w:val="005F1BB5"/>
    <w:rsid w:val="005F5A43"/>
    <w:rsid w:val="005F7C41"/>
    <w:rsid w:val="006013EA"/>
    <w:rsid w:val="0061166F"/>
    <w:rsid w:val="00613A5E"/>
    <w:rsid w:val="00623B9F"/>
    <w:rsid w:val="006273BB"/>
    <w:rsid w:val="00643AE2"/>
    <w:rsid w:val="00643D6F"/>
    <w:rsid w:val="0064669F"/>
    <w:rsid w:val="00650210"/>
    <w:rsid w:val="00655EE6"/>
    <w:rsid w:val="006610C7"/>
    <w:rsid w:val="006653CC"/>
    <w:rsid w:val="00670F7A"/>
    <w:rsid w:val="00673979"/>
    <w:rsid w:val="006757F7"/>
    <w:rsid w:val="00675FF3"/>
    <w:rsid w:val="00676820"/>
    <w:rsid w:val="006776F7"/>
    <w:rsid w:val="00682C11"/>
    <w:rsid w:val="006945D0"/>
    <w:rsid w:val="00697D6B"/>
    <w:rsid w:val="006A191F"/>
    <w:rsid w:val="006B5234"/>
    <w:rsid w:val="006B599D"/>
    <w:rsid w:val="006B78E8"/>
    <w:rsid w:val="006C79AA"/>
    <w:rsid w:val="006D6C66"/>
    <w:rsid w:val="006E16E9"/>
    <w:rsid w:val="006F4E30"/>
    <w:rsid w:val="00700964"/>
    <w:rsid w:val="007010F3"/>
    <w:rsid w:val="007038DF"/>
    <w:rsid w:val="007143C7"/>
    <w:rsid w:val="0071782E"/>
    <w:rsid w:val="00717A2C"/>
    <w:rsid w:val="00722710"/>
    <w:rsid w:val="007301E1"/>
    <w:rsid w:val="007309AD"/>
    <w:rsid w:val="00731AAA"/>
    <w:rsid w:val="00737AC7"/>
    <w:rsid w:val="00740017"/>
    <w:rsid w:val="00743346"/>
    <w:rsid w:val="00745388"/>
    <w:rsid w:val="00747C7D"/>
    <w:rsid w:val="00750A93"/>
    <w:rsid w:val="00751986"/>
    <w:rsid w:val="0075558B"/>
    <w:rsid w:val="007617D7"/>
    <w:rsid w:val="007714EB"/>
    <w:rsid w:val="007725FE"/>
    <w:rsid w:val="00772B23"/>
    <w:rsid w:val="007779FC"/>
    <w:rsid w:val="00784650"/>
    <w:rsid w:val="00792FED"/>
    <w:rsid w:val="007A628F"/>
    <w:rsid w:val="007A717B"/>
    <w:rsid w:val="007C05AB"/>
    <w:rsid w:val="007C4102"/>
    <w:rsid w:val="007C7E0E"/>
    <w:rsid w:val="007D01D2"/>
    <w:rsid w:val="007D0679"/>
    <w:rsid w:val="007D0D73"/>
    <w:rsid w:val="007E1594"/>
    <w:rsid w:val="007E6450"/>
    <w:rsid w:val="007E73C1"/>
    <w:rsid w:val="007E7EC2"/>
    <w:rsid w:val="00801B13"/>
    <w:rsid w:val="00806FEE"/>
    <w:rsid w:val="008074E4"/>
    <w:rsid w:val="00807A85"/>
    <w:rsid w:val="008119A7"/>
    <w:rsid w:val="0081555C"/>
    <w:rsid w:val="00824C7D"/>
    <w:rsid w:val="00835F9D"/>
    <w:rsid w:val="00840F99"/>
    <w:rsid w:val="008427DC"/>
    <w:rsid w:val="00842C15"/>
    <w:rsid w:val="008443F8"/>
    <w:rsid w:val="00845EEF"/>
    <w:rsid w:val="008466CA"/>
    <w:rsid w:val="0085124E"/>
    <w:rsid w:val="0085579C"/>
    <w:rsid w:val="00860FCA"/>
    <w:rsid w:val="00865377"/>
    <w:rsid w:val="00866626"/>
    <w:rsid w:val="00877BD5"/>
    <w:rsid w:val="00880013"/>
    <w:rsid w:val="008815E9"/>
    <w:rsid w:val="0088184B"/>
    <w:rsid w:val="00881D1E"/>
    <w:rsid w:val="00890787"/>
    <w:rsid w:val="0089377F"/>
    <w:rsid w:val="00895A66"/>
    <w:rsid w:val="008A1368"/>
    <w:rsid w:val="008A1620"/>
    <w:rsid w:val="008A2631"/>
    <w:rsid w:val="008A37D7"/>
    <w:rsid w:val="008A74C4"/>
    <w:rsid w:val="008A7D36"/>
    <w:rsid w:val="008C065E"/>
    <w:rsid w:val="008D01C7"/>
    <w:rsid w:val="008D331E"/>
    <w:rsid w:val="008D3D9C"/>
    <w:rsid w:val="008D45D9"/>
    <w:rsid w:val="008D4D7F"/>
    <w:rsid w:val="008D6B1C"/>
    <w:rsid w:val="008D6B71"/>
    <w:rsid w:val="008E7693"/>
    <w:rsid w:val="008F23A5"/>
    <w:rsid w:val="00904EB2"/>
    <w:rsid w:val="00905E30"/>
    <w:rsid w:val="009132E1"/>
    <w:rsid w:val="00922B65"/>
    <w:rsid w:val="009245F8"/>
    <w:rsid w:val="00934BB8"/>
    <w:rsid w:val="0093636F"/>
    <w:rsid w:val="00936AE3"/>
    <w:rsid w:val="009403B9"/>
    <w:rsid w:val="00946786"/>
    <w:rsid w:val="00953D58"/>
    <w:rsid w:val="00954679"/>
    <w:rsid w:val="00957102"/>
    <w:rsid w:val="00962198"/>
    <w:rsid w:val="00967D63"/>
    <w:rsid w:val="00983E2F"/>
    <w:rsid w:val="00984235"/>
    <w:rsid w:val="00985527"/>
    <w:rsid w:val="00985FAB"/>
    <w:rsid w:val="0099073A"/>
    <w:rsid w:val="00992EA5"/>
    <w:rsid w:val="00993935"/>
    <w:rsid w:val="00995BA6"/>
    <w:rsid w:val="00996308"/>
    <w:rsid w:val="009978A5"/>
    <w:rsid w:val="009A3530"/>
    <w:rsid w:val="009A50F8"/>
    <w:rsid w:val="009B6CB4"/>
    <w:rsid w:val="009D2052"/>
    <w:rsid w:val="009E3BF9"/>
    <w:rsid w:val="009E5408"/>
    <w:rsid w:val="009E7B4A"/>
    <w:rsid w:val="009E7E9C"/>
    <w:rsid w:val="009F5F74"/>
    <w:rsid w:val="00A014B1"/>
    <w:rsid w:val="00A01C1E"/>
    <w:rsid w:val="00A10F9F"/>
    <w:rsid w:val="00A166BE"/>
    <w:rsid w:val="00A2030A"/>
    <w:rsid w:val="00A20CA3"/>
    <w:rsid w:val="00A20F28"/>
    <w:rsid w:val="00A228E8"/>
    <w:rsid w:val="00A319BC"/>
    <w:rsid w:val="00A31C3A"/>
    <w:rsid w:val="00A32299"/>
    <w:rsid w:val="00A35379"/>
    <w:rsid w:val="00A35DB8"/>
    <w:rsid w:val="00A414C6"/>
    <w:rsid w:val="00A42E78"/>
    <w:rsid w:val="00A539EE"/>
    <w:rsid w:val="00A53E4E"/>
    <w:rsid w:val="00A628F0"/>
    <w:rsid w:val="00A65081"/>
    <w:rsid w:val="00A7124B"/>
    <w:rsid w:val="00A80763"/>
    <w:rsid w:val="00A8708D"/>
    <w:rsid w:val="00A908D9"/>
    <w:rsid w:val="00A944DA"/>
    <w:rsid w:val="00AA042C"/>
    <w:rsid w:val="00AA4167"/>
    <w:rsid w:val="00AA5905"/>
    <w:rsid w:val="00AB25A1"/>
    <w:rsid w:val="00AB45DD"/>
    <w:rsid w:val="00AB60B6"/>
    <w:rsid w:val="00AB663B"/>
    <w:rsid w:val="00AB6A5A"/>
    <w:rsid w:val="00AC7E8D"/>
    <w:rsid w:val="00AD0A41"/>
    <w:rsid w:val="00AD1F84"/>
    <w:rsid w:val="00AD2820"/>
    <w:rsid w:val="00AD4AA8"/>
    <w:rsid w:val="00AD6501"/>
    <w:rsid w:val="00AE0E7B"/>
    <w:rsid w:val="00AE1F5A"/>
    <w:rsid w:val="00AF17DA"/>
    <w:rsid w:val="00AF52CC"/>
    <w:rsid w:val="00B01FD3"/>
    <w:rsid w:val="00B0389A"/>
    <w:rsid w:val="00B048E7"/>
    <w:rsid w:val="00B06CE8"/>
    <w:rsid w:val="00B10101"/>
    <w:rsid w:val="00B10686"/>
    <w:rsid w:val="00B16D1E"/>
    <w:rsid w:val="00B21525"/>
    <w:rsid w:val="00B22562"/>
    <w:rsid w:val="00B36965"/>
    <w:rsid w:val="00B37962"/>
    <w:rsid w:val="00B4187C"/>
    <w:rsid w:val="00B50415"/>
    <w:rsid w:val="00B5157A"/>
    <w:rsid w:val="00B5322D"/>
    <w:rsid w:val="00B544AE"/>
    <w:rsid w:val="00B56AF8"/>
    <w:rsid w:val="00B63A1E"/>
    <w:rsid w:val="00B70055"/>
    <w:rsid w:val="00B83759"/>
    <w:rsid w:val="00B84393"/>
    <w:rsid w:val="00B86331"/>
    <w:rsid w:val="00B912ED"/>
    <w:rsid w:val="00BA1241"/>
    <w:rsid w:val="00BA5BF6"/>
    <w:rsid w:val="00BA78E7"/>
    <w:rsid w:val="00BB178D"/>
    <w:rsid w:val="00BB2105"/>
    <w:rsid w:val="00BB5493"/>
    <w:rsid w:val="00BC1B26"/>
    <w:rsid w:val="00BC28F5"/>
    <w:rsid w:val="00BC6112"/>
    <w:rsid w:val="00BD1905"/>
    <w:rsid w:val="00BD47EE"/>
    <w:rsid w:val="00BE27CA"/>
    <w:rsid w:val="00BE3B4C"/>
    <w:rsid w:val="00BE46B8"/>
    <w:rsid w:val="00BE7BAB"/>
    <w:rsid w:val="00BF0E9D"/>
    <w:rsid w:val="00BF31D7"/>
    <w:rsid w:val="00BF3C3B"/>
    <w:rsid w:val="00BF4466"/>
    <w:rsid w:val="00BF65C6"/>
    <w:rsid w:val="00C03108"/>
    <w:rsid w:val="00C03523"/>
    <w:rsid w:val="00C0612B"/>
    <w:rsid w:val="00C138B0"/>
    <w:rsid w:val="00C13F51"/>
    <w:rsid w:val="00C16241"/>
    <w:rsid w:val="00C305B2"/>
    <w:rsid w:val="00C33EFE"/>
    <w:rsid w:val="00C342A6"/>
    <w:rsid w:val="00C4123F"/>
    <w:rsid w:val="00C44CA5"/>
    <w:rsid w:val="00C5688A"/>
    <w:rsid w:val="00C57E98"/>
    <w:rsid w:val="00C61405"/>
    <w:rsid w:val="00C63083"/>
    <w:rsid w:val="00C63494"/>
    <w:rsid w:val="00C63BCF"/>
    <w:rsid w:val="00C67B05"/>
    <w:rsid w:val="00C710DA"/>
    <w:rsid w:val="00C715ED"/>
    <w:rsid w:val="00C71EB5"/>
    <w:rsid w:val="00C763B6"/>
    <w:rsid w:val="00C77423"/>
    <w:rsid w:val="00C77D68"/>
    <w:rsid w:val="00C80CAB"/>
    <w:rsid w:val="00C8163F"/>
    <w:rsid w:val="00C83ABC"/>
    <w:rsid w:val="00C854C9"/>
    <w:rsid w:val="00CA1AF2"/>
    <w:rsid w:val="00CA2557"/>
    <w:rsid w:val="00CA27F0"/>
    <w:rsid w:val="00CB0021"/>
    <w:rsid w:val="00CB5281"/>
    <w:rsid w:val="00CB6463"/>
    <w:rsid w:val="00CB7E6B"/>
    <w:rsid w:val="00CC0839"/>
    <w:rsid w:val="00CD4EA6"/>
    <w:rsid w:val="00CE109F"/>
    <w:rsid w:val="00CE1407"/>
    <w:rsid w:val="00CE1A7F"/>
    <w:rsid w:val="00CE36DC"/>
    <w:rsid w:val="00CE7EBF"/>
    <w:rsid w:val="00D0026A"/>
    <w:rsid w:val="00D002A5"/>
    <w:rsid w:val="00D01B9B"/>
    <w:rsid w:val="00D127F5"/>
    <w:rsid w:val="00D12953"/>
    <w:rsid w:val="00D134AE"/>
    <w:rsid w:val="00D210F4"/>
    <w:rsid w:val="00D22B7F"/>
    <w:rsid w:val="00D405FC"/>
    <w:rsid w:val="00D44735"/>
    <w:rsid w:val="00D47074"/>
    <w:rsid w:val="00D506DE"/>
    <w:rsid w:val="00D57181"/>
    <w:rsid w:val="00D61773"/>
    <w:rsid w:val="00D72C55"/>
    <w:rsid w:val="00D770DA"/>
    <w:rsid w:val="00D83BBA"/>
    <w:rsid w:val="00D86276"/>
    <w:rsid w:val="00D90A3F"/>
    <w:rsid w:val="00D94CCF"/>
    <w:rsid w:val="00D96891"/>
    <w:rsid w:val="00DA0970"/>
    <w:rsid w:val="00DA15F7"/>
    <w:rsid w:val="00DA6504"/>
    <w:rsid w:val="00DA6929"/>
    <w:rsid w:val="00DB0017"/>
    <w:rsid w:val="00DD4005"/>
    <w:rsid w:val="00DE2777"/>
    <w:rsid w:val="00DF12C7"/>
    <w:rsid w:val="00DF5CFA"/>
    <w:rsid w:val="00DF6B50"/>
    <w:rsid w:val="00DF7AD9"/>
    <w:rsid w:val="00E01A28"/>
    <w:rsid w:val="00E074AC"/>
    <w:rsid w:val="00E07DB5"/>
    <w:rsid w:val="00E1495C"/>
    <w:rsid w:val="00E17C97"/>
    <w:rsid w:val="00E17CA8"/>
    <w:rsid w:val="00E31BF4"/>
    <w:rsid w:val="00E36508"/>
    <w:rsid w:val="00E4207F"/>
    <w:rsid w:val="00E45E41"/>
    <w:rsid w:val="00E527D6"/>
    <w:rsid w:val="00E532F3"/>
    <w:rsid w:val="00E54E31"/>
    <w:rsid w:val="00E62E47"/>
    <w:rsid w:val="00E64942"/>
    <w:rsid w:val="00E72BDA"/>
    <w:rsid w:val="00E77CEC"/>
    <w:rsid w:val="00E8508C"/>
    <w:rsid w:val="00E94092"/>
    <w:rsid w:val="00E961F5"/>
    <w:rsid w:val="00EA6411"/>
    <w:rsid w:val="00EB1F44"/>
    <w:rsid w:val="00EC08D8"/>
    <w:rsid w:val="00EC541D"/>
    <w:rsid w:val="00ED12C8"/>
    <w:rsid w:val="00ED545F"/>
    <w:rsid w:val="00ED582F"/>
    <w:rsid w:val="00EE0ED9"/>
    <w:rsid w:val="00EE4196"/>
    <w:rsid w:val="00EE4FC2"/>
    <w:rsid w:val="00EE5811"/>
    <w:rsid w:val="00EF0111"/>
    <w:rsid w:val="00EF34BD"/>
    <w:rsid w:val="00EF3E84"/>
    <w:rsid w:val="00EF5D60"/>
    <w:rsid w:val="00F01AA7"/>
    <w:rsid w:val="00F0215E"/>
    <w:rsid w:val="00F0382F"/>
    <w:rsid w:val="00F151C8"/>
    <w:rsid w:val="00F2515C"/>
    <w:rsid w:val="00F26758"/>
    <w:rsid w:val="00F26A73"/>
    <w:rsid w:val="00F278F9"/>
    <w:rsid w:val="00F3055D"/>
    <w:rsid w:val="00F369FE"/>
    <w:rsid w:val="00F4110B"/>
    <w:rsid w:val="00F41EF4"/>
    <w:rsid w:val="00F44CA7"/>
    <w:rsid w:val="00F44E14"/>
    <w:rsid w:val="00F46B9B"/>
    <w:rsid w:val="00F477E9"/>
    <w:rsid w:val="00F51156"/>
    <w:rsid w:val="00F55278"/>
    <w:rsid w:val="00F6268F"/>
    <w:rsid w:val="00F700A2"/>
    <w:rsid w:val="00F74C3E"/>
    <w:rsid w:val="00F77BCE"/>
    <w:rsid w:val="00F808F8"/>
    <w:rsid w:val="00F84FE0"/>
    <w:rsid w:val="00F91665"/>
    <w:rsid w:val="00FA0BC1"/>
    <w:rsid w:val="00FA0DEE"/>
    <w:rsid w:val="00FA5834"/>
    <w:rsid w:val="00FA62EE"/>
    <w:rsid w:val="00FB42D7"/>
    <w:rsid w:val="00FC541B"/>
    <w:rsid w:val="00FD66C5"/>
    <w:rsid w:val="00FE1C52"/>
    <w:rsid w:val="00FF3B14"/>
    <w:rsid w:val="1D3A564F"/>
    <w:rsid w:val="660F15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12" w:lineRule="auto"/>
      <w:ind w:firstLine="600" w:firstLineChars="200"/>
      <w:jc w:val="both"/>
    </w:pPr>
    <w:rPr>
      <w:rFonts w:eastAsia="仿宋_GB2312" w:asciiTheme="minorHAnsi" w:hAnsiTheme="minorHAnsi" w:cstheme="minorBidi"/>
      <w:kern w:val="2"/>
      <w:sz w:val="30"/>
      <w:szCs w:val="24"/>
      <w:lang w:val="en-US" w:eastAsia="zh-CN" w:bidi="ar-SA"/>
    </w:rPr>
  </w:style>
  <w:style w:type="paragraph" w:styleId="2">
    <w:name w:val="heading 1"/>
    <w:basedOn w:val="1"/>
    <w:next w:val="1"/>
    <w:link w:val="29"/>
    <w:qFormat/>
    <w:uiPriority w:val="9"/>
    <w:pPr>
      <w:keepNext/>
      <w:keepLines/>
      <w:spacing w:before="340" w:after="330" w:line="578" w:lineRule="auto"/>
      <w:ind w:firstLine="0" w:firstLineChars="0"/>
      <w:outlineLvl w:val="0"/>
    </w:pPr>
    <w:rPr>
      <w:rFonts w:eastAsia="黑体"/>
      <w:b/>
      <w:bCs/>
      <w:kern w:val="44"/>
      <w:sz w:val="44"/>
      <w:szCs w:val="44"/>
    </w:rPr>
  </w:style>
  <w:style w:type="paragraph" w:styleId="3">
    <w:name w:val="heading 2"/>
    <w:basedOn w:val="1"/>
    <w:next w:val="1"/>
    <w:link w:val="30"/>
    <w:unhideWhenUsed/>
    <w:qFormat/>
    <w:uiPriority w:val="9"/>
    <w:pPr>
      <w:keepNext/>
      <w:keepLines/>
      <w:spacing w:before="260" w:after="260" w:line="415" w:lineRule="auto"/>
      <w:ind w:firstLine="0" w:firstLineChars="0"/>
      <w:outlineLvl w:val="1"/>
    </w:pPr>
    <w:rPr>
      <w:rFonts w:eastAsia="黑体" w:asciiTheme="majorHAnsi" w:hAnsiTheme="majorHAnsi" w:cstheme="majorBidi"/>
      <w:b/>
      <w:bCs/>
      <w:snapToGrid w:val="0"/>
      <w:szCs w:val="32"/>
    </w:rPr>
  </w:style>
  <w:style w:type="paragraph" w:styleId="4">
    <w:name w:val="heading 3"/>
    <w:basedOn w:val="1"/>
    <w:next w:val="1"/>
    <w:link w:val="31"/>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2"/>
    <w:unhideWhenUsed/>
    <w:qFormat/>
    <w:uiPriority w:val="9"/>
    <w:pPr>
      <w:keepNext/>
      <w:keepLines/>
      <w:spacing w:before="280" w:after="290" w:line="376" w:lineRule="auto"/>
      <w:outlineLvl w:val="3"/>
    </w:pPr>
    <w:rPr>
      <w:rFonts w:asciiTheme="majorHAnsi" w:hAnsiTheme="majorHAnsi" w:cstheme="majorBidi"/>
      <w:b/>
      <w:bCs/>
      <w:szCs w:val="28"/>
    </w:rPr>
  </w:style>
  <w:style w:type="paragraph" w:styleId="6">
    <w:name w:val="heading 5"/>
    <w:basedOn w:val="1"/>
    <w:next w:val="1"/>
    <w:link w:val="33"/>
    <w:unhideWhenUsed/>
    <w:qFormat/>
    <w:uiPriority w:val="9"/>
    <w:pPr>
      <w:keepNext/>
      <w:keepLines/>
      <w:spacing w:before="280" w:after="290" w:line="376" w:lineRule="auto"/>
      <w:outlineLvl w:val="4"/>
    </w:pPr>
    <w:rPr>
      <w:b/>
      <w:bCs/>
      <w:szCs w:val="28"/>
    </w:rPr>
  </w:style>
  <w:style w:type="paragraph" w:styleId="7">
    <w:name w:val="heading 8"/>
    <w:basedOn w:val="1"/>
    <w:next w:val="1"/>
    <w:link w:val="34"/>
    <w:semiHidden/>
    <w:unhideWhenUsed/>
    <w:qFormat/>
    <w:uiPriority w:val="9"/>
    <w:pPr>
      <w:keepNext/>
      <w:keepLines/>
      <w:spacing w:before="240" w:after="64" w:line="320" w:lineRule="auto"/>
      <w:outlineLvl w:val="7"/>
    </w:pPr>
    <w:rPr>
      <w:rFonts w:asciiTheme="majorHAnsi" w:hAnsiTheme="majorHAnsi" w:eastAsiaTheme="majorEastAsia" w:cstheme="majorBidi"/>
      <w:sz w:val="24"/>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unhideWhenUsed/>
    <w:qFormat/>
    <w:uiPriority w:val="39"/>
    <w:pPr>
      <w:ind w:left="1800"/>
    </w:pPr>
    <w:rPr>
      <w:rFonts w:eastAsiaTheme="minorHAnsi"/>
      <w:sz w:val="20"/>
      <w:szCs w:val="20"/>
    </w:rPr>
  </w:style>
  <w:style w:type="paragraph" w:styleId="9">
    <w:name w:val="annotation text"/>
    <w:basedOn w:val="1"/>
    <w:link w:val="43"/>
    <w:semiHidden/>
    <w:unhideWhenUsed/>
    <w:qFormat/>
    <w:uiPriority w:val="99"/>
  </w:style>
  <w:style w:type="paragraph" w:styleId="10">
    <w:name w:val="Body Text"/>
    <w:basedOn w:val="1"/>
    <w:link w:val="46"/>
    <w:qFormat/>
    <w:uiPriority w:val="99"/>
    <w:pPr>
      <w:jc w:val="left"/>
    </w:pPr>
    <w:rPr>
      <w:rFonts w:ascii="仿宋_GB2312"/>
      <w:sz w:val="32"/>
    </w:rPr>
  </w:style>
  <w:style w:type="paragraph" w:styleId="11">
    <w:name w:val="toc 5"/>
    <w:basedOn w:val="1"/>
    <w:next w:val="1"/>
    <w:unhideWhenUsed/>
    <w:qFormat/>
    <w:uiPriority w:val="39"/>
    <w:pPr>
      <w:ind w:left="1200"/>
    </w:pPr>
    <w:rPr>
      <w:rFonts w:eastAsiaTheme="minorHAnsi"/>
      <w:sz w:val="20"/>
      <w:szCs w:val="20"/>
    </w:rPr>
  </w:style>
  <w:style w:type="paragraph" w:styleId="12">
    <w:name w:val="toc 3"/>
    <w:basedOn w:val="1"/>
    <w:next w:val="1"/>
    <w:unhideWhenUsed/>
    <w:qFormat/>
    <w:uiPriority w:val="39"/>
    <w:pPr>
      <w:ind w:left="600"/>
    </w:pPr>
    <w:rPr>
      <w:rFonts w:eastAsiaTheme="minorHAnsi"/>
      <w:sz w:val="20"/>
      <w:szCs w:val="20"/>
    </w:rPr>
  </w:style>
  <w:style w:type="paragraph" w:styleId="13">
    <w:name w:val="toc 8"/>
    <w:basedOn w:val="1"/>
    <w:next w:val="1"/>
    <w:unhideWhenUsed/>
    <w:qFormat/>
    <w:uiPriority w:val="39"/>
    <w:pPr>
      <w:ind w:left="2100"/>
    </w:pPr>
    <w:rPr>
      <w:rFonts w:eastAsiaTheme="minorHAnsi"/>
      <w:sz w:val="20"/>
      <w:szCs w:val="20"/>
    </w:rPr>
  </w:style>
  <w:style w:type="paragraph" w:styleId="14">
    <w:name w:val="Balloon Text"/>
    <w:basedOn w:val="1"/>
    <w:link w:val="45"/>
    <w:semiHidden/>
    <w:unhideWhenUsed/>
    <w:qFormat/>
    <w:uiPriority w:val="99"/>
    <w:pPr>
      <w:spacing w:line="240" w:lineRule="auto"/>
    </w:pPr>
    <w:rPr>
      <w:sz w:val="18"/>
      <w:szCs w:val="18"/>
    </w:rPr>
  </w:style>
  <w:style w:type="paragraph" w:styleId="15">
    <w:name w:val="footer"/>
    <w:basedOn w:val="1"/>
    <w:link w:val="35"/>
    <w:unhideWhenUsed/>
    <w:qFormat/>
    <w:uiPriority w:val="99"/>
    <w:pPr>
      <w:tabs>
        <w:tab w:val="center" w:pos="4153"/>
        <w:tab w:val="right" w:pos="8306"/>
      </w:tabs>
      <w:snapToGrid w:val="0"/>
      <w:spacing w:line="240" w:lineRule="auto"/>
    </w:pPr>
    <w:rPr>
      <w:sz w:val="18"/>
      <w:szCs w:val="18"/>
    </w:rPr>
  </w:style>
  <w:style w:type="paragraph" w:styleId="16">
    <w:name w:val="header"/>
    <w:basedOn w:val="1"/>
    <w:link w:val="36"/>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7">
    <w:name w:val="toc 1"/>
    <w:basedOn w:val="1"/>
    <w:next w:val="1"/>
    <w:unhideWhenUsed/>
    <w:qFormat/>
    <w:uiPriority w:val="39"/>
    <w:pPr>
      <w:spacing w:before="120"/>
      <w:ind w:firstLine="0" w:firstLineChars="0"/>
    </w:pPr>
    <w:rPr>
      <w:b/>
      <w:bCs/>
      <w:iCs/>
      <w:sz w:val="32"/>
    </w:rPr>
  </w:style>
  <w:style w:type="paragraph" w:styleId="18">
    <w:name w:val="toc 4"/>
    <w:basedOn w:val="1"/>
    <w:next w:val="1"/>
    <w:unhideWhenUsed/>
    <w:qFormat/>
    <w:uiPriority w:val="39"/>
    <w:pPr>
      <w:ind w:left="900"/>
    </w:pPr>
    <w:rPr>
      <w:rFonts w:eastAsiaTheme="minorHAnsi"/>
      <w:sz w:val="20"/>
      <w:szCs w:val="20"/>
    </w:rPr>
  </w:style>
  <w:style w:type="paragraph" w:styleId="19">
    <w:name w:val="toc 6"/>
    <w:basedOn w:val="1"/>
    <w:next w:val="1"/>
    <w:unhideWhenUsed/>
    <w:qFormat/>
    <w:uiPriority w:val="39"/>
    <w:pPr>
      <w:ind w:left="1500"/>
    </w:pPr>
    <w:rPr>
      <w:rFonts w:eastAsiaTheme="minorHAnsi"/>
      <w:sz w:val="20"/>
      <w:szCs w:val="20"/>
    </w:rPr>
  </w:style>
  <w:style w:type="paragraph" w:styleId="20">
    <w:name w:val="toc 2"/>
    <w:basedOn w:val="1"/>
    <w:next w:val="1"/>
    <w:unhideWhenUsed/>
    <w:qFormat/>
    <w:uiPriority w:val="39"/>
    <w:pPr>
      <w:tabs>
        <w:tab w:val="right" w:leader="middleDot" w:pos="8835"/>
      </w:tabs>
      <w:spacing w:before="120"/>
      <w:ind w:left="301" w:firstLine="200"/>
    </w:pPr>
    <w:rPr>
      <w:bCs/>
      <w:szCs w:val="22"/>
    </w:rPr>
  </w:style>
  <w:style w:type="paragraph" w:styleId="21">
    <w:name w:val="toc 9"/>
    <w:basedOn w:val="1"/>
    <w:next w:val="1"/>
    <w:unhideWhenUsed/>
    <w:qFormat/>
    <w:uiPriority w:val="39"/>
    <w:pPr>
      <w:ind w:left="2400"/>
    </w:pPr>
    <w:rPr>
      <w:rFonts w:eastAsiaTheme="minorHAnsi"/>
      <w:sz w:val="20"/>
      <w:szCs w:val="20"/>
    </w:rPr>
  </w:style>
  <w:style w:type="paragraph" w:styleId="22">
    <w:name w:val="Normal (Web)"/>
    <w:basedOn w:val="1"/>
    <w:semiHidden/>
    <w:unhideWhenUsed/>
    <w:qFormat/>
    <w:uiPriority w:val="99"/>
    <w:pPr>
      <w:widowControl/>
      <w:spacing w:before="100" w:beforeAutospacing="1" w:after="100" w:afterAutospacing="1" w:line="240" w:lineRule="auto"/>
      <w:ind w:firstLine="0" w:firstLineChars="0"/>
    </w:pPr>
    <w:rPr>
      <w:rFonts w:ascii="宋体" w:hAnsi="宋体" w:eastAsia="宋体" w:cs="宋体"/>
      <w:kern w:val="0"/>
      <w:sz w:val="24"/>
    </w:rPr>
  </w:style>
  <w:style w:type="paragraph" w:styleId="23">
    <w:name w:val="annotation subject"/>
    <w:basedOn w:val="9"/>
    <w:next w:val="9"/>
    <w:link w:val="44"/>
    <w:semiHidden/>
    <w:unhideWhenUsed/>
    <w:qFormat/>
    <w:uiPriority w:val="99"/>
    <w:rPr>
      <w:b/>
      <w:bCs/>
    </w:rPr>
  </w:style>
  <w:style w:type="table" w:styleId="25">
    <w:name w:val="Table Grid"/>
    <w:basedOn w:val="2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Hyperlink"/>
    <w:basedOn w:val="26"/>
    <w:unhideWhenUsed/>
    <w:qFormat/>
    <w:uiPriority w:val="99"/>
    <w:rPr>
      <w:color w:val="0563C1" w:themeColor="hyperlink"/>
      <w:u w:val="single"/>
      <w14:textFill>
        <w14:solidFill>
          <w14:schemeClr w14:val="hlink"/>
        </w14:solidFill>
      </w14:textFill>
    </w:rPr>
  </w:style>
  <w:style w:type="character" w:styleId="28">
    <w:name w:val="annotation reference"/>
    <w:basedOn w:val="26"/>
    <w:qFormat/>
    <w:uiPriority w:val="0"/>
    <w:rPr>
      <w:sz w:val="21"/>
      <w:szCs w:val="21"/>
    </w:rPr>
  </w:style>
  <w:style w:type="character" w:customStyle="1" w:styleId="29">
    <w:name w:val="标题 1 字符"/>
    <w:basedOn w:val="26"/>
    <w:link w:val="2"/>
    <w:qFormat/>
    <w:uiPriority w:val="9"/>
    <w:rPr>
      <w:rFonts w:eastAsia="黑体"/>
      <w:b/>
      <w:bCs/>
      <w:kern w:val="44"/>
      <w:sz w:val="44"/>
      <w:szCs w:val="44"/>
    </w:rPr>
  </w:style>
  <w:style w:type="character" w:customStyle="1" w:styleId="30">
    <w:name w:val="标题 2 字符"/>
    <w:basedOn w:val="26"/>
    <w:link w:val="3"/>
    <w:qFormat/>
    <w:uiPriority w:val="9"/>
    <w:rPr>
      <w:rFonts w:eastAsia="黑体" w:asciiTheme="majorHAnsi" w:hAnsiTheme="majorHAnsi" w:cstheme="majorBidi"/>
      <w:b/>
      <w:bCs/>
      <w:snapToGrid w:val="0"/>
      <w:sz w:val="30"/>
      <w:szCs w:val="32"/>
    </w:rPr>
  </w:style>
  <w:style w:type="character" w:customStyle="1" w:styleId="31">
    <w:name w:val="标题 3 字符"/>
    <w:basedOn w:val="26"/>
    <w:link w:val="4"/>
    <w:qFormat/>
    <w:uiPriority w:val="9"/>
    <w:rPr>
      <w:rFonts w:eastAsia="仿宋_GB2312"/>
      <w:b/>
      <w:bCs/>
      <w:sz w:val="32"/>
      <w:szCs w:val="32"/>
    </w:rPr>
  </w:style>
  <w:style w:type="character" w:customStyle="1" w:styleId="32">
    <w:name w:val="标题 4 字符"/>
    <w:basedOn w:val="26"/>
    <w:link w:val="5"/>
    <w:qFormat/>
    <w:uiPriority w:val="9"/>
    <w:rPr>
      <w:rFonts w:eastAsia="仿宋_GB2312" w:asciiTheme="majorHAnsi" w:hAnsiTheme="majorHAnsi" w:cstheme="majorBidi"/>
      <w:b/>
      <w:bCs/>
      <w:sz w:val="30"/>
      <w:szCs w:val="28"/>
    </w:rPr>
  </w:style>
  <w:style w:type="character" w:customStyle="1" w:styleId="33">
    <w:name w:val="标题 5 字符"/>
    <w:basedOn w:val="26"/>
    <w:link w:val="6"/>
    <w:qFormat/>
    <w:uiPriority w:val="9"/>
    <w:rPr>
      <w:rFonts w:eastAsia="仿宋_GB2312"/>
      <w:b/>
      <w:bCs/>
      <w:sz w:val="30"/>
      <w:szCs w:val="28"/>
    </w:rPr>
  </w:style>
  <w:style w:type="character" w:customStyle="1" w:styleId="34">
    <w:name w:val="标题 8 字符"/>
    <w:basedOn w:val="26"/>
    <w:link w:val="7"/>
    <w:semiHidden/>
    <w:qFormat/>
    <w:uiPriority w:val="9"/>
    <w:rPr>
      <w:rFonts w:asciiTheme="majorHAnsi" w:hAnsiTheme="majorHAnsi" w:eastAsiaTheme="majorEastAsia" w:cstheme="majorBidi"/>
      <w:sz w:val="24"/>
      <w:szCs w:val="24"/>
    </w:rPr>
  </w:style>
  <w:style w:type="character" w:customStyle="1" w:styleId="35">
    <w:name w:val="页脚 字符"/>
    <w:basedOn w:val="26"/>
    <w:link w:val="15"/>
    <w:qFormat/>
    <w:uiPriority w:val="99"/>
    <w:rPr>
      <w:rFonts w:ascii="Times New Roman" w:hAnsi="Times New Roman" w:eastAsia="仿宋_GB2312" w:cs="Times New Roman"/>
      <w:snapToGrid w:val="0"/>
      <w:kern w:val="0"/>
      <w:sz w:val="18"/>
      <w:szCs w:val="18"/>
    </w:rPr>
  </w:style>
  <w:style w:type="character" w:customStyle="1" w:styleId="36">
    <w:name w:val="页眉 字符"/>
    <w:basedOn w:val="26"/>
    <w:link w:val="16"/>
    <w:qFormat/>
    <w:uiPriority w:val="99"/>
    <w:rPr>
      <w:rFonts w:ascii="Times New Roman" w:hAnsi="Times New Roman" w:eastAsia="仿宋_GB2312" w:cs="Times New Roman"/>
      <w:snapToGrid w:val="0"/>
      <w:kern w:val="0"/>
      <w:sz w:val="18"/>
      <w:szCs w:val="18"/>
    </w:rPr>
  </w:style>
  <w:style w:type="paragraph" w:styleId="37">
    <w:name w:val="List Paragraph"/>
    <w:basedOn w:val="1"/>
    <w:qFormat/>
    <w:uiPriority w:val="34"/>
    <w:pPr>
      <w:ind w:firstLine="420"/>
    </w:pPr>
  </w:style>
  <w:style w:type="table" w:customStyle="1" w:styleId="38">
    <w:name w:val="网格表 5 深色 - 着色 11"/>
    <w:basedOn w:val="24"/>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9E2F3" w:themeFill="accen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1"/>
      </w:tcPr>
    </w:tblStylePr>
    <w:tblStylePr w:type="band1Vert">
      <w:tcPr>
        <w:shd w:val="clear" w:color="auto" w:fill="B4C6E7" w:themeFill="accent1" w:themeFillTint="66"/>
      </w:tcPr>
    </w:tblStylePr>
    <w:tblStylePr w:type="band1Horz">
      <w:tcPr>
        <w:shd w:val="clear" w:color="auto" w:fill="B4C6E7" w:themeFill="accent1" w:themeFillTint="66"/>
      </w:tcPr>
    </w:tblStylePr>
  </w:style>
  <w:style w:type="table" w:customStyle="1" w:styleId="39">
    <w:name w:val="网格表 5 深色 - 着色 61"/>
    <w:basedOn w:val="24"/>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2EFD9" w:themeFill="accent6"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70AD47" w:themeFill="accent6"/>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70AD47" w:themeFill="accent6"/>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70AD47" w:themeFill="accent6"/>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70AD47" w:themeFill="accent6"/>
      </w:tcPr>
    </w:tblStylePr>
    <w:tblStylePr w:type="band1Vert">
      <w:tcPr>
        <w:shd w:val="clear" w:color="auto" w:fill="C5E0B3" w:themeFill="accent6" w:themeFillTint="66"/>
      </w:tcPr>
    </w:tblStylePr>
    <w:tblStylePr w:type="band1Horz">
      <w:tcPr>
        <w:shd w:val="clear" w:color="auto" w:fill="C5E0B3" w:themeFill="accent6" w:themeFillTint="66"/>
      </w:tcPr>
    </w:tblStylePr>
  </w:style>
  <w:style w:type="table" w:customStyle="1" w:styleId="40">
    <w:name w:val="网格表 5 深色 - 着色 51"/>
    <w:basedOn w:val="24"/>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EEAF6" w:themeFill="accent5"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5B9BD5" w:themeFill="accent5"/>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5B9BD5" w:themeFill="accent5"/>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5B9BD5" w:themeFill="accent5"/>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5B9BD5" w:themeFill="accent5"/>
      </w:tcPr>
    </w:tblStylePr>
    <w:tblStylePr w:type="band1Vert">
      <w:tcPr>
        <w:shd w:val="clear" w:color="auto" w:fill="BDD6EE" w:themeFill="accent5" w:themeFillTint="66"/>
      </w:tcPr>
    </w:tblStylePr>
    <w:tblStylePr w:type="band1Horz">
      <w:tcPr>
        <w:shd w:val="clear" w:color="auto" w:fill="BDD6EE" w:themeFill="accent5" w:themeFillTint="66"/>
      </w:tcPr>
    </w:tblStylePr>
  </w:style>
  <w:style w:type="table" w:customStyle="1" w:styleId="41">
    <w:name w:val="网格表 5 深色 - 着色 31"/>
    <w:basedOn w:val="24"/>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42">
    <w:name w:val="网格表 31"/>
    <w:basedOn w:val="24"/>
    <w:qFormat/>
    <w:uiPriority w:val="48"/>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character" w:customStyle="1" w:styleId="43">
    <w:name w:val="批注文字 字符"/>
    <w:basedOn w:val="26"/>
    <w:link w:val="9"/>
    <w:semiHidden/>
    <w:qFormat/>
    <w:uiPriority w:val="99"/>
    <w:rPr>
      <w:rFonts w:eastAsia="仿宋_GB2312"/>
      <w:sz w:val="30"/>
      <w:szCs w:val="24"/>
    </w:rPr>
  </w:style>
  <w:style w:type="character" w:customStyle="1" w:styleId="44">
    <w:name w:val="批注主题 字符"/>
    <w:basedOn w:val="43"/>
    <w:link w:val="23"/>
    <w:semiHidden/>
    <w:qFormat/>
    <w:uiPriority w:val="99"/>
    <w:rPr>
      <w:rFonts w:eastAsia="仿宋_GB2312"/>
      <w:b/>
      <w:bCs/>
      <w:sz w:val="30"/>
      <w:szCs w:val="24"/>
    </w:rPr>
  </w:style>
  <w:style w:type="character" w:customStyle="1" w:styleId="45">
    <w:name w:val="批注框文本 字符"/>
    <w:basedOn w:val="26"/>
    <w:link w:val="14"/>
    <w:semiHidden/>
    <w:qFormat/>
    <w:uiPriority w:val="99"/>
    <w:rPr>
      <w:rFonts w:eastAsia="仿宋_GB2312"/>
      <w:sz w:val="18"/>
      <w:szCs w:val="18"/>
    </w:rPr>
  </w:style>
  <w:style w:type="character" w:customStyle="1" w:styleId="46">
    <w:name w:val="正文文本 字符"/>
    <w:basedOn w:val="26"/>
    <w:link w:val="10"/>
    <w:qFormat/>
    <w:uiPriority w:val="99"/>
    <w:rPr>
      <w:rFonts w:ascii="仿宋_GB2312" w:eastAsia="仿宋_GB2312"/>
      <w:sz w:val="32"/>
      <w:szCs w:val="24"/>
    </w:rPr>
  </w:style>
  <w:style w:type="paragraph" w:customStyle="1" w:styleId="47">
    <w:name w:val="Revision"/>
    <w:hidden/>
    <w:semiHidden/>
    <w:qFormat/>
    <w:uiPriority w:val="99"/>
    <w:rPr>
      <w:rFonts w:eastAsia="仿宋_GB2312" w:asciiTheme="minorHAnsi" w:hAnsiTheme="minorHAnsi" w:cstheme="minorBidi"/>
      <w:kern w:val="2"/>
      <w:sz w:val="30"/>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numbering" Target="numbering.xml"/><Relationship Id="rId21" Type="http://schemas.openxmlformats.org/officeDocument/2006/relationships/image" Target="media/image3.jpeg"/><Relationship Id="rId20" Type="http://schemas.openxmlformats.org/officeDocument/2006/relationships/image" Target="media/image2.jpe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BD8073-98C1-4C9F-A35F-0B8C3A628BD5}">
  <ds:schemaRefs/>
</ds:datastoreItem>
</file>

<file path=docProps/app.xml><?xml version="1.0" encoding="utf-8"?>
<Properties xmlns="http://schemas.openxmlformats.org/officeDocument/2006/extended-properties" xmlns:vt="http://schemas.openxmlformats.org/officeDocument/2006/docPropsVTypes">
  <Template>Normal</Template>
  <Pages>86</Pages>
  <Words>5772</Words>
  <Characters>32907</Characters>
  <Lines>274</Lines>
  <Paragraphs>77</Paragraphs>
  <TotalTime>5</TotalTime>
  <ScaleCrop>false</ScaleCrop>
  <LinksUpToDate>false</LinksUpToDate>
  <CharactersWithSpaces>38602</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2023-01-09T07:53:00Z</dcterms:created>
  <dc:creator>建新</dc:creator>
  <cp:lastModifiedBy>樂.</cp:lastModifiedBy>
  <cp:lastPrinted>2023-06-30T10:10:00Z</cp:lastPrinted>
  <dcterms:modified xsi:type="dcterms:W3CDTF">2023-08-02T07:10:23Z</dcterms:modified>
  <cp:revision>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63BA921DCB3944CCB1E0257525E45B33_12</vt:lpwstr>
  </property>
</Properties>
</file>