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default" w:ascii="Arial" w:hAnsi="Arial" w:eastAsia="方正小标宋_GBK" w:cs="Arial"/>
          <w:color w:val="auto"/>
          <w:sz w:val="24"/>
          <w:szCs w:val="24"/>
        </w:rPr>
      </w:pPr>
      <w:bookmarkStart w:id="0" w:name="_GoBack"/>
      <w:bookmarkEnd w:id="0"/>
      <w:r>
        <w:rPr>
          <w:rFonts w:hint="default" w:ascii="Arial" w:hAnsi="Arial" w:eastAsia="方正小标宋_GBK" w:cs="Arial"/>
          <w:color w:val="auto"/>
          <w:sz w:val="24"/>
          <w:szCs w:val="24"/>
        </w:rPr>
        <w:t>万盛经开区地质灾害防治搬迁避让项目</w:t>
      </w:r>
    </w:p>
    <w:p>
      <w:pPr>
        <w:spacing w:line="574" w:lineRule="exact"/>
        <w:jc w:val="center"/>
        <w:rPr>
          <w:rFonts w:hint="default" w:ascii="Arial" w:hAnsi="Arial" w:eastAsia="方正小标宋_GBK" w:cs="Arial"/>
          <w:color w:val="auto"/>
          <w:sz w:val="24"/>
          <w:szCs w:val="24"/>
          <w:lang w:eastAsia="zh-CN"/>
        </w:rPr>
      </w:pPr>
      <w:r>
        <w:rPr>
          <w:rFonts w:hint="default" w:ascii="Arial" w:hAnsi="Arial" w:eastAsia="方正小标宋_GBK" w:cs="Arial"/>
          <w:color w:val="auto"/>
          <w:sz w:val="24"/>
          <w:szCs w:val="24"/>
        </w:rPr>
        <w:t>管理办法</w:t>
      </w:r>
      <w:r>
        <w:rPr>
          <w:rFonts w:hint="default" w:ascii="Arial" w:hAnsi="Arial" w:eastAsia="方正小标宋_GBK" w:cs="Arial"/>
          <w:color w:val="auto"/>
          <w:sz w:val="24"/>
          <w:szCs w:val="24"/>
          <w:lang w:eastAsia="zh-CN"/>
        </w:rPr>
        <w:t>（意见征求稿）</w:t>
      </w:r>
    </w:p>
    <w:p>
      <w:pPr>
        <w:spacing w:line="574" w:lineRule="exact"/>
        <w:jc w:val="center"/>
        <w:rPr>
          <w:rFonts w:hint="default" w:ascii="Arial" w:hAnsi="Arial" w:eastAsia="方正小标宋_GBK" w:cs="Arial"/>
          <w:color w:val="auto"/>
          <w:sz w:val="24"/>
          <w:szCs w:val="24"/>
        </w:rPr>
      </w:pPr>
    </w:p>
    <w:p>
      <w:pPr>
        <w:spacing w:line="574" w:lineRule="exact"/>
        <w:ind w:firstLine="480" w:firstLineChars="200"/>
        <w:rPr>
          <w:rFonts w:hint="default" w:ascii="Arial" w:hAnsi="Arial" w:eastAsia="方正小标宋_GBK" w:cs="Arial"/>
          <w:color w:val="auto"/>
          <w:sz w:val="24"/>
          <w:szCs w:val="24"/>
        </w:rPr>
      </w:pPr>
      <w:r>
        <w:rPr>
          <w:rFonts w:hint="default" w:ascii="Arial" w:hAnsi="Arial" w:eastAsia="方正黑体_GBK" w:cs="Arial"/>
          <w:color w:val="auto"/>
          <w:sz w:val="24"/>
          <w:szCs w:val="24"/>
        </w:rPr>
        <w:t>第一条</w:t>
      </w:r>
      <w:r>
        <w:rPr>
          <w:rFonts w:hint="default" w:ascii="Arial" w:hAnsi="Arial" w:cs="Arial"/>
          <w:color w:val="auto"/>
          <w:sz w:val="24"/>
          <w:szCs w:val="24"/>
        </w:rPr>
        <w:t xml:space="preserve">  为规范我区地质灾害防治搬迁避让工作，切实保障受地质灾害威胁的人民群众生命财产安全，解决受灾群众的生计问题，根据《重庆市地质灾害防治条例》（渝人大公告〔</w:t>
      </w:r>
      <w:r>
        <w:rPr>
          <w:rFonts w:hint="default" w:ascii="Arial" w:hAnsi="Arial" w:cs="Arial"/>
          <w:color w:val="auto"/>
          <w:sz w:val="24"/>
          <w:szCs w:val="24"/>
          <w:lang w:val="en-US" w:eastAsia="zh-CN"/>
        </w:rPr>
        <w:t>五届</w:t>
      </w:r>
      <w:r>
        <w:rPr>
          <w:rFonts w:hint="default" w:ascii="Arial" w:hAnsi="Arial" w:cs="Arial"/>
          <w:color w:val="auto"/>
          <w:sz w:val="24"/>
          <w:szCs w:val="24"/>
        </w:rPr>
        <w:t>〕</w:t>
      </w:r>
      <w:r>
        <w:rPr>
          <w:rFonts w:hint="default" w:ascii="Arial" w:hAnsi="Arial" w:cs="Arial"/>
          <w:color w:val="auto"/>
          <w:sz w:val="24"/>
          <w:szCs w:val="24"/>
          <w:lang w:eastAsia="zh-CN"/>
        </w:rPr>
        <w:t>第</w:t>
      </w:r>
      <w:r>
        <w:rPr>
          <w:rFonts w:hint="default" w:ascii="Arial" w:hAnsi="Arial" w:cs="Arial"/>
          <w:color w:val="auto"/>
          <w:sz w:val="24"/>
          <w:szCs w:val="24"/>
          <w:lang w:val="en-US" w:eastAsia="zh-CN"/>
        </w:rPr>
        <w:t>91</w:t>
      </w:r>
      <w:r>
        <w:rPr>
          <w:rFonts w:hint="default" w:ascii="Arial" w:hAnsi="Arial" w:cs="Arial"/>
          <w:color w:val="auto"/>
          <w:sz w:val="24"/>
          <w:szCs w:val="24"/>
        </w:rPr>
        <w:t>号）和《重庆市地质灾害防治金土工程实施意见》（渝办发〔2008〕87号）的有关规定，结合我区实际，特制定本办法。</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第二条</w:t>
      </w:r>
      <w:r>
        <w:rPr>
          <w:rFonts w:hint="default" w:ascii="Arial" w:hAnsi="Arial" w:cs="Arial"/>
          <w:color w:val="auto"/>
          <w:sz w:val="24"/>
          <w:szCs w:val="24"/>
        </w:rPr>
        <w:t xml:space="preserve">  搬迁避让工作原则</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（一）坚持科学规划，分步实施的原则。由</w:t>
      </w:r>
      <w:r>
        <w:rPr>
          <w:rFonts w:hint="default" w:ascii="Arial" w:hAnsi="Arial" w:cs="Arial"/>
          <w:color w:val="auto"/>
          <w:sz w:val="24"/>
          <w:szCs w:val="24"/>
          <w:lang w:eastAsia="zh-CN"/>
        </w:rPr>
        <w:t>区规划和自然资源局</w:t>
      </w:r>
      <w:r>
        <w:rPr>
          <w:rFonts w:hint="default" w:ascii="Arial" w:hAnsi="Arial" w:cs="Arial"/>
          <w:color w:val="auto"/>
          <w:sz w:val="24"/>
          <w:szCs w:val="24"/>
        </w:rPr>
        <w:t>拟定搬迁避让规划和年度实施方案，报经管委会审定后，按照轻重缓急由镇政府（街道办事处）具体组织实施。</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（二）坚持政府扶持，尊重民意的原则。制定相关扶持优惠政策，给予群众适当补助。搬迁政策要公开公正，尊重搬迁避让群众的选择，鼓励多种方式搬迁。</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（三）坚持整合资金，统筹安排的原则。整合危旧房改造、扶贫和救灾等项目中涉及搬迁避让的资金，由区财政统筹安排。</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第三条</w:t>
      </w:r>
      <w:r>
        <w:rPr>
          <w:rFonts w:hint="default" w:ascii="Arial" w:hAnsi="Arial" w:cs="Arial"/>
          <w:color w:val="auto"/>
          <w:sz w:val="24"/>
          <w:szCs w:val="24"/>
        </w:rPr>
        <w:t xml:space="preserve">  搬迁安置方式</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镇政府（街道办事处）应因地制宜，根据本辖区实际情况，合理选择搬迁安置方式：</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（一）整建制安置。整建制接收搬迁群众所有土地、林木等资源，实现资源共享，共同开发，共同受益，搬迁群众享受同等待遇。</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（二）分散安置。将受地灾威胁的个别群众分散安置到地质安全的居民集中点，通过分散安置改变搬迁群众生活条件。</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（三）集中安置。将不同区域受地质灾害威胁的农户集中搬迁安置到地质安全、生产资料充足的地区，建设新的农村居民集中点，结合新农村建设实施安置。</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（四）货币化安置。对有一定经济条件并愿意到城镇落户的农户，可通过政府给予资金补助的方式进行安置。</w:t>
      </w:r>
    </w:p>
    <w:p>
      <w:pPr>
        <w:pStyle w:val="11"/>
        <w:spacing w:line="574" w:lineRule="exact"/>
        <w:ind w:firstLine="640"/>
        <w:rPr>
          <w:rFonts w:hint="default" w:ascii="Arial" w:hAnsi="Arial" w:eastAsia="方正仿宋_GBK" w:cs="Arial"/>
          <w:color w:val="auto"/>
          <w:sz w:val="24"/>
          <w:szCs w:val="24"/>
        </w:rPr>
      </w:pPr>
      <w:r>
        <w:rPr>
          <w:rFonts w:hint="default" w:ascii="Arial" w:hAnsi="Arial" w:eastAsia="方正黑体_GBK" w:cs="Arial"/>
          <w:color w:val="auto"/>
          <w:sz w:val="24"/>
          <w:szCs w:val="24"/>
        </w:rPr>
        <w:t>第四条</w:t>
      </w:r>
      <w:r>
        <w:rPr>
          <w:rFonts w:hint="default" w:ascii="Arial" w:hAnsi="Arial" w:cs="Arial"/>
          <w:color w:val="auto"/>
          <w:sz w:val="24"/>
          <w:szCs w:val="24"/>
        </w:rPr>
        <w:t xml:space="preserve">  </w:t>
      </w:r>
      <w:r>
        <w:rPr>
          <w:rFonts w:hint="default" w:ascii="Arial" w:hAnsi="Arial" w:cs="Arial"/>
          <w:color w:val="auto"/>
          <w:sz w:val="24"/>
          <w:szCs w:val="24"/>
          <w:lang w:eastAsia="zh-CN"/>
        </w:rPr>
        <w:t>搬迁避让</w:t>
      </w:r>
      <w:r>
        <w:rPr>
          <w:rFonts w:hint="default" w:ascii="Arial" w:hAnsi="Arial" w:eastAsia="方正仿宋_GBK" w:cs="Arial"/>
          <w:color w:val="auto"/>
          <w:sz w:val="24"/>
          <w:szCs w:val="24"/>
        </w:rPr>
        <w:t>补助标准</w:t>
      </w:r>
    </w:p>
    <w:p>
      <w:pPr>
        <w:pStyle w:val="11"/>
        <w:spacing w:line="574" w:lineRule="exact"/>
        <w:ind w:firstLine="640"/>
        <w:rPr>
          <w:rFonts w:hint="default" w:ascii="Arial" w:hAnsi="Arial" w:eastAsia="方正仿宋_GBK" w:cs="Arial"/>
          <w:color w:val="auto"/>
          <w:sz w:val="24"/>
          <w:szCs w:val="24"/>
        </w:rPr>
      </w:pPr>
      <w:r>
        <w:rPr>
          <w:rFonts w:hint="default" w:ascii="Arial" w:hAnsi="Arial" w:eastAsia="方正仿宋_GBK" w:cs="Arial"/>
          <w:color w:val="auto"/>
          <w:sz w:val="24"/>
          <w:szCs w:val="24"/>
        </w:rPr>
        <w:t>补助标准为800元/㎡，按照因地制宜原则，由</w:t>
      </w:r>
      <w:r>
        <w:rPr>
          <w:rFonts w:hint="default" w:ascii="Arial" w:hAnsi="Arial" w:cs="Arial"/>
          <w:color w:val="auto"/>
          <w:sz w:val="24"/>
          <w:szCs w:val="24"/>
          <w:lang w:eastAsia="zh-CN"/>
        </w:rPr>
        <w:t>房屋</w:t>
      </w:r>
      <w:r>
        <w:rPr>
          <w:rFonts w:hint="default" w:ascii="Arial" w:hAnsi="Arial" w:eastAsia="方正仿宋_GBK" w:cs="Arial"/>
          <w:color w:val="auto"/>
          <w:sz w:val="24"/>
          <w:szCs w:val="24"/>
        </w:rPr>
        <w:t>所有权人</w:t>
      </w:r>
      <w:r>
        <w:rPr>
          <w:rFonts w:hint="default" w:ascii="Arial" w:hAnsi="Arial" w:cs="Arial"/>
          <w:color w:val="auto"/>
          <w:sz w:val="24"/>
          <w:szCs w:val="24"/>
          <w:lang w:eastAsia="zh-CN"/>
        </w:rPr>
        <w:t>选址</w:t>
      </w:r>
      <w:r>
        <w:rPr>
          <w:rFonts w:hint="default" w:ascii="Arial" w:hAnsi="Arial" w:eastAsia="方正仿宋_GBK" w:cs="Arial"/>
          <w:color w:val="auto"/>
          <w:sz w:val="24"/>
          <w:szCs w:val="24"/>
        </w:rPr>
        <w:t>重建或者购房。</w:t>
      </w:r>
    </w:p>
    <w:p>
      <w:pPr>
        <w:pStyle w:val="11"/>
        <w:spacing w:line="574" w:lineRule="exact"/>
        <w:ind w:firstLine="640"/>
        <w:rPr>
          <w:rFonts w:hint="default" w:ascii="Arial" w:hAnsi="Arial" w:eastAsia="方正仿宋_GBK" w:cs="Arial"/>
          <w:color w:val="auto"/>
          <w:sz w:val="24"/>
          <w:szCs w:val="24"/>
        </w:rPr>
      </w:pPr>
      <w:r>
        <w:rPr>
          <w:rFonts w:hint="default" w:ascii="Arial" w:hAnsi="Arial" w:eastAsia="方正仿宋_GBK" w:cs="Arial"/>
          <w:color w:val="auto"/>
          <w:sz w:val="24"/>
          <w:szCs w:val="24"/>
        </w:rPr>
        <w:t>按家庭常住人口计算，家庭常住人口1—2人的，补助面积不超过50㎡；家庭常住人口3—5人的，补助面积不超过80㎡；家庭常住人口6人及以上的，补助面积不超过100㎡。</w:t>
      </w:r>
    </w:p>
    <w:p>
      <w:pPr>
        <w:pStyle w:val="11"/>
        <w:spacing w:line="574" w:lineRule="exact"/>
        <w:ind w:firstLine="480" w:firstLineChars="200"/>
        <w:rPr>
          <w:rFonts w:hint="default" w:ascii="Arial" w:hAnsi="Arial" w:cs="Arial"/>
          <w:color w:val="auto"/>
          <w:sz w:val="24"/>
          <w:szCs w:val="24"/>
        </w:rPr>
      </w:pPr>
      <w:r>
        <w:rPr>
          <w:rFonts w:hint="default" w:ascii="Arial" w:hAnsi="Arial" w:eastAsia="方正仿宋_GBK" w:cs="Arial"/>
          <w:color w:val="auto"/>
          <w:sz w:val="24"/>
          <w:szCs w:val="24"/>
        </w:rPr>
        <w:t>实际重建面积不足前款规定面积的，按实际建筑面积计算。鼓励房屋倒损的房屋所有权人进城购房，按前款规定的家庭常住人口数量对应的补助面积的上限进行补助。</w:t>
      </w:r>
      <w:r>
        <w:rPr>
          <w:rFonts w:hint="default" w:ascii="Arial" w:hAnsi="Arial" w:eastAsia="方正楷体_GBK" w:cs="Arial"/>
          <w:color w:val="auto"/>
          <w:sz w:val="24"/>
          <w:szCs w:val="24"/>
        </w:rPr>
        <w:t xml:space="preserve"> </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第五条</w:t>
      </w:r>
      <w:r>
        <w:rPr>
          <w:rFonts w:hint="default" w:ascii="Arial" w:hAnsi="Arial" w:cs="Arial"/>
          <w:color w:val="auto"/>
          <w:sz w:val="24"/>
          <w:szCs w:val="24"/>
        </w:rPr>
        <w:t xml:space="preserve">  享受搬迁避让补助人员范围</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（一）因地质灾害造成房屋损毁的村（居）民；</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（二）受地质灾害严重威胁的村（居）民；</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（三）受地质灾害威胁，且生存条件恶劣，无法就地越温脱贫的村（居）民。</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第六条</w:t>
      </w:r>
      <w:r>
        <w:rPr>
          <w:rFonts w:hint="default" w:ascii="Arial" w:hAnsi="Arial" w:cs="Arial"/>
          <w:color w:val="auto"/>
          <w:sz w:val="24"/>
          <w:szCs w:val="24"/>
        </w:rPr>
        <w:t xml:space="preserve">  搬迁避让补助资金来源</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（一）区级地质灾害防治资金；</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（二）市“金土工程”补助资金；</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（三）土地整治收益资金；</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（四）危旧房改造、扶贫救灾等补助资金。</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第七条</w:t>
      </w:r>
      <w:r>
        <w:rPr>
          <w:rFonts w:hint="default" w:ascii="Arial" w:hAnsi="Arial" w:cs="Arial"/>
          <w:color w:val="auto"/>
          <w:sz w:val="24"/>
          <w:szCs w:val="24"/>
        </w:rPr>
        <w:t xml:space="preserve">  区</w:t>
      </w:r>
      <w:r>
        <w:rPr>
          <w:rFonts w:hint="default" w:ascii="Arial" w:hAnsi="Arial" w:cs="Arial"/>
          <w:color w:val="auto"/>
          <w:sz w:val="24"/>
          <w:szCs w:val="24"/>
          <w:lang w:eastAsia="zh-CN"/>
        </w:rPr>
        <w:t>发展改革局</w:t>
      </w:r>
      <w:r>
        <w:rPr>
          <w:rFonts w:hint="default" w:ascii="Arial" w:hAnsi="Arial" w:cs="Arial"/>
          <w:color w:val="auto"/>
          <w:sz w:val="24"/>
          <w:szCs w:val="24"/>
        </w:rPr>
        <w:t>、民政局、财政局、</w:t>
      </w:r>
      <w:r>
        <w:rPr>
          <w:rFonts w:hint="default" w:ascii="Arial" w:hAnsi="Arial" w:cs="Arial"/>
          <w:color w:val="auto"/>
          <w:sz w:val="24"/>
          <w:szCs w:val="24"/>
          <w:lang w:eastAsia="zh-CN"/>
        </w:rPr>
        <w:t>规划和自然资源</w:t>
      </w:r>
      <w:r>
        <w:rPr>
          <w:rFonts w:hint="default" w:ascii="Arial" w:hAnsi="Arial" w:cs="Arial"/>
          <w:color w:val="auto"/>
          <w:sz w:val="24"/>
          <w:szCs w:val="24"/>
        </w:rPr>
        <w:t>局、交通局、</w:t>
      </w:r>
      <w:r>
        <w:rPr>
          <w:rFonts w:hint="default" w:ascii="Arial" w:hAnsi="Arial" w:cs="Arial"/>
          <w:color w:val="auto"/>
          <w:sz w:val="24"/>
          <w:szCs w:val="24"/>
          <w:lang w:eastAsia="zh-CN"/>
        </w:rPr>
        <w:t>水利</w:t>
      </w:r>
      <w:r>
        <w:rPr>
          <w:rFonts w:hint="default" w:ascii="Arial" w:hAnsi="Arial" w:cs="Arial"/>
          <w:color w:val="auto"/>
          <w:sz w:val="24"/>
          <w:szCs w:val="24"/>
        </w:rPr>
        <w:t>局、农林局、</w:t>
      </w:r>
      <w:r>
        <w:rPr>
          <w:rFonts w:hint="default" w:ascii="Arial" w:hAnsi="Arial" w:cs="Arial"/>
          <w:color w:val="auto"/>
          <w:sz w:val="24"/>
          <w:szCs w:val="24"/>
          <w:highlight w:val="none"/>
        </w:rPr>
        <w:t>供电分</w:t>
      </w:r>
      <w:r>
        <w:rPr>
          <w:rFonts w:hint="default" w:ascii="Arial" w:hAnsi="Arial" w:cs="Arial"/>
          <w:color w:val="auto"/>
          <w:sz w:val="24"/>
          <w:szCs w:val="24"/>
          <w:highlight w:val="none"/>
          <w:lang w:eastAsia="zh-CN"/>
        </w:rPr>
        <w:t>公司</w:t>
      </w:r>
      <w:r>
        <w:rPr>
          <w:rFonts w:hint="default" w:ascii="Arial" w:hAnsi="Arial" w:cs="Arial"/>
          <w:color w:val="auto"/>
          <w:sz w:val="24"/>
          <w:szCs w:val="24"/>
          <w:highlight w:val="none"/>
        </w:rPr>
        <w:t>等</w:t>
      </w:r>
      <w:r>
        <w:rPr>
          <w:rFonts w:hint="default" w:ascii="Arial" w:hAnsi="Arial" w:cs="Arial"/>
          <w:color w:val="auto"/>
          <w:sz w:val="24"/>
          <w:szCs w:val="24"/>
        </w:rPr>
        <w:t>部门（单位），要加大对搬迁避让群众的扶持力度，切实将国家和市级统筹城乡发展的各项惠民政</w:t>
      </w:r>
      <w:r>
        <w:rPr>
          <w:rFonts w:hint="default" w:ascii="Arial" w:hAnsi="Arial" w:cs="Arial"/>
          <w:color w:val="auto"/>
          <w:spacing w:val="-6"/>
          <w:sz w:val="24"/>
          <w:szCs w:val="24"/>
        </w:rPr>
        <w:t>策落实到搬迁避让群众身上，在安排资金时向搬迁避让群众倾斜</w:t>
      </w:r>
      <w:r>
        <w:rPr>
          <w:rFonts w:hint="default" w:ascii="Arial" w:hAnsi="Arial" w:cs="Arial"/>
          <w:color w:val="auto"/>
          <w:sz w:val="24"/>
          <w:szCs w:val="24"/>
        </w:rPr>
        <w:t>。</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第八条</w:t>
      </w:r>
      <w:r>
        <w:rPr>
          <w:rFonts w:hint="default" w:ascii="Arial" w:hAnsi="Arial" w:cs="Arial"/>
          <w:color w:val="auto"/>
          <w:sz w:val="24"/>
          <w:szCs w:val="24"/>
        </w:rPr>
        <w:t xml:space="preserve"> 申请搬迁避让补助按下列程序报批：</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一）搬迁户向所在镇政府（街道办事处）提出申请。申请时应提供搬迁避让申请书、户口及复印件、房屋产权证及复印件，户籍不在本地或无房屋产权证的，需提供由本社3户以上村（居）民证实和村社（社区）盖章的证明材料；</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（二）镇政府（街道办事处）对本辖区申请享受搬迁避让补助人员进行初审并张榜公示1周；</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（三）对张榜公示无异议的，由所在镇政府（街道办事处）报区</w:t>
      </w:r>
      <w:r>
        <w:rPr>
          <w:rFonts w:hint="default" w:ascii="Arial" w:hAnsi="Arial" w:cs="Arial"/>
          <w:color w:val="auto"/>
          <w:sz w:val="24"/>
          <w:szCs w:val="24"/>
          <w:lang w:eastAsia="zh-CN"/>
        </w:rPr>
        <w:t>规划和自然资源局</w:t>
      </w:r>
      <w:r>
        <w:rPr>
          <w:rFonts w:hint="default" w:ascii="Arial" w:hAnsi="Arial" w:cs="Arial"/>
          <w:color w:val="auto"/>
          <w:sz w:val="24"/>
          <w:szCs w:val="24"/>
        </w:rPr>
        <w:t>组织验收；</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（四）区</w:t>
      </w:r>
      <w:r>
        <w:rPr>
          <w:rFonts w:hint="default" w:ascii="Arial" w:hAnsi="Arial" w:cs="Arial"/>
          <w:color w:val="auto"/>
          <w:sz w:val="24"/>
          <w:szCs w:val="24"/>
          <w:lang w:eastAsia="zh-CN"/>
        </w:rPr>
        <w:t>规划和自然资源局</w:t>
      </w:r>
      <w:r>
        <w:rPr>
          <w:rFonts w:hint="default" w:ascii="Arial" w:hAnsi="Arial" w:cs="Arial"/>
          <w:color w:val="auto"/>
          <w:sz w:val="24"/>
          <w:szCs w:val="24"/>
        </w:rPr>
        <w:t>负责对上报的搬迁资料进行审查，并组织区财政、相关镇政府（街道办事处）对搬迁避让情况进行现场验收；</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（五）验收合格后，区财政将补助资金拨付至镇政府（街道办事处），由其负责支付到补助对象。</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第九条</w:t>
      </w:r>
      <w:r>
        <w:rPr>
          <w:rFonts w:hint="default" w:ascii="Arial" w:hAnsi="Arial" w:cs="Arial"/>
          <w:color w:val="auto"/>
          <w:sz w:val="24"/>
          <w:szCs w:val="24"/>
        </w:rPr>
        <w:t xml:space="preserve">  搬迁户完成搬迁后自行拆除处于危险区的房屋，对拒不拆除的，由镇政府（街道办事处）按照有关规定采取强制措施消除安全隐患，产生的所有费用在搬迁补助费中扣除。</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第十条</w:t>
      </w:r>
      <w:r>
        <w:rPr>
          <w:rFonts w:hint="default" w:ascii="Arial" w:hAnsi="Arial" w:cs="Arial"/>
          <w:color w:val="auto"/>
          <w:sz w:val="24"/>
          <w:szCs w:val="24"/>
        </w:rPr>
        <w:t xml:space="preserve">  搬迁户可按照相关法律、法规规定，在原基层组织辖区内不属于地质灾害危险区域地带重新选址建房，或跨基层组织辖区异地选址建房、购房，并享受下列优惠政策：</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一）搬迁户在原所在基层组织辖区内不属于地质灾害危险区域地带重新选址建房，或跨基层组织辖区异地选址建房的，搬迁户应与接收地农户自行协商一致。接收地基层组织应做好选址协调、规划、入户等工作，不得收取任何费用。</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（二）搬迁户跨镇（街道）购房的，由搬迁户自行联系，所在镇（街道）应积极协调做好入户等相关工作，接收地不得收取入户等有关费用。区</w:t>
      </w:r>
      <w:r>
        <w:rPr>
          <w:rFonts w:hint="default" w:ascii="Arial" w:hAnsi="Arial" w:cs="Arial"/>
          <w:color w:val="auto"/>
          <w:sz w:val="24"/>
          <w:szCs w:val="24"/>
          <w:lang w:eastAsia="zh-CN"/>
        </w:rPr>
        <w:t>规划和自然资源</w:t>
      </w:r>
      <w:r>
        <w:rPr>
          <w:rFonts w:hint="default" w:ascii="Arial" w:hAnsi="Arial" w:cs="Arial"/>
          <w:color w:val="auto"/>
          <w:sz w:val="24"/>
          <w:szCs w:val="24"/>
        </w:rPr>
        <w:t>局等有关部门应积极做好</w:t>
      </w:r>
      <w:r>
        <w:rPr>
          <w:rFonts w:hint="default" w:ascii="Arial" w:hAnsi="Arial" w:cs="Arial"/>
          <w:color w:val="auto"/>
          <w:spacing w:val="-8"/>
          <w:sz w:val="24"/>
          <w:szCs w:val="24"/>
        </w:rPr>
        <w:t>规划和办理产权产籍证等工作，行政规费除证书工本费外一律免收</w:t>
      </w:r>
      <w:r>
        <w:rPr>
          <w:rFonts w:hint="default" w:ascii="Arial" w:hAnsi="Arial" w:cs="Arial"/>
          <w:color w:val="auto"/>
          <w:sz w:val="24"/>
          <w:szCs w:val="24"/>
        </w:rPr>
        <w:t>。</w:t>
      </w:r>
    </w:p>
    <w:p>
      <w:pPr>
        <w:spacing w:line="574" w:lineRule="exact"/>
        <w:ind w:firstLine="480" w:firstLineChars="200"/>
        <w:rPr>
          <w:rFonts w:hint="default" w:ascii="Arial" w:hAnsi="Arial" w:cs="Arial"/>
          <w:color w:val="auto"/>
          <w:sz w:val="24"/>
          <w:szCs w:val="24"/>
        </w:rPr>
      </w:pPr>
      <w:r>
        <w:rPr>
          <w:rFonts w:hint="default" w:ascii="Arial" w:hAnsi="Arial" w:cs="Arial"/>
          <w:color w:val="auto"/>
          <w:sz w:val="24"/>
          <w:szCs w:val="24"/>
        </w:rPr>
        <w:t>（三）搬迁户到城镇购房的，区教育局、</w:t>
      </w:r>
      <w:r>
        <w:rPr>
          <w:rFonts w:hint="default" w:ascii="Arial" w:hAnsi="Arial" w:cs="Arial"/>
          <w:color w:val="auto"/>
          <w:sz w:val="24"/>
          <w:szCs w:val="24"/>
          <w:lang w:eastAsia="zh-CN"/>
        </w:rPr>
        <w:t>卫生健康局</w:t>
      </w:r>
      <w:r>
        <w:rPr>
          <w:rFonts w:hint="default" w:ascii="Arial" w:hAnsi="Arial" w:cs="Arial"/>
          <w:color w:val="auto"/>
          <w:sz w:val="24"/>
          <w:szCs w:val="24"/>
        </w:rPr>
        <w:t>、</w:t>
      </w:r>
      <w:r>
        <w:rPr>
          <w:rFonts w:hint="default" w:ascii="Arial" w:hAnsi="Arial" w:cs="Arial"/>
          <w:color w:val="auto"/>
          <w:sz w:val="24"/>
          <w:szCs w:val="24"/>
          <w:lang w:eastAsia="zh-CN"/>
        </w:rPr>
        <w:t>市场监管局</w:t>
      </w:r>
      <w:r>
        <w:rPr>
          <w:rFonts w:hint="default" w:ascii="Arial" w:hAnsi="Arial" w:cs="Arial"/>
          <w:color w:val="auto"/>
          <w:sz w:val="24"/>
          <w:szCs w:val="24"/>
        </w:rPr>
        <w:t>等部门在政策上应给予扶持；</w:t>
      </w:r>
      <w:r>
        <w:rPr>
          <w:rFonts w:hint="default" w:ascii="Arial" w:hAnsi="Arial" w:cs="Arial"/>
          <w:color w:val="auto"/>
          <w:sz w:val="24"/>
          <w:szCs w:val="24"/>
          <w:lang w:eastAsia="zh-CN"/>
        </w:rPr>
        <w:t>区规划和自然资源局</w:t>
      </w:r>
      <w:r>
        <w:rPr>
          <w:rFonts w:hint="default" w:ascii="Arial" w:hAnsi="Arial" w:cs="Arial"/>
          <w:color w:val="auto"/>
          <w:sz w:val="24"/>
          <w:szCs w:val="24"/>
        </w:rPr>
        <w:t>等部门要做好产权产籍登记工作，只收取证书工本费；区公安分局应充分尊</w:t>
      </w:r>
      <w:r>
        <w:rPr>
          <w:rFonts w:hint="default" w:ascii="Arial" w:hAnsi="Arial" w:cs="Arial"/>
          <w:color w:val="auto"/>
          <w:spacing w:val="-6"/>
          <w:sz w:val="24"/>
          <w:szCs w:val="24"/>
        </w:rPr>
        <w:t>重搬迁避让人员意愿，做好户籍入户登记工作，只收取证书工本费</w:t>
      </w:r>
      <w:r>
        <w:rPr>
          <w:rFonts w:hint="default" w:ascii="Arial" w:hAnsi="Arial" w:cs="Arial"/>
          <w:color w:val="auto"/>
          <w:sz w:val="24"/>
          <w:szCs w:val="24"/>
        </w:rPr>
        <w:t>。</w:t>
      </w:r>
    </w:p>
    <w:p>
      <w:pPr>
        <w:spacing w:line="574" w:lineRule="exact"/>
        <w:ind w:firstLine="480" w:firstLineChars="200"/>
        <w:rPr>
          <w:rFonts w:hint="default" w:ascii="Arial" w:hAnsi="Arial" w:cs="Arial"/>
          <w:color w:val="auto"/>
          <w:sz w:val="24"/>
          <w:szCs w:val="24"/>
        </w:rPr>
      </w:pPr>
      <w:r>
        <w:rPr>
          <w:rFonts w:hint="default" w:ascii="Arial" w:hAnsi="Arial" w:eastAsia="方正黑体_GBK" w:cs="Arial"/>
          <w:color w:val="auto"/>
          <w:sz w:val="24"/>
          <w:szCs w:val="24"/>
        </w:rPr>
        <w:t>第十一条</w:t>
      </w:r>
      <w:r>
        <w:rPr>
          <w:rFonts w:hint="default" w:ascii="Arial" w:hAnsi="Arial" w:cs="Arial"/>
          <w:color w:val="auto"/>
          <w:sz w:val="24"/>
          <w:szCs w:val="24"/>
        </w:rPr>
        <w:t xml:space="preserve">  </w:t>
      </w:r>
      <w:r>
        <w:rPr>
          <w:rFonts w:hint="default" w:ascii="Arial" w:hAnsi="Arial" w:eastAsia="方正黑体_GBK" w:cs="Arial"/>
          <w:color w:val="auto"/>
          <w:sz w:val="24"/>
          <w:szCs w:val="24"/>
        </w:rPr>
        <w:t xml:space="preserve"> </w:t>
      </w:r>
      <w:r>
        <w:rPr>
          <w:rFonts w:hint="default" w:ascii="Arial" w:hAnsi="Arial" w:cs="Arial"/>
          <w:color w:val="auto"/>
          <w:sz w:val="24"/>
          <w:szCs w:val="24"/>
        </w:rPr>
        <w:t xml:space="preserve"> 本办法自</w:t>
      </w:r>
      <w:r>
        <w:rPr>
          <w:rFonts w:hint="default" w:ascii="Arial" w:hAnsi="Arial" w:cs="Arial"/>
          <w:color w:val="auto"/>
          <w:sz w:val="24"/>
          <w:szCs w:val="24"/>
          <w:lang w:val="en-US" w:eastAsia="zh-CN"/>
        </w:rPr>
        <w:t>发布之</w:t>
      </w:r>
      <w:r>
        <w:rPr>
          <w:rFonts w:hint="default" w:ascii="Arial" w:hAnsi="Arial" w:cs="Arial"/>
          <w:color w:val="auto"/>
          <w:sz w:val="24"/>
          <w:szCs w:val="24"/>
        </w:rPr>
        <w:t>日</w:t>
      </w:r>
      <w:r>
        <w:rPr>
          <w:rFonts w:hint="default" w:ascii="Arial" w:hAnsi="Arial" w:cs="Arial"/>
          <w:color w:val="auto"/>
          <w:sz w:val="24"/>
          <w:szCs w:val="24"/>
          <w:lang w:val="en-US" w:eastAsia="zh-CN"/>
        </w:rPr>
        <w:t>30日后</w:t>
      </w:r>
      <w:r>
        <w:rPr>
          <w:rFonts w:hint="default" w:ascii="Arial" w:hAnsi="Arial" w:cs="Arial"/>
          <w:color w:val="auto"/>
          <w:sz w:val="24"/>
          <w:szCs w:val="24"/>
        </w:rPr>
        <w:t>起施行。原《万盛经开区地质灾害防治搬迁避让项目管理办法》（万盛经开办发〔201</w:t>
      </w:r>
      <w:r>
        <w:rPr>
          <w:rFonts w:hint="default" w:ascii="Arial" w:hAnsi="Arial" w:cs="Arial"/>
          <w:color w:val="auto"/>
          <w:sz w:val="24"/>
          <w:szCs w:val="24"/>
          <w:lang w:val="en-US" w:eastAsia="zh-CN"/>
        </w:rPr>
        <w:t>6</w:t>
      </w:r>
      <w:r>
        <w:rPr>
          <w:rFonts w:hint="default" w:ascii="Arial" w:hAnsi="Arial" w:cs="Arial"/>
          <w:color w:val="auto"/>
          <w:sz w:val="24"/>
          <w:szCs w:val="24"/>
        </w:rPr>
        <w:t>〕</w:t>
      </w:r>
      <w:r>
        <w:rPr>
          <w:rFonts w:hint="default" w:ascii="Arial" w:hAnsi="Arial" w:cs="Arial"/>
          <w:color w:val="auto"/>
          <w:sz w:val="24"/>
          <w:szCs w:val="24"/>
          <w:lang w:val="en-US" w:eastAsia="zh-CN"/>
        </w:rPr>
        <w:t>13</w:t>
      </w:r>
      <w:r>
        <w:rPr>
          <w:rFonts w:hint="default" w:ascii="Arial" w:hAnsi="Arial" w:cs="Arial"/>
          <w:color w:val="auto"/>
          <w:sz w:val="24"/>
          <w:szCs w:val="24"/>
        </w:rPr>
        <w:t xml:space="preserve">号）同时废止。 </w:t>
      </w:r>
    </w:p>
    <w:p>
      <w:pPr>
        <w:pStyle w:val="3"/>
        <w:rPr>
          <w:rFonts w:hint="default" w:ascii="Arial" w:hAnsi="Arial" w:cs="Arial"/>
          <w:color w:val="auto"/>
          <w:sz w:val="24"/>
          <w:szCs w:val="24"/>
        </w:rPr>
      </w:pPr>
    </w:p>
    <w:sectPr>
      <w:footerReference r:id="rId3" w:type="default"/>
      <w:footerReference r:id="rId4" w:type="even"/>
      <w:pgSz w:w="11906" w:h="16838"/>
      <w:pgMar w:top="2098" w:right="1531" w:bottom="2041"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jc w:val="right"/>
      <w:rPr>
        <w:rStyle w:val="8"/>
        <w:rFonts w:ascii="Times New Roman" w:hAnsi="Times New Roman"/>
        <w:sz w:val="28"/>
        <w:szCs w:val="28"/>
      </w:rPr>
    </w:pPr>
    <w:r>
      <w:rPr>
        <w:rStyle w:val="8"/>
        <w:rFonts w:ascii="Times New Roman" w:hAnsi="Times New Roman"/>
        <w:sz w:val="28"/>
        <w:szCs w:val="28"/>
      </w:rPr>
      <w:t xml:space="preserve">  —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w:t>
    </w:r>
    <w:r>
      <w:rPr>
        <w:rStyle w:val="8"/>
        <w:rFonts w:ascii="Times New Roman" w:hAnsi="Times New Roman"/>
        <w:sz w:val="28"/>
        <w:szCs w:val="28"/>
      </w:rPr>
      <w:fldChar w:fldCharType="end"/>
    </w:r>
    <w:r>
      <w:rPr>
        <w:rStyle w:val="8"/>
        <w:rFonts w:ascii="Times New Roman" w:hAnsi="Times New Roman"/>
        <w:sz w:val="28"/>
        <w:szCs w:val="28"/>
      </w:rPr>
      <w:t xml:space="preserve"> —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C9"/>
    <w:rsid w:val="00B116C9"/>
    <w:rsid w:val="03807329"/>
    <w:rsid w:val="16E303C0"/>
    <w:rsid w:val="1DB552E5"/>
    <w:rsid w:val="2D2C02AC"/>
    <w:rsid w:val="428710F1"/>
    <w:rsid w:val="47261463"/>
    <w:rsid w:val="58ED3C6B"/>
    <w:rsid w:val="59BE3949"/>
    <w:rsid w:val="5EAD79C8"/>
    <w:rsid w:val="6BB74334"/>
    <w:rsid w:val="7F17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Calibri" w:eastAsia="方正仿宋_GBK" w:cs="黑体"/>
      <w:kern w:val="2"/>
      <w:sz w:val="32"/>
      <w:szCs w:val="32"/>
      <w:lang w:val="en-US" w:eastAsia="zh-CN" w:bidi="ar-SA"/>
    </w:rPr>
  </w:style>
  <w:style w:type="character" w:default="1" w:styleId="6">
    <w:name w:val="Default Paragraph Font"/>
    <w:link w:val="7"/>
    <w:semiHidden/>
    <w:qFormat/>
    <w:uiPriority w:val="0"/>
    <w:rPr>
      <w:rFonts w:hint="eastAsia"/>
      <w:sz w:val="32"/>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beforeLines="0" w:after="120" w:afterLines="0"/>
    </w:pPr>
    <w:rPr>
      <w:rFonts w:hint="eastAsia"/>
      <w:sz w:val="32"/>
    </w:rPr>
  </w:style>
  <w:style w:type="paragraph" w:customStyle="1" w:styleId="3">
    <w:name w:val="默认"/>
    <w:unhideWhenUsed/>
    <w:qFormat/>
    <w:uiPriority w:val="99"/>
    <w:pPr>
      <w:spacing w:beforeLines="0" w:afterLines="0"/>
    </w:pPr>
    <w:rPr>
      <w:rFonts w:hint="eastAsia" w:ascii="Helvetica" w:hAnsi="Times New Roman" w:eastAsia="宋体" w:cs="Times New Roman"/>
      <w:color w:val="000000"/>
      <w:sz w:val="22"/>
      <w:lang w:val="en-US" w:eastAsia="zh-CN"/>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Char"/>
    <w:basedOn w:val="1"/>
    <w:link w:val="6"/>
    <w:semiHidden/>
    <w:qFormat/>
    <w:uiPriority w:val="0"/>
    <w:rPr>
      <w:rFonts w:ascii="Times New Roman" w:hAnsi="Times New Roman" w:cs="Times New Roman"/>
      <w:szCs w:val="20"/>
    </w:rPr>
  </w:style>
  <w:style w:type="character" w:styleId="8">
    <w:name w:val="page number"/>
    <w:basedOn w:val="6"/>
    <w:qFormat/>
    <w:uiPriority w:val="0"/>
    <w:rPr>
      <w:rFonts w:cs="Times New Roman"/>
    </w:rPr>
  </w:style>
  <w:style w:type="character" w:styleId="9">
    <w:name w:val="Hyperlink"/>
    <w:basedOn w:val="6"/>
    <w:unhideWhenUsed/>
    <w:qFormat/>
    <w:uiPriority w:val="99"/>
    <w:rPr>
      <w:rFonts w:hint="default" w:ascii="Times New Roman"/>
      <w:sz w:val="24"/>
    </w:rPr>
  </w:style>
  <w:style w:type="paragraph" w:customStyle="1" w:styleId="10">
    <w:name w:val="Char Char Char Char Char Char Char Char"/>
    <w:basedOn w:val="1"/>
    <w:link w:val="6"/>
    <w:unhideWhenUsed/>
    <w:qFormat/>
    <w:uiPriority w:val="99"/>
    <w:pPr>
      <w:widowControl/>
      <w:spacing w:beforeLines="0" w:after="160" w:afterLines="0" w:line="240" w:lineRule="exact"/>
      <w:jc w:val="left"/>
    </w:pPr>
    <w:rPr>
      <w:rFonts w:hint="eastAsia"/>
      <w:sz w:val="32"/>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2020-10-23T01:12:00Z</dcterms:created>
  <dc:creator>龚柬仲</dc:creator>
  <cp:lastModifiedBy>Administrator</cp:lastModifiedBy>
  <cp:lastPrinted>2021-01-25T02:37:00Z</cp:lastPrinted>
  <dcterms:modified xsi:type="dcterms:W3CDTF">2021-01-25T08:56:13Z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