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方正黑体_GBK" w:hAnsi="方正黑体_GBK" w:eastAsia="方正黑体_GBK" w:cs="方正黑体_GBK"/>
          <w:color w:val="000000"/>
          <w:kern w:val="0"/>
          <w:sz w:val="32"/>
          <w:szCs w:val="32"/>
          <w:shd w:val="clear" w:color="auto" w:fill="FFFFFF"/>
        </w:rPr>
      </w:pPr>
      <w:r>
        <w:rPr>
          <w:rFonts w:ascii="方正黑体_GBK" w:hAnsi="方正黑体_GBK" w:eastAsia="方正黑体_GBK" w:cs="方正黑体_GBK"/>
          <w:color w:val="000000"/>
          <w:kern w:val="0"/>
          <w:sz w:val="32"/>
          <w:szCs w:val="32"/>
          <w:shd w:val="clear" w:color="auto" w:fill="FFFFFF"/>
        </w:rPr>
        <w:t>附件4</w:t>
      </w:r>
    </w:p>
    <w:p>
      <w:pPr>
        <w:spacing w:line="574" w:lineRule="exact"/>
        <w:ind w:firstLine="883" w:firstLineChars="200"/>
        <w:jc w:val="center"/>
        <w:rPr>
          <w:rFonts w:ascii="Times New Roman" w:hAnsi="Times New Roman" w:eastAsia="方正小标宋_GBK"/>
          <w:b/>
          <w:bCs/>
          <w:sz w:val="44"/>
          <w:szCs w:val="44"/>
        </w:rPr>
      </w:pPr>
    </w:p>
    <w:p>
      <w:pPr>
        <w:spacing w:line="574" w:lineRule="exact"/>
        <w:jc w:val="center"/>
        <w:rPr>
          <w:rFonts w:ascii="Times New Roman" w:hAnsi="Times New Roman" w:eastAsia="方正小标宋_GBK"/>
          <w:sz w:val="44"/>
          <w:szCs w:val="44"/>
        </w:rPr>
      </w:pPr>
      <w:bookmarkStart w:id="0" w:name="_GoBack"/>
      <w:r>
        <w:rPr>
          <w:rFonts w:ascii="Times New Roman" w:hAnsi="Times New Roman" w:eastAsia="方正小标宋_GBK"/>
          <w:sz w:val="44"/>
          <w:szCs w:val="44"/>
        </w:rPr>
        <w:t>202</w:t>
      </w:r>
      <w:r>
        <w:rPr>
          <w:rFonts w:hint="eastAsia" w:ascii="Times New Roman" w:hAnsi="Times New Roman" w:eastAsia="方正小标宋_GBK"/>
          <w:sz w:val="44"/>
          <w:szCs w:val="44"/>
        </w:rPr>
        <w:t>3</w:t>
      </w:r>
      <w:r>
        <w:rPr>
          <w:rFonts w:ascii="Times New Roman" w:hAnsi="Times New Roman" w:eastAsia="方正小标宋_GBK"/>
          <w:sz w:val="44"/>
          <w:szCs w:val="44"/>
        </w:rPr>
        <w:t>年</w:t>
      </w:r>
      <w:r>
        <w:rPr>
          <w:rFonts w:hint="eastAsia" w:eastAsia="方正小标宋_GBK"/>
          <w:color w:val="000000"/>
          <w:sz w:val="44"/>
          <w:szCs w:val="44"/>
        </w:rPr>
        <w:t>国有和集体土地</w:t>
      </w:r>
      <w:r>
        <w:rPr>
          <w:rFonts w:ascii="Times New Roman" w:hAnsi="Times New Roman" w:eastAsia="方正小标宋_GBK"/>
          <w:sz w:val="44"/>
          <w:szCs w:val="44"/>
        </w:rPr>
        <w:t>房屋拆除安全</w:t>
      </w:r>
    </w:p>
    <w:p>
      <w:pPr>
        <w:spacing w:line="574" w:lineRule="exact"/>
        <w:jc w:val="center"/>
        <w:rPr>
          <w:rFonts w:ascii="Times New Roman" w:hAnsi="Times New Roman" w:eastAsia="方正小标宋_GBK"/>
          <w:sz w:val="44"/>
          <w:szCs w:val="44"/>
        </w:rPr>
      </w:pPr>
      <w:r>
        <w:rPr>
          <w:rFonts w:ascii="Times New Roman" w:hAnsi="Times New Roman" w:eastAsia="方正小标宋_GBK"/>
          <w:sz w:val="44"/>
          <w:szCs w:val="44"/>
        </w:rPr>
        <w:t>生产监督检查计划</w:t>
      </w:r>
    </w:p>
    <w:bookmarkEnd w:id="0"/>
    <w:p>
      <w:pPr>
        <w:spacing w:line="574" w:lineRule="exact"/>
        <w:rPr>
          <w:rFonts w:ascii="Times New Roman" w:hAnsi="Times New Roman" w:eastAsia="方正黑体_GBK"/>
          <w:b/>
          <w:bCs/>
          <w:sz w:val="30"/>
          <w:szCs w:val="30"/>
        </w:rPr>
      </w:pPr>
    </w:p>
    <w:p>
      <w:pPr>
        <w:spacing w:line="574" w:lineRule="exact"/>
        <w:ind w:firstLine="594" w:firstLineChars="198"/>
        <w:rPr>
          <w:rFonts w:ascii="Times New Roman" w:hAnsi="Times New Roman" w:eastAsia="方正黑体_GBK"/>
          <w:sz w:val="30"/>
          <w:szCs w:val="30"/>
        </w:rPr>
      </w:pPr>
      <w:r>
        <w:rPr>
          <w:rFonts w:ascii="Times New Roman" w:hAnsi="Times New Roman" w:eastAsia="方正黑体_GBK"/>
          <w:sz w:val="30"/>
          <w:szCs w:val="30"/>
        </w:rPr>
        <w:t>一、指导思想</w:t>
      </w:r>
    </w:p>
    <w:p>
      <w:pPr>
        <w:spacing w:line="57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w:t>
      </w:r>
      <w:r>
        <w:rPr>
          <w:rFonts w:hint="eastAsia" w:ascii="Times New Roman" w:hAnsi="Times New Roman" w:eastAsia="方正仿宋_GBK"/>
          <w:sz w:val="32"/>
          <w:szCs w:val="32"/>
        </w:rPr>
        <w:t>“</w:t>
      </w:r>
      <w:r>
        <w:rPr>
          <w:rFonts w:ascii="Times New Roman" w:hAnsi="Times New Roman" w:eastAsia="方正仿宋_GBK"/>
          <w:sz w:val="32"/>
          <w:szCs w:val="32"/>
        </w:rPr>
        <w:t>安全第一，预防为主，综合治理</w:t>
      </w:r>
      <w:r>
        <w:rPr>
          <w:rFonts w:hint="eastAsia" w:ascii="Times New Roman" w:hAnsi="Times New Roman" w:eastAsia="方正仿宋_GBK"/>
          <w:sz w:val="32"/>
          <w:szCs w:val="32"/>
        </w:rPr>
        <w:t>”</w:t>
      </w:r>
      <w:r>
        <w:rPr>
          <w:rFonts w:ascii="Times New Roman" w:hAnsi="Times New Roman" w:eastAsia="方正仿宋_GBK"/>
          <w:sz w:val="32"/>
          <w:szCs w:val="32"/>
        </w:rPr>
        <w:t>方针，</w:t>
      </w:r>
      <w:r>
        <w:rPr>
          <w:rFonts w:ascii="Times New Roman" w:hAnsi="Times New Roman" w:eastAsia="方正仿宋_GBK"/>
          <w:kern w:val="0"/>
          <w:sz w:val="32"/>
          <w:szCs w:val="32"/>
          <w:shd w:val="clear" w:color="auto" w:fill="FFFFFF"/>
        </w:rPr>
        <w:t>按照《中华人民共和国安全生产法》、《重庆市建设工程安全生产管理办法》（重庆市人民政府令第289号）、</w:t>
      </w:r>
      <w:r>
        <w:rPr>
          <w:rFonts w:ascii="Times New Roman" w:hAnsi="Times New Roman" w:eastAsia="方正仿宋_GBK"/>
          <w:kern w:val="0"/>
          <w:sz w:val="32"/>
          <w:szCs w:val="32"/>
        </w:rPr>
        <w:t>《重庆市国土房管局关于切实加强集体土地征收范围内房屋拆除安全工作的通知》（渝国土房管〔2017</w:t>
      </w:r>
      <w:r>
        <w:rPr>
          <w:rFonts w:ascii="Times New Roman" w:hAnsi="Times New Roman" w:eastAsia="方正仿宋_GBK"/>
          <w:kern w:val="0"/>
          <w:sz w:val="32"/>
          <w:szCs w:val="32"/>
          <w:shd w:val="clear" w:color="auto" w:fill="FFFFFF"/>
        </w:rPr>
        <w:t>〕62号</w:t>
      </w:r>
      <w:r>
        <w:rPr>
          <w:rFonts w:ascii="Times New Roman" w:hAnsi="Times New Roman" w:eastAsia="方正仿宋_GBK"/>
          <w:kern w:val="0"/>
          <w:sz w:val="32"/>
          <w:szCs w:val="32"/>
        </w:rPr>
        <w:t>）、《城市房屋拆除工程安全和扬尘控制监督工作规程（试行）》（渝国土房管办〔2016</w:t>
      </w:r>
      <w:r>
        <w:rPr>
          <w:rFonts w:ascii="Times New Roman" w:hAnsi="Times New Roman" w:eastAsia="方正仿宋_GBK"/>
          <w:kern w:val="0"/>
          <w:sz w:val="32"/>
          <w:szCs w:val="32"/>
          <w:shd w:val="clear" w:color="auto" w:fill="FFFFFF"/>
        </w:rPr>
        <w:t>〕</w:t>
      </w:r>
      <w:r>
        <w:rPr>
          <w:rFonts w:ascii="Times New Roman" w:hAnsi="Times New Roman" w:eastAsia="方正仿宋_GBK"/>
          <w:kern w:val="0"/>
          <w:sz w:val="32"/>
          <w:szCs w:val="32"/>
        </w:rPr>
        <w:t>77号）</w:t>
      </w:r>
      <w:r>
        <w:rPr>
          <w:rFonts w:ascii="Times New Roman" w:hAnsi="Times New Roman" w:eastAsia="方正仿宋_GBK"/>
          <w:kern w:val="0"/>
          <w:sz w:val="32"/>
          <w:szCs w:val="32"/>
          <w:shd w:val="clear" w:color="auto" w:fill="FFFFFF"/>
        </w:rPr>
        <w:t>等法律法规文件规定</w:t>
      </w:r>
      <w:r>
        <w:rPr>
          <w:rFonts w:ascii="Times New Roman" w:hAnsi="Times New Roman" w:eastAsia="方正仿宋_GBK"/>
          <w:kern w:val="0"/>
          <w:sz w:val="32"/>
          <w:szCs w:val="32"/>
        </w:rPr>
        <w:t>，</w:t>
      </w:r>
      <w:r>
        <w:rPr>
          <w:rFonts w:ascii="Times New Roman" w:hAnsi="Times New Roman" w:eastAsia="方正仿宋_GBK"/>
          <w:sz w:val="32"/>
          <w:szCs w:val="32"/>
        </w:rPr>
        <w:t>强化安全责任意识，促进</w:t>
      </w:r>
      <w:r>
        <w:rPr>
          <w:rFonts w:ascii="Times New Roman" w:hAnsi="Times New Roman" w:eastAsia="方正仿宋_GBK"/>
          <w:kern w:val="0"/>
          <w:sz w:val="32"/>
          <w:szCs w:val="32"/>
        </w:rPr>
        <w:t>全区国有和集体土地房屋拆除安全生产顺利进行，结合行业工作实际，制定2</w:t>
      </w:r>
      <w:r>
        <w:rPr>
          <w:rFonts w:ascii="Times New Roman" w:hAnsi="Times New Roman" w:eastAsia="方正仿宋_GBK"/>
          <w:sz w:val="32"/>
          <w:szCs w:val="32"/>
        </w:rPr>
        <w:t>023年监督检查计划。</w:t>
      </w:r>
    </w:p>
    <w:p>
      <w:pPr>
        <w:spacing w:line="574" w:lineRule="exact"/>
        <w:ind w:firstLine="633" w:firstLineChars="198"/>
        <w:rPr>
          <w:rFonts w:ascii="Times New Roman" w:hAnsi="Times New Roman" w:eastAsia="方正黑体_GBK"/>
          <w:sz w:val="32"/>
          <w:szCs w:val="32"/>
        </w:rPr>
      </w:pPr>
      <w:r>
        <w:rPr>
          <w:rFonts w:ascii="Times New Roman" w:hAnsi="Times New Roman" w:eastAsia="方正黑体_GBK"/>
          <w:sz w:val="32"/>
          <w:szCs w:val="32"/>
        </w:rPr>
        <w:t>二、工作目标</w:t>
      </w:r>
    </w:p>
    <w:p>
      <w:pPr>
        <w:spacing w:line="57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全面贯彻落实《中华人民共和国安全生产法》、《重庆市建设工程安全生产管理办法》（重庆市人民政府令第289号）等文件要求，落实安全生产责任，加强安全生产监督管理，预防和减少生产安全事故，确保全区</w:t>
      </w:r>
      <w:r>
        <w:rPr>
          <w:rFonts w:hint="eastAsia" w:ascii="Times New Roman" w:hAnsi="Times New Roman" w:eastAsia="方正仿宋_GBK"/>
          <w:kern w:val="0"/>
          <w:sz w:val="32"/>
          <w:szCs w:val="32"/>
        </w:rPr>
        <w:t>国有和集体土地</w:t>
      </w:r>
      <w:r>
        <w:rPr>
          <w:rFonts w:ascii="Times New Roman" w:hAnsi="Times New Roman" w:eastAsia="方正仿宋_GBK"/>
          <w:kern w:val="0"/>
          <w:sz w:val="32"/>
          <w:szCs w:val="32"/>
        </w:rPr>
        <w:t>房屋拆除安全工作不出现较大及以上事故发生。</w:t>
      </w:r>
    </w:p>
    <w:p>
      <w:pPr>
        <w:spacing w:line="57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三、主要任务和监督检查内容</w:t>
      </w:r>
    </w:p>
    <w:p>
      <w:pPr>
        <w:numPr>
          <w:ilvl w:val="0"/>
          <w:numId w:val="1"/>
        </w:numPr>
        <w:spacing w:line="574" w:lineRule="exact"/>
        <w:ind w:firstLine="640"/>
        <w:rPr>
          <w:rFonts w:ascii="Times New Roman" w:hAnsi="Times New Roman" w:eastAsia="方正仿宋_GBK"/>
          <w:sz w:val="32"/>
          <w:szCs w:val="32"/>
        </w:rPr>
      </w:pPr>
      <w:r>
        <w:rPr>
          <w:rFonts w:ascii="Times New Roman" w:hAnsi="Times New Roman" w:eastAsia="方正仿宋_GBK"/>
          <w:sz w:val="32"/>
          <w:szCs w:val="32"/>
        </w:rPr>
        <w:t>严格审查施工队伍的资质，严禁无资质的施工企业进行房屋拆除行为。根据各个拆迁项目的特点，认真审查施工方案，要求施工方案的制定必须建立在科学、合理的基础上，同时督促施工单位将方案报相关部门备案；严格执行施工安全保证金制度，施工人员进场施工必须遵守安全操作规范，佩戴安全帽等，施工单位必须为施工人员购买安全保险，制定扬尘控制方案和事故应急处置方案。</w:t>
      </w:r>
    </w:p>
    <w:p>
      <w:pPr>
        <w:numPr>
          <w:ilvl w:val="0"/>
          <w:numId w:val="1"/>
        </w:numPr>
        <w:spacing w:line="574" w:lineRule="exact"/>
        <w:ind w:firstLine="640"/>
        <w:rPr>
          <w:rFonts w:ascii="Times New Roman" w:hAnsi="Times New Roman" w:eastAsia="方正仿宋_GBK"/>
          <w:sz w:val="32"/>
          <w:szCs w:val="32"/>
        </w:rPr>
      </w:pPr>
      <w:r>
        <w:rPr>
          <w:rFonts w:ascii="Times New Roman" w:hAnsi="Times New Roman" w:eastAsia="方正仿宋_GBK"/>
          <w:sz w:val="32"/>
          <w:szCs w:val="32"/>
        </w:rPr>
        <w:t>加强对各房屋拆除项目工地的日常巡查，督促属地单位和拆除施工企业做好对施工人员的安全培训及管理。</w:t>
      </w:r>
    </w:p>
    <w:p>
      <w:pPr>
        <w:numPr>
          <w:ilvl w:val="0"/>
          <w:numId w:val="1"/>
        </w:numPr>
        <w:spacing w:line="574" w:lineRule="exact"/>
        <w:ind w:firstLine="640"/>
        <w:rPr>
          <w:rFonts w:ascii="Times New Roman" w:hAnsi="Times New Roman" w:eastAsia="方正仿宋_GBK"/>
          <w:sz w:val="32"/>
          <w:szCs w:val="32"/>
        </w:rPr>
      </w:pPr>
      <w:r>
        <w:rPr>
          <w:rFonts w:ascii="Times New Roman" w:hAnsi="Times New Roman" w:eastAsia="方正仿宋_GBK"/>
          <w:sz w:val="32"/>
          <w:szCs w:val="32"/>
        </w:rPr>
        <w:t>检查房屋拆除企业是否落实主体责任，责任人是否履职到位。</w:t>
      </w:r>
    </w:p>
    <w:p>
      <w:pPr>
        <w:numPr>
          <w:ilvl w:val="0"/>
          <w:numId w:val="1"/>
        </w:numPr>
        <w:spacing w:line="574" w:lineRule="exact"/>
        <w:ind w:firstLine="640"/>
        <w:rPr>
          <w:rFonts w:ascii="Times New Roman" w:hAnsi="Times New Roman" w:eastAsia="方正仿宋_GBK"/>
          <w:sz w:val="32"/>
          <w:szCs w:val="32"/>
        </w:rPr>
      </w:pPr>
      <w:r>
        <w:rPr>
          <w:rFonts w:ascii="Times New Roman" w:hAnsi="Times New Roman" w:eastAsia="方正仿宋_GBK"/>
          <w:sz w:val="32"/>
          <w:szCs w:val="32"/>
        </w:rPr>
        <w:t>检查</w:t>
      </w:r>
      <w:r>
        <w:rPr>
          <w:rFonts w:hint="eastAsia" w:ascii="Times New Roman" w:hAnsi="Times New Roman" w:eastAsia="方正仿宋_GBK"/>
          <w:sz w:val="32"/>
          <w:szCs w:val="32"/>
        </w:rPr>
        <w:t>进场</w:t>
      </w:r>
      <w:r>
        <w:rPr>
          <w:rFonts w:ascii="Times New Roman" w:hAnsi="Times New Roman" w:eastAsia="方正仿宋_GBK"/>
          <w:sz w:val="32"/>
          <w:szCs w:val="32"/>
        </w:rPr>
        <w:t>正在实施的房屋拆除施工现场。拆除施工现场是否封闭并设置醒目的警示标志，是否配备消防器材，施工人员是否正确佩戴安全措施，拆除建筑物时，是否采用洒水、喷淋等控尘降尘措施，拆卸物是否堆放得当，除渣措施是否落实，各种材料是否及时清运和专人看管。</w:t>
      </w:r>
    </w:p>
    <w:p>
      <w:pPr>
        <w:numPr>
          <w:ilvl w:val="0"/>
          <w:numId w:val="1"/>
        </w:numPr>
        <w:spacing w:line="574" w:lineRule="exact"/>
        <w:ind w:firstLine="640"/>
        <w:rPr>
          <w:rFonts w:ascii="Times New Roman" w:hAnsi="Times New Roman" w:eastAsia="方正仿宋_GBK"/>
          <w:sz w:val="32"/>
          <w:szCs w:val="32"/>
        </w:rPr>
      </w:pPr>
      <w:r>
        <w:rPr>
          <w:rFonts w:ascii="Times New Roman" w:hAnsi="Times New Roman" w:eastAsia="方正仿宋_GBK"/>
          <w:sz w:val="32"/>
          <w:szCs w:val="32"/>
        </w:rPr>
        <w:t>检查已拆除但还未开始施工的区域。区域内是否及时清运建筑和其它垃圾，区域不能及时清理时，是否采取有效措施，并做好已拆除区域的封闭和警示标志，严禁无关人员进入现场。</w:t>
      </w:r>
    </w:p>
    <w:p>
      <w:pPr>
        <w:spacing w:line="574" w:lineRule="exact"/>
        <w:ind w:firstLine="633" w:firstLineChars="198"/>
        <w:rPr>
          <w:rFonts w:ascii="Times New Roman" w:hAnsi="Times New Roman" w:eastAsia="方正黑体_GBK"/>
          <w:sz w:val="32"/>
          <w:szCs w:val="32"/>
        </w:rPr>
      </w:pPr>
      <w:r>
        <w:rPr>
          <w:rFonts w:ascii="Times New Roman" w:hAnsi="Times New Roman" w:eastAsia="方正黑体_GBK"/>
          <w:sz w:val="32"/>
          <w:szCs w:val="32"/>
        </w:rPr>
        <w:t>四、监督检查人员及分工</w:t>
      </w:r>
    </w:p>
    <w:p>
      <w:pPr>
        <w:spacing w:line="57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从事拆除工程管理监督检查工作人员有3人，分别是：何耀、古中伟、</w:t>
      </w:r>
      <w:r>
        <w:rPr>
          <w:rFonts w:hint="eastAsia" w:eastAsia="方正仿宋_GBK"/>
          <w:sz w:val="32"/>
          <w:szCs w:val="32"/>
        </w:rPr>
        <w:t>周勇</w:t>
      </w:r>
      <w:r>
        <w:rPr>
          <w:rFonts w:ascii="Times New Roman" w:hAnsi="Times New Roman" w:eastAsia="方正仿宋_GBK"/>
          <w:sz w:val="32"/>
          <w:szCs w:val="32"/>
        </w:rPr>
        <w:t>。</w:t>
      </w:r>
    </w:p>
    <w:p>
      <w:pPr>
        <w:spacing w:line="57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监督检查人员的具体检查工作安排在现场检查方案中进行明确。</w:t>
      </w:r>
    </w:p>
    <w:p>
      <w:pPr>
        <w:spacing w:line="574" w:lineRule="exact"/>
        <w:ind w:firstLine="633" w:firstLineChars="198"/>
        <w:rPr>
          <w:rFonts w:ascii="Times New Roman" w:hAnsi="Times New Roman" w:eastAsia="方正黑体_GBK"/>
          <w:sz w:val="32"/>
          <w:szCs w:val="32"/>
        </w:rPr>
      </w:pPr>
      <w:r>
        <w:rPr>
          <w:rFonts w:ascii="Times New Roman" w:hAnsi="Times New Roman" w:eastAsia="方正黑体_GBK"/>
          <w:sz w:val="32"/>
          <w:szCs w:val="32"/>
        </w:rPr>
        <w:t>五、监督检查工作日</w:t>
      </w:r>
    </w:p>
    <w:p>
      <w:pPr>
        <w:spacing w:line="57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2023年总天数为365天，其中法定节假日116天，工作日249天。</w:t>
      </w:r>
    </w:p>
    <w:p>
      <w:pPr>
        <w:spacing w:line="57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（一）总法定工作日：3人×249天= 747天。</w:t>
      </w:r>
    </w:p>
    <w:p>
      <w:pPr>
        <w:spacing w:line="57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（二）监督检查工作日：16天</w:t>
      </w:r>
    </w:p>
    <w:p>
      <w:pPr>
        <w:spacing w:line="57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其他执法工作日：179天，包括开展实施行政许可共计20天。生产安全事故调查和处理共计5天。安全生产举报查处共计10天。参与地方人民政府及有关部门、上级安全监管执法机关组织的安全生产专项行动共计30天。重大安全生产隐患排查报告的受理、登记建档、跟踪监控、督促整改共计15天。开展机动执法共计20天。听证、行政复议、行政应诉共计19天。上级安全监管机关安排的工作任务共计50天。</w:t>
      </w:r>
    </w:p>
    <w:p>
      <w:pPr>
        <w:spacing w:line="57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w:t>
      </w:r>
      <w:r>
        <w:rPr>
          <w:rFonts w:ascii="Times New Roman" w:hAnsi="Times New Roman" w:eastAsia="方正仿宋_GBK"/>
          <w:bCs/>
          <w:kern w:val="0"/>
          <w:sz w:val="32"/>
          <w:szCs w:val="32"/>
        </w:rPr>
        <w:t>非行政执法工作日</w:t>
      </w:r>
      <w:r>
        <w:rPr>
          <w:rFonts w:ascii="Times New Roman" w:hAnsi="Times New Roman" w:eastAsia="方正仿宋_GBK"/>
          <w:sz w:val="32"/>
          <w:szCs w:val="32"/>
        </w:rPr>
        <w:t>：552天，包括学习、培训、考核、会议、人事管理、日常工作事务共计488天。病假、事假共计15天。工作人员法定年休假、探亲假、婚（丧）假共计40天。参加单位</w:t>
      </w:r>
      <w:r>
        <w:rPr>
          <w:rFonts w:ascii="Times New Roman" w:hAnsi="Times New Roman" w:eastAsia="方正仿宋_GBK"/>
          <w:kern w:val="0"/>
          <w:sz w:val="32"/>
          <w:szCs w:val="32"/>
          <w:shd w:val="clear" w:color="auto" w:fill="FFFFFF"/>
        </w:rPr>
        <w:t>党群</w:t>
      </w:r>
      <w:r>
        <w:rPr>
          <w:rFonts w:ascii="Times New Roman" w:hAnsi="Times New Roman" w:eastAsia="方正仿宋_GBK"/>
          <w:sz w:val="32"/>
          <w:szCs w:val="32"/>
        </w:rPr>
        <w:t>活动共计9天。</w:t>
      </w:r>
    </w:p>
    <w:p>
      <w:pPr>
        <w:spacing w:line="574" w:lineRule="exact"/>
        <w:ind w:left="319" w:leftChars="152" w:firstLine="313" w:firstLineChars="98"/>
        <w:rPr>
          <w:rFonts w:ascii="Times New Roman" w:hAnsi="Times New Roman" w:eastAsia="方正黑体_GBK"/>
          <w:sz w:val="32"/>
          <w:szCs w:val="32"/>
        </w:rPr>
      </w:pPr>
      <w:r>
        <w:rPr>
          <w:rFonts w:ascii="Times New Roman" w:hAnsi="Times New Roman" w:eastAsia="方正黑体_GBK"/>
          <w:sz w:val="32"/>
          <w:szCs w:val="32"/>
        </w:rPr>
        <w:t>六、不定期巡查</w:t>
      </w:r>
    </w:p>
    <w:p>
      <w:pPr>
        <w:spacing w:line="57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因国有和集体土地房屋拆除工作的特殊性，一般时间较短，拆除风险等级主要为黄色和蓝色，不定期在全区开展巡查，对发现未备案和备案资料不齐全的拆除企业，不允许拆除作业，待企业完善房屋拆除资料后方可进行拆除作业，如有发现违规拆除施工作业，依法依规处理。</w:t>
      </w:r>
    </w:p>
    <w:p>
      <w:pPr>
        <w:spacing w:line="574" w:lineRule="exact"/>
        <w:ind w:firstLine="640" w:firstLineChars="200"/>
        <w:rPr>
          <w:rFonts w:ascii="Times New Roman" w:hAnsi="Times New Roman" w:eastAsia="方正仿宋_GBK"/>
          <w:bCs/>
          <w:kern w:val="0"/>
          <w:sz w:val="32"/>
          <w:szCs w:val="32"/>
        </w:rPr>
      </w:pPr>
    </w:p>
    <w:p>
      <w:pPr>
        <w:spacing w:line="574" w:lineRule="exact"/>
        <w:ind w:left="3198" w:leftChars="304" w:hanging="2560" w:hangingChars="800"/>
        <w:rPr>
          <w:rFonts w:ascii="Times New Roman" w:hAnsi="Times New Roman" w:eastAsia="方正仿宋_GBK"/>
          <w:bCs/>
          <w:kern w:val="0"/>
          <w:sz w:val="32"/>
          <w:szCs w:val="32"/>
        </w:rPr>
      </w:pPr>
      <w:r>
        <w:rPr>
          <w:rFonts w:ascii="Times New Roman" w:hAnsi="Times New Roman" w:eastAsia="方正仿宋_GBK"/>
          <w:bCs/>
          <w:kern w:val="0"/>
          <w:sz w:val="32"/>
          <w:szCs w:val="32"/>
        </w:rPr>
        <w:t xml:space="preserve">附件4之附件：1. </w:t>
      </w:r>
      <w:r>
        <w:rPr>
          <w:rFonts w:ascii="Times New Roman" w:hAnsi="Times New Roman" w:eastAsia="方正仿宋_GBK"/>
          <w:kern w:val="0"/>
          <w:sz w:val="32"/>
          <w:szCs w:val="32"/>
        </w:rPr>
        <w:t>国有和集体</w:t>
      </w:r>
      <w:r>
        <w:rPr>
          <w:rFonts w:ascii="Times New Roman" w:hAnsi="Times New Roman" w:eastAsia="方正仿宋_GBK"/>
          <w:bCs/>
          <w:kern w:val="0"/>
          <w:sz w:val="32"/>
          <w:szCs w:val="32"/>
        </w:rPr>
        <w:t>土地房屋征收中心监督检查人员名单</w:t>
      </w:r>
    </w:p>
    <w:p>
      <w:pPr>
        <w:spacing w:line="574" w:lineRule="exact"/>
        <w:ind w:left="3193" w:leftChars="1368" w:hanging="320" w:hangingChars="100"/>
        <w:jc w:val="left"/>
        <w:rPr>
          <w:rFonts w:ascii="Times New Roman" w:hAnsi="Times New Roman"/>
        </w:rPr>
      </w:pPr>
      <w:r>
        <w:rPr>
          <w:rFonts w:ascii="Times New Roman" w:hAnsi="Times New Roman" w:eastAsia="方正仿宋_GBK"/>
          <w:bCs/>
          <w:kern w:val="0"/>
          <w:sz w:val="32"/>
          <w:szCs w:val="32"/>
        </w:rPr>
        <w:t xml:space="preserve">2. </w:t>
      </w:r>
      <w:r>
        <w:rPr>
          <w:rFonts w:ascii="Times New Roman" w:hAnsi="Times New Roman" w:eastAsia="方正仿宋_GBK"/>
          <w:kern w:val="0"/>
          <w:sz w:val="32"/>
          <w:szCs w:val="32"/>
        </w:rPr>
        <w:t>国有和集体</w:t>
      </w:r>
      <w:r>
        <w:rPr>
          <w:rFonts w:ascii="Times New Roman" w:hAnsi="Times New Roman" w:eastAsia="方正仿宋_GBK"/>
          <w:bCs/>
          <w:kern w:val="0"/>
          <w:sz w:val="32"/>
          <w:szCs w:val="32"/>
        </w:rPr>
        <w:t>土地房屋征收中心</w:t>
      </w:r>
      <w:r>
        <w:rPr>
          <w:rFonts w:ascii="Times New Roman" w:hAnsi="Times New Roman" w:eastAsia="方正仿宋_GBK"/>
          <w:kern w:val="0"/>
          <w:sz w:val="32"/>
          <w:szCs w:val="32"/>
          <w:shd w:val="clear" w:color="auto" w:fill="FFFFFF"/>
        </w:rPr>
        <w:t>监督检查对象名单</w:t>
      </w:r>
    </w:p>
    <w:p>
      <w:pPr>
        <w:spacing w:line="574" w:lineRule="exact"/>
        <w:ind w:left="3155" w:leftChars="1350" w:hanging="320" w:hangingChars="100"/>
        <w:rPr>
          <w:rFonts w:ascii="Times New Roman" w:hAnsi="Times New Roman" w:eastAsia="方正仿宋_GBK"/>
          <w:bCs/>
          <w:kern w:val="0"/>
          <w:sz w:val="32"/>
          <w:szCs w:val="32"/>
        </w:rPr>
      </w:pPr>
      <w:r>
        <w:rPr>
          <w:rFonts w:ascii="Times New Roman" w:hAnsi="Times New Roman" w:eastAsia="方正仿宋_GBK"/>
          <w:bCs/>
          <w:kern w:val="0"/>
          <w:sz w:val="32"/>
          <w:szCs w:val="32"/>
        </w:rPr>
        <w:t xml:space="preserve">3. </w:t>
      </w:r>
      <w:r>
        <w:rPr>
          <w:rFonts w:ascii="Times New Roman" w:hAnsi="Times New Roman" w:eastAsia="方正仿宋_GBK"/>
          <w:kern w:val="0"/>
          <w:sz w:val="32"/>
          <w:szCs w:val="32"/>
        </w:rPr>
        <w:t>国有和集体</w:t>
      </w:r>
      <w:r>
        <w:rPr>
          <w:rFonts w:ascii="Times New Roman" w:hAnsi="Times New Roman" w:eastAsia="方正仿宋_GBK"/>
          <w:bCs/>
          <w:kern w:val="0"/>
          <w:sz w:val="32"/>
          <w:szCs w:val="32"/>
        </w:rPr>
        <w:t>土地房屋征收中心2023年监督检查计划</w:t>
      </w:r>
    </w:p>
    <w:p>
      <w:pPr>
        <w:spacing w:line="580" w:lineRule="exact"/>
        <w:rPr>
          <w:rFonts w:ascii="Times New Roman" w:hAnsi="Times New Roman" w:eastAsia="方正黑体_GBK"/>
          <w:color w:val="548DD4"/>
          <w:kern w:val="0"/>
          <w:sz w:val="32"/>
          <w:szCs w:val="32"/>
          <w:shd w:val="clear" w:color="auto" w:fill="FFFFFF"/>
        </w:rPr>
      </w:pPr>
    </w:p>
    <w:p>
      <w:pPr>
        <w:spacing w:line="600" w:lineRule="exact"/>
        <w:rPr>
          <w:rFonts w:ascii="Times New Roman" w:hAnsi="Times New Roman" w:eastAsia="方正黑体_GBK"/>
          <w:color w:val="548DD4"/>
          <w:kern w:val="0"/>
          <w:sz w:val="32"/>
          <w:szCs w:val="32"/>
          <w:shd w:val="clear" w:color="auto" w:fill="FFFFFF"/>
        </w:rPr>
      </w:pPr>
    </w:p>
    <w:p>
      <w:pPr>
        <w:spacing w:line="600" w:lineRule="exact"/>
        <w:rPr>
          <w:rFonts w:ascii="Times New Roman" w:hAnsi="Times New Roman" w:eastAsia="方正黑体_GBK"/>
          <w:color w:val="548DD4"/>
          <w:kern w:val="0"/>
          <w:sz w:val="32"/>
          <w:szCs w:val="32"/>
          <w:shd w:val="clear" w:color="auto" w:fill="FFFFFF"/>
        </w:rPr>
      </w:pPr>
    </w:p>
    <w:p>
      <w:pPr>
        <w:spacing w:line="600" w:lineRule="exact"/>
        <w:rPr>
          <w:rFonts w:ascii="Times New Roman" w:hAnsi="Times New Roman" w:eastAsia="方正黑体_GBK"/>
          <w:color w:val="548DD4"/>
          <w:kern w:val="0"/>
          <w:sz w:val="32"/>
          <w:szCs w:val="32"/>
          <w:shd w:val="clear" w:color="auto" w:fill="FFFFFF"/>
        </w:rPr>
      </w:pPr>
    </w:p>
    <w:p>
      <w:pPr>
        <w:spacing w:line="600" w:lineRule="exact"/>
        <w:rPr>
          <w:rFonts w:ascii="Times New Roman" w:hAnsi="Times New Roman" w:eastAsia="方正黑体_GBK"/>
          <w:color w:val="548DD4"/>
          <w:kern w:val="0"/>
          <w:sz w:val="32"/>
          <w:szCs w:val="32"/>
          <w:shd w:val="clear" w:color="auto" w:fill="FFFFFF"/>
        </w:rPr>
      </w:pPr>
    </w:p>
    <w:p>
      <w:pPr>
        <w:spacing w:line="600" w:lineRule="exact"/>
        <w:rPr>
          <w:rFonts w:ascii="Times New Roman" w:hAnsi="Times New Roman" w:eastAsia="方正黑体_GBK"/>
          <w:color w:val="548DD4"/>
          <w:kern w:val="0"/>
          <w:sz w:val="32"/>
          <w:szCs w:val="32"/>
          <w:shd w:val="clear" w:color="auto" w:fill="FFFFFF"/>
        </w:rPr>
      </w:pPr>
    </w:p>
    <w:p>
      <w:pPr>
        <w:pStyle w:val="2"/>
        <w:rPr>
          <w:rFonts w:ascii="Times New Roman" w:hAnsi="Times New Roman" w:eastAsia="方正黑体_GBK" w:cs="Times New Roman"/>
          <w:color w:val="548DD4"/>
          <w:sz w:val="32"/>
          <w:szCs w:val="32"/>
          <w:shd w:val="clear" w:color="auto" w:fill="FFFFFF"/>
        </w:rPr>
      </w:pPr>
    </w:p>
    <w:p>
      <w:pPr>
        <w:spacing w:line="600" w:lineRule="exact"/>
        <w:rPr>
          <w:rFonts w:hint="eastAsia" w:ascii="Times New Roman" w:hAnsi="Times New Roman" w:eastAsia="方正黑体_GBK"/>
          <w:kern w:val="0"/>
          <w:sz w:val="32"/>
          <w:szCs w:val="32"/>
          <w:shd w:val="clear" w:color="auto" w:fill="FFFFFF"/>
        </w:rPr>
        <w:sectPr>
          <w:footerReference r:id="rId3" w:type="default"/>
          <w:pgSz w:w="11906" w:h="16838"/>
          <w:pgMar w:top="2098" w:right="1474" w:bottom="1984" w:left="1587" w:header="851" w:footer="992" w:gutter="0"/>
          <w:cols w:space="720" w:num="1"/>
          <w:docGrid w:type="lines" w:linePitch="312" w:charSpace="0"/>
        </w:sectPr>
      </w:pPr>
    </w:p>
    <w:p>
      <w:pPr>
        <w:spacing w:line="574" w:lineRule="exact"/>
        <w:rPr>
          <w:rFonts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附件4之</w:t>
      </w:r>
      <w:r>
        <w:rPr>
          <w:rFonts w:ascii="方正黑体_GBK" w:hAnsi="方正黑体_GBK" w:eastAsia="方正黑体_GBK" w:cs="方正黑体_GBK"/>
          <w:color w:val="000000"/>
          <w:kern w:val="0"/>
          <w:sz w:val="32"/>
          <w:szCs w:val="32"/>
          <w:shd w:val="clear" w:color="auto" w:fill="FFFFFF"/>
        </w:rPr>
        <w:t>附件1</w:t>
      </w:r>
    </w:p>
    <w:p>
      <w:pPr>
        <w:spacing w:line="600" w:lineRule="exact"/>
        <w:rPr>
          <w:rFonts w:ascii="Times New Roman" w:hAnsi="Times New Roman" w:eastAsia="方正黑体_GBK"/>
          <w:kern w:val="0"/>
          <w:sz w:val="32"/>
          <w:szCs w:val="32"/>
          <w:shd w:val="clear" w:color="auto" w:fill="FFFFFF"/>
        </w:rPr>
      </w:pPr>
    </w:p>
    <w:p>
      <w:pPr>
        <w:spacing w:line="600" w:lineRule="exact"/>
        <w:jc w:val="center"/>
        <w:rPr>
          <w:rFonts w:ascii="Times New Roman" w:hAnsi="Times New Roman" w:eastAsia="方正小标宋_GBK"/>
          <w:kern w:val="0"/>
          <w:sz w:val="44"/>
          <w:szCs w:val="44"/>
          <w:shd w:val="clear" w:color="auto" w:fill="FFFFFF"/>
        </w:rPr>
      </w:pPr>
      <w:r>
        <w:rPr>
          <w:rFonts w:hint="eastAsia" w:ascii="Times New Roman" w:hAnsi="Times New Roman" w:eastAsia="方正小标宋_GBK"/>
          <w:kern w:val="0"/>
          <w:sz w:val="44"/>
          <w:szCs w:val="44"/>
          <w:shd w:val="clear" w:color="auto" w:fill="FFFFFF"/>
        </w:rPr>
        <w:t>国有和集体土地</w:t>
      </w:r>
      <w:r>
        <w:rPr>
          <w:rFonts w:ascii="Times New Roman" w:hAnsi="Times New Roman" w:eastAsia="方正小标宋_GBK"/>
          <w:kern w:val="0"/>
          <w:sz w:val="44"/>
          <w:szCs w:val="44"/>
          <w:shd w:val="clear" w:color="auto" w:fill="FFFFFF"/>
        </w:rPr>
        <w:t>房屋征收中心</w:t>
      </w:r>
    </w:p>
    <w:p>
      <w:pPr>
        <w:spacing w:line="600" w:lineRule="exact"/>
        <w:jc w:val="center"/>
        <w:rPr>
          <w:rFonts w:ascii="Times New Roman" w:hAnsi="Times New Roman" w:eastAsia="方正小标宋_GBK"/>
          <w:kern w:val="0"/>
          <w:sz w:val="44"/>
          <w:szCs w:val="44"/>
          <w:shd w:val="clear" w:color="auto" w:fill="FFFFFF"/>
        </w:rPr>
      </w:pPr>
      <w:r>
        <w:rPr>
          <w:rFonts w:ascii="Times New Roman" w:hAnsi="Times New Roman" w:eastAsia="方正小标宋_GBK"/>
          <w:kern w:val="0"/>
          <w:sz w:val="44"/>
          <w:szCs w:val="44"/>
          <w:shd w:val="clear" w:color="auto" w:fill="FFFFFF"/>
        </w:rPr>
        <w:t>监督检查人员名单</w:t>
      </w:r>
    </w:p>
    <w:tbl>
      <w:tblPr>
        <w:tblStyle w:val="6"/>
        <w:tblpPr w:leftFromText="180" w:rightFromText="180" w:vertAnchor="text" w:horzAnchor="page" w:tblpX="1683" w:tblpY="375"/>
        <w:tblOverlap w:val="never"/>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466"/>
        <w:gridCol w:w="2466"/>
        <w:gridCol w:w="31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序号</w:t>
            </w:r>
          </w:p>
        </w:tc>
        <w:tc>
          <w:tcPr>
            <w:tcW w:w="146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姓名</w:t>
            </w:r>
          </w:p>
        </w:tc>
        <w:tc>
          <w:tcPr>
            <w:tcW w:w="246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执法证号</w:t>
            </w:r>
          </w:p>
        </w:tc>
        <w:tc>
          <w:tcPr>
            <w:tcW w:w="3110"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所在部门（科室）</w:t>
            </w:r>
          </w:p>
        </w:tc>
        <w:tc>
          <w:tcPr>
            <w:tcW w:w="92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1</w:t>
            </w:r>
          </w:p>
        </w:tc>
        <w:tc>
          <w:tcPr>
            <w:tcW w:w="146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何</w:t>
            </w:r>
            <w:r>
              <w:rPr>
                <w:rFonts w:hint="eastAsia" w:ascii="Times New Roman" w:hAnsi="Times New Roman" w:eastAsia="方正仿宋_GBK"/>
                <w:kern w:val="0"/>
                <w:sz w:val="32"/>
                <w:szCs w:val="32"/>
                <w:shd w:val="clear" w:color="auto" w:fill="FFFFFF"/>
              </w:rPr>
              <w:t xml:space="preserve"> </w:t>
            </w:r>
            <w:r>
              <w:rPr>
                <w:rFonts w:ascii="Times New Roman" w:hAnsi="Times New Roman" w:eastAsia="方正仿宋_GBK"/>
                <w:kern w:val="0"/>
                <w:sz w:val="32"/>
                <w:szCs w:val="32"/>
                <w:shd w:val="clear" w:color="auto" w:fill="FFFFFF"/>
              </w:rPr>
              <w:t>耀</w:t>
            </w:r>
          </w:p>
        </w:tc>
        <w:tc>
          <w:tcPr>
            <w:tcW w:w="246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hint="eastAsia" w:eastAsia="方正黑体_GBK"/>
                <w:kern w:val="0"/>
                <w:sz w:val="32"/>
                <w:szCs w:val="32"/>
                <w:shd w:val="clear" w:color="auto" w:fill="FFFFFF"/>
              </w:rPr>
              <w:t>22</w:t>
            </w:r>
            <w:r>
              <w:rPr>
                <w:rFonts w:ascii="Times New Roman" w:hAnsi="Times New Roman" w:eastAsia="方正黑体_GBK"/>
                <w:kern w:val="0"/>
                <w:sz w:val="32"/>
                <w:szCs w:val="32"/>
                <w:shd w:val="clear" w:color="auto" w:fill="FFFFFF"/>
              </w:rPr>
              <w:t>009</w:t>
            </w:r>
            <w:r>
              <w:rPr>
                <w:rFonts w:hint="eastAsia" w:eastAsia="方正黑体_GBK"/>
                <w:kern w:val="0"/>
                <w:sz w:val="32"/>
                <w:szCs w:val="32"/>
                <w:shd w:val="clear" w:color="auto" w:fill="FFFFFF"/>
              </w:rPr>
              <w:t>714029</w:t>
            </w:r>
          </w:p>
        </w:tc>
        <w:tc>
          <w:tcPr>
            <w:tcW w:w="3110"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320" w:firstLineChars="100"/>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土地房屋征收中心</w:t>
            </w:r>
          </w:p>
        </w:tc>
        <w:tc>
          <w:tcPr>
            <w:tcW w:w="926"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ascii="Times New Roman" w:hAnsi="Times New Roman" w:eastAsia="方正仿宋_GBK"/>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2</w:t>
            </w:r>
          </w:p>
        </w:tc>
        <w:tc>
          <w:tcPr>
            <w:tcW w:w="146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古中伟</w:t>
            </w:r>
          </w:p>
        </w:tc>
        <w:tc>
          <w:tcPr>
            <w:tcW w:w="246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hint="eastAsia" w:eastAsia="方正黑体_GBK"/>
                <w:kern w:val="0"/>
                <w:sz w:val="32"/>
                <w:szCs w:val="32"/>
                <w:shd w:val="clear" w:color="auto" w:fill="FFFFFF"/>
              </w:rPr>
              <w:t>22</w:t>
            </w:r>
            <w:r>
              <w:rPr>
                <w:rFonts w:ascii="Times New Roman" w:hAnsi="Times New Roman" w:eastAsia="方正黑体_GBK"/>
                <w:kern w:val="0"/>
                <w:sz w:val="32"/>
                <w:szCs w:val="32"/>
                <w:shd w:val="clear" w:color="auto" w:fill="FFFFFF"/>
              </w:rPr>
              <w:t>009</w:t>
            </w:r>
            <w:r>
              <w:rPr>
                <w:rFonts w:hint="eastAsia" w:eastAsia="方正黑体_GBK"/>
                <w:kern w:val="0"/>
                <w:sz w:val="32"/>
                <w:szCs w:val="32"/>
                <w:shd w:val="clear" w:color="auto" w:fill="FFFFFF"/>
              </w:rPr>
              <w:t>714030</w:t>
            </w:r>
          </w:p>
        </w:tc>
        <w:tc>
          <w:tcPr>
            <w:tcW w:w="3110"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320" w:firstLineChars="100"/>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土地房屋征收中心</w:t>
            </w:r>
          </w:p>
        </w:tc>
        <w:tc>
          <w:tcPr>
            <w:tcW w:w="926"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ascii="Times New Roman" w:hAnsi="Times New Roman" w:eastAsia="方正仿宋_GBK"/>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3</w:t>
            </w:r>
          </w:p>
        </w:tc>
        <w:tc>
          <w:tcPr>
            <w:tcW w:w="146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hint="eastAsia" w:ascii="Times New Roman" w:hAnsi="Times New Roman" w:eastAsia="方正仿宋_GBK"/>
                <w:kern w:val="0"/>
                <w:sz w:val="32"/>
                <w:szCs w:val="32"/>
                <w:shd w:val="clear" w:color="auto" w:fill="FFFFFF"/>
              </w:rPr>
              <w:t>周 勇</w:t>
            </w:r>
          </w:p>
        </w:tc>
        <w:tc>
          <w:tcPr>
            <w:tcW w:w="2466"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Times New Roman" w:hAnsi="Times New Roman" w:eastAsia="方正仿宋_GBK"/>
                <w:kern w:val="0"/>
                <w:sz w:val="32"/>
                <w:szCs w:val="32"/>
                <w:shd w:val="clear" w:color="auto" w:fill="FFFFFF"/>
              </w:rPr>
            </w:pPr>
            <w:r>
              <w:rPr>
                <w:rFonts w:hint="eastAsia" w:eastAsia="方正黑体_GBK"/>
                <w:kern w:val="0"/>
                <w:sz w:val="32"/>
                <w:szCs w:val="32"/>
                <w:shd w:val="clear" w:color="auto" w:fill="FFFFFF"/>
              </w:rPr>
              <w:t>22009714037</w:t>
            </w:r>
          </w:p>
        </w:tc>
        <w:tc>
          <w:tcPr>
            <w:tcW w:w="3110"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320" w:firstLineChars="100"/>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土地房屋征收中心</w:t>
            </w:r>
          </w:p>
        </w:tc>
        <w:tc>
          <w:tcPr>
            <w:tcW w:w="926"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ascii="Times New Roman" w:hAnsi="Times New Roman" w:eastAsia="方正仿宋_GBK"/>
                <w:kern w:val="0"/>
                <w:sz w:val="32"/>
                <w:szCs w:val="32"/>
                <w:shd w:val="clear" w:color="auto" w:fill="FFFFFF"/>
              </w:rPr>
            </w:pPr>
          </w:p>
        </w:tc>
      </w:tr>
    </w:tbl>
    <w:p>
      <w:pPr>
        <w:widowControl/>
        <w:adjustRightInd w:val="0"/>
        <w:snapToGrid w:val="0"/>
        <w:spacing w:line="600" w:lineRule="exact"/>
        <w:ind w:firstLine="640" w:firstLineChars="200"/>
        <w:jc w:val="left"/>
        <w:rPr>
          <w:rFonts w:ascii="Times New Roman" w:hAnsi="Times New Roman" w:eastAsia="方正仿宋_GBK"/>
          <w:color w:val="548DD4"/>
          <w:kern w:val="0"/>
          <w:sz w:val="32"/>
          <w:szCs w:val="32"/>
          <w:shd w:val="clear" w:color="auto" w:fill="FFFFFF"/>
        </w:rPr>
        <w:sectPr>
          <w:footerReference r:id="rId4" w:type="default"/>
          <w:pgSz w:w="11906" w:h="16838"/>
          <w:pgMar w:top="2098" w:right="1474" w:bottom="1984" w:left="1587" w:header="851" w:footer="992" w:gutter="0"/>
          <w:cols w:space="720" w:num="1"/>
          <w:docGrid w:type="lines" w:linePitch="312" w:charSpace="0"/>
        </w:sectPr>
      </w:pPr>
    </w:p>
    <w:p>
      <w:pPr>
        <w:spacing w:line="574" w:lineRule="exact"/>
        <w:rPr>
          <w:rFonts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附件4之</w:t>
      </w:r>
      <w:r>
        <w:rPr>
          <w:rFonts w:ascii="方正黑体_GBK" w:hAnsi="方正黑体_GBK" w:eastAsia="方正黑体_GBK" w:cs="方正黑体_GBK"/>
          <w:color w:val="000000"/>
          <w:kern w:val="0"/>
          <w:sz w:val="32"/>
          <w:szCs w:val="32"/>
          <w:shd w:val="clear" w:color="auto" w:fill="FFFFFF"/>
        </w:rPr>
        <w:t>附件2</w:t>
      </w:r>
    </w:p>
    <w:p>
      <w:pPr>
        <w:spacing w:line="580" w:lineRule="exact"/>
        <w:jc w:val="center"/>
        <w:rPr>
          <w:rFonts w:ascii="Times New Roman" w:hAnsi="Times New Roman" w:eastAsia="方正小标宋_GBK"/>
          <w:kern w:val="0"/>
          <w:sz w:val="44"/>
          <w:szCs w:val="44"/>
          <w:shd w:val="clear" w:color="auto" w:fill="FFFFFF"/>
          <w:lang w:bidi="ar"/>
        </w:rPr>
      </w:pPr>
    </w:p>
    <w:p>
      <w:pPr>
        <w:spacing w:line="580" w:lineRule="exact"/>
        <w:jc w:val="center"/>
        <w:rPr>
          <w:rFonts w:ascii="Times New Roman" w:hAnsi="Times New Roman" w:eastAsia="方正小标宋_GBK"/>
          <w:kern w:val="0"/>
          <w:sz w:val="44"/>
          <w:szCs w:val="44"/>
          <w:shd w:val="clear" w:color="auto" w:fill="FFFFFF"/>
        </w:rPr>
      </w:pPr>
      <w:r>
        <w:rPr>
          <w:rFonts w:hint="eastAsia" w:ascii="Times New Roman" w:hAnsi="Times New Roman" w:eastAsia="方正小标宋_GBK"/>
          <w:kern w:val="0"/>
          <w:sz w:val="44"/>
          <w:szCs w:val="44"/>
          <w:shd w:val="clear" w:color="auto" w:fill="FFFFFF"/>
          <w:lang w:bidi="ar"/>
        </w:rPr>
        <w:t>国有和集体土地</w:t>
      </w:r>
      <w:r>
        <w:rPr>
          <w:rFonts w:ascii="Times New Roman" w:hAnsi="Times New Roman" w:eastAsia="方正小标宋_GBK"/>
          <w:kern w:val="0"/>
          <w:sz w:val="44"/>
          <w:szCs w:val="44"/>
          <w:shd w:val="clear" w:color="auto" w:fill="FFFFFF"/>
          <w:lang w:bidi="ar"/>
        </w:rPr>
        <w:t>房屋征收中心监督检查对象名单</w:t>
      </w:r>
    </w:p>
    <w:p>
      <w:pPr>
        <w:widowControl/>
        <w:adjustRightInd w:val="0"/>
        <w:snapToGrid w:val="0"/>
        <w:spacing w:line="400" w:lineRule="exact"/>
        <w:jc w:val="left"/>
        <w:rPr>
          <w:rFonts w:ascii="Times New Roman" w:hAnsi="Times New Roman" w:eastAsia="方正仿宋_GBK"/>
          <w:kern w:val="0"/>
          <w:sz w:val="32"/>
          <w:szCs w:val="32"/>
          <w:shd w:val="clear" w:color="auto" w:fill="FFFFFF"/>
        </w:rPr>
      </w:pPr>
    </w:p>
    <w:tbl>
      <w:tblPr>
        <w:tblStyle w:val="6"/>
        <w:tblpPr w:leftFromText="180" w:rightFromText="180" w:vertAnchor="text" w:horzAnchor="page" w:tblpXSpec="center" w:tblpY="119"/>
        <w:tblOverlap w:val="never"/>
        <w:tblW w:w="13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745"/>
        <w:gridCol w:w="1545"/>
        <w:gridCol w:w="3786"/>
        <w:gridCol w:w="953"/>
        <w:gridCol w:w="1026"/>
        <w:gridCol w:w="1661"/>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bidi="ar"/>
              </w:rPr>
              <w:t>序号</w:t>
            </w:r>
          </w:p>
        </w:tc>
        <w:tc>
          <w:tcPr>
            <w:tcW w:w="274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bidi="ar"/>
              </w:rPr>
              <w:t>单位名称</w:t>
            </w:r>
          </w:p>
        </w:tc>
        <w:tc>
          <w:tcPr>
            <w:tcW w:w="154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bidi="ar"/>
              </w:rPr>
              <w:t>行业类别</w:t>
            </w:r>
          </w:p>
        </w:tc>
        <w:tc>
          <w:tcPr>
            <w:tcW w:w="378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bidi="ar"/>
              </w:rPr>
              <w:t>拆除项目</w:t>
            </w:r>
          </w:p>
        </w:tc>
        <w:tc>
          <w:tcPr>
            <w:tcW w:w="95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bidi="ar"/>
              </w:rPr>
              <w:t>规模</w:t>
            </w:r>
          </w:p>
        </w:tc>
        <w:tc>
          <w:tcPr>
            <w:tcW w:w="102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bidi="ar"/>
              </w:rPr>
              <w:t>风险等级</w:t>
            </w:r>
          </w:p>
        </w:tc>
        <w:tc>
          <w:tcPr>
            <w:tcW w:w="166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bidi="ar"/>
              </w:rPr>
              <w:t>是否重点</w:t>
            </w:r>
          </w:p>
        </w:tc>
        <w:tc>
          <w:tcPr>
            <w:tcW w:w="113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黑体_GBK"/>
                <w:kern w:val="0"/>
                <w:sz w:val="32"/>
                <w:szCs w:val="32"/>
                <w:shd w:val="clear" w:color="auto" w:fill="FFFFFF"/>
                <w:lang w:bidi="ar"/>
              </w:rPr>
              <w:t>1</w:t>
            </w:r>
          </w:p>
        </w:tc>
        <w:tc>
          <w:tcPr>
            <w:tcW w:w="274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重庆浩汇建筑工程有限公司</w:t>
            </w:r>
          </w:p>
        </w:tc>
        <w:tc>
          <w:tcPr>
            <w:tcW w:w="154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房屋拆除</w:t>
            </w:r>
          </w:p>
        </w:tc>
        <w:tc>
          <w:tcPr>
            <w:tcW w:w="378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万盛棚改（莲池片区）</w:t>
            </w:r>
          </w:p>
        </w:tc>
        <w:tc>
          <w:tcPr>
            <w:tcW w:w="95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p>
        </w:tc>
        <w:tc>
          <w:tcPr>
            <w:tcW w:w="102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黄色</w:t>
            </w:r>
          </w:p>
        </w:tc>
        <w:tc>
          <w:tcPr>
            <w:tcW w:w="166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一般</w:t>
            </w:r>
            <w:r>
              <w:rPr>
                <w:rFonts w:ascii="Times New Roman" w:hAnsi="Times New Roman" w:eastAsia="方正仿宋_GBK"/>
                <w:kern w:val="0"/>
                <w:sz w:val="32"/>
                <w:szCs w:val="32"/>
                <w:shd w:val="clear" w:color="auto" w:fill="FFFFFF"/>
                <w:lang w:bidi="ar"/>
              </w:rPr>
              <w:t>检查</w:t>
            </w:r>
          </w:p>
        </w:tc>
        <w:tc>
          <w:tcPr>
            <w:tcW w:w="113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黑体_GBK"/>
                <w:kern w:val="0"/>
                <w:sz w:val="32"/>
                <w:szCs w:val="32"/>
                <w:shd w:val="clear" w:color="auto" w:fill="FFFFFF"/>
                <w:lang w:bidi="ar"/>
              </w:rPr>
              <w:t>2</w:t>
            </w:r>
          </w:p>
        </w:tc>
        <w:tc>
          <w:tcPr>
            <w:tcW w:w="274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重庆鑫振工程有限公司</w:t>
            </w:r>
          </w:p>
        </w:tc>
        <w:tc>
          <w:tcPr>
            <w:tcW w:w="154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房屋拆除</w:t>
            </w:r>
          </w:p>
        </w:tc>
        <w:tc>
          <w:tcPr>
            <w:tcW w:w="378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万盛棚改（建设段150）</w:t>
            </w:r>
          </w:p>
        </w:tc>
        <w:tc>
          <w:tcPr>
            <w:tcW w:w="95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p>
        </w:tc>
        <w:tc>
          <w:tcPr>
            <w:tcW w:w="102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蓝色</w:t>
            </w:r>
          </w:p>
        </w:tc>
        <w:tc>
          <w:tcPr>
            <w:tcW w:w="166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一般</w:t>
            </w:r>
            <w:r>
              <w:rPr>
                <w:rFonts w:ascii="Times New Roman" w:hAnsi="Times New Roman" w:eastAsia="方正仿宋_GBK"/>
                <w:kern w:val="0"/>
                <w:sz w:val="32"/>
                <w:szCs w:val="32"/>
                <w:shd w:val="clear" w:color="auto" w:fill="FFFFFF"/>
                <w:lang w:bidi="ar"/>
              </w:rPr>
              <w:t>检查</w:t>
            </w:r>
          </w:p>
        </w:tc>
        <w:tc>
          <w:tcPr>
            <w:tcW w:w="113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黑体_GBK"/>
                <w:kern w:val="0"/>
                <w:sz w:val="32"/>
                <w:szCs w:val="32"/>
                <w:shd w:val="clear" w:color="auto" w:fill="FFFFFF"/>
                <w:lang w:bidi="ar"/>
              </w:rPr>
              <w:t>3</w:t>
            </w:r>
          </w:p>
        </w:tc>
        <w:tc>
          <w:tcPr>
            <w:tcW w:w="274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重庆开德建筑工程有限公司</w:t>
            </w:r>
          </w:p>
        </w:tc>
        <w:tc>
          <w:tcPr>
            <w:tcW w:w="154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房屋拆除</w:t>
            </w:r>
          </w:p>
        </w:tc>
        <w:tc>
          <w:tcPr>
            <w:tcW w:w="378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小坡脚片区道路建设项目</w:t>
            </w:r>
          </w:p>
        </w:tc>
        <w:tc>
          <w:tcPr>
            <w:tcW w:w="95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p>
        </w:tc>
        <w:tc>
          <w:tcPr>
            <w:tcW w:w="102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黄色</w:t>
            </w:r>
          </w:p>
        </w:tc>
        <w:tc>
          <w:tcPr>
            <w:tcW w:w="166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一般</w:t>
            </w:r>
            <w:r>
              <w:rPr>
                <w:rFonts w:ascii="Times New Roman" w:hAnsi="Times New Roman" w:eastAsia="方正仿宋_GBK"/>
                <w:kern w:val="0"/>
                <w:sz w:val="32"/>
                <w:szCs w:val="32"/>
                <w:shd w:val="clear" w:color="auto" w:fill="FFFFFF"/>
                <w:lang w:bidi="ar"/>
              </w:rPr>
              <w:t>检查</w:t>
            </w:r>
          </w:p>
        </w:tc>
        <w:tc>
          <w:tcPr>
            <w:tcW w:w="113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p>
        </w:tc>
      </w:tr>
    </w:tbl>
    <w:p>
      <w:pPr>
        <w:widowControl/>
        <w:adjustRightInd w:val="0"/>
        <w:snapToGrid w:val="0"/>
        <w:spacing w:line="580" w:lineRule="exact"/>
        <w:jc w:val="left"/>
        <w:rPr>
          <w:rFonts w:ascii="Times New Roman" w:hAnsi="Times New Roman" w:eastAsia="方正仿宋_GBK"/>
          <w:color w:val="548DD4"/>
          <w:kern w:val="0"/>
          <w:sz w:val="32"/>
          <w:szCs w:val="32"/>
          <w:shd w:val="clear" w:color="auto" w:fill="FFFFFF"/>
        </w:rPr>
      </w:pPr>
    </w:p>
    <w:p>
      <w:pPr>
        <w:widowControl/>
        <w:adjustRightInd w:val="0"/>
        <w:snapToGrid w:val="0"/>
        <w:spacing w:line="580" w:lineRule="exact"/>
        <w:jc w:val="left"/>
        <w:rPr>
          <w:rFonts w:ascii="Times New Roman" w:hAnsi="Times New Roman" w:eastAsia="方正仿宋_GBK"/>
          <w:color w:val="548DD4"/>
          <w:kern w:val="0"/>
          <w:sz w:val="32"/>
          <w:szCs w:val="32"/>
          <w:shd w:val="clear" w:color="auto" w:fill="FFFFFF"/>
        </w:rPr>
        <w:sectPr>
          <w:footerReference r:id="rId5" w:type="default"/>
          <w:pgSz w:w="16838" w:h="11906" w:orient="landscape"/>
          <w:pgMar w:top="2098" w:right="1474" w:bottom="1984" w:left="1587" w:header="851" w:footer="992" w:gutter="0"/>
          <w:cols w:space="720" w:num="1"/>
          <w:docGrid w:type="lines" w:linePitch="312" w:charSpace="0"/>
        </w:sectPr>
      </w:pPr>
    </w:p>
    <w:p>
      <w:pPr>
        <w:spacing w:line="574" w:lineRule="exact"/>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附件4之附件3</w:t>
      </w:r>
    </w:p>
    <w:p>
      <w:pPr>
        <w:spacing w:line="580" w:lineRule="exact"/>
        <w:jc w:val="center"/>
        <w:rPr>
          <w:rFonts w:ascii="Times New Roman" w:hAnsi="Times New Roman" w:eastAsia="方正小标宋_GBK"/>
          <w:kern w:val="0"/>
          <w:sz w:val="44"/>
          <w:szCs w:val="44"/>
          <w:shd w:val="clear" w:color="auto" w:fill="FFFFFF"/>
        </w:rPr>
      </w:pPr>
    </w:p>
    <w:p>
      <w:pPr>
        <w:spacing w:line="580" w:lineRule="exact"/>
        <w:jc w:val="center"/>
        <w:rPr>
          <w:rFonts w:ascii="Times New Roman" w:hAnsi="Times New Roman" w:eastAsia="方正小标宋_GBK"/>
          <w:kern w:val="0"/>
          <w:sz w:val="44"/>
          <w:szCs w:val="44"/>
          <w:shd w:val="clear" w:color="auto" w:fill="FFFFFF"/>
        </w:rPr>
      </w:pPr>
      <w:r>
        <w:rPr>
          <w:rFonts w:hint="eastAsia" w:ascii="Times New Roman" w:hAnsi="Times New Roman" w:eastAsia="方正小标宋_GBK"/>
          <w:kern w:val="0"/>
          <w:sz w:val="44"/>
          <w:szCs w:val="44"/>
          <w:shd w:val="clear" w:color="auto" w:fill="FFFFFF"/>
        </w:rPr>
        <w:t>国有和集体土地</w:t>
      </w:r>
      <w:r>
        <w:rPr>
          <w:rFonts w:ascii="Times New Roman" w:hAnsi="Times New Roman" w:eastAsia="方正小标宋_GBK"/>
          <w:kern w:val="0"/>
          <w:sz w:val="44"/>
          <w:szCs w:val="44"/>
          <w:shd w:val="clear" w:color="auto" w:fill="FFFFFF"/>
        </w:rPr>
        <w:t>土地房屋征收中心202</w:t>
      </w:r>
      <w:r>
        <w:rPr>
          <w:rFonts w:hint="eastAsia" w:ascii="Times New Roman" w:hAnsi="Times New Roman" w:eastAsia="方正小标宋_GBK"/>
          <w:kern w:val="0"/>
          <w:sz w:val="44"/>
          <w:szCs w:val="44"/>
          <w:shd w:val="clear" w:color="auto" w:fill="FFFFFF"/>
        </w:rPr>
        <w:t>3</w:t>
      </w:r>
      <w:r>
        <w:rPr>
          <w:rFonts w:ascii="Times New Roman" w:hAnsi="Times New Roman" w:eastAsia="方正小标宋_GBK"/>
          <w:kern w:val="0"/>
          <w:sz w:val="44"/>
          <w:szCs w:val="44"/>
          <w:shd w:val="clear" w:color="auto" w:fill="FFFFFF"/>
        </w:rPr>
        <w:t>年度 监督检查计划</w:t>
      </w:r>
    </w:p>
    <w:p>
      <w:pPr>
        <w:spacing w:line="580" w:lineRule="exact"/>
        <w:jc w:val="center"/>
        <w:rPr>
          <w:rFonts w:ascii="Times New Roman" w:hAnsi="Times New Roman" w:eastAsia="方正小标宋_GBK"/>
          <w:kern w:val="0"/>
          <w:sz w:val="44"/>
          <w:szCs w:val="44"/>
          <w:shd w:val="clear" w:color="auto" w:fill="FFFFFF"/>
        </w:rPr>
      </w:pPr>
    </w:p>
    <w:tbl>
      <w:tblPr>
        <w:tblStyle w:val="6"/>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817"/>
        <w:gridCol w:w="2502"/>
        <w:gridCol w:w="1677"/>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月度</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检查类别</w:t>
            </w:r>
          </w:p>
        </w:tc>
        <w:tc>
          <w:tcPr>
            <w:tcW w:w="2502"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单位名称</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监督科室</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9"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hint="eastAsia" w:ascii="Times New Roman" w:hAnsi="Times New Roman" w:eastAsia="方正仿宋_GBK"/>
                <w:kern w:val="0"/>
                <w:sz w:val="32"/>
                <w:szCs w:val="32"/>
                <w:shd w:val="clear" w:color="auto" w:fill="FFFFFF"/>
              </w:rPr>
              <w:t>1-12月</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hint="eastAsia" w:ascii="Times New Roman" w:hAnsi="Times New Roman" w:eastAsia="方正仿宋_GBK"/>
                <w:kern w:val="0"/>
                <w:sz w:val="32"/>
                <w:szCs w:val="32"/>
                <w:shd w:val="clear" w:color="auto" w:fill="FFFFFF"/>
                <w:lang w:bidi="ar"/>
              </w:rPr>
              <w:t>一般</w:t>
            </w:r>
            <w:r>
              <w:rPr>
                <w:rFonts w:ascii="Times New Roman" w:hAnsi="Times New Roman" w:eastAsia="方正仿宋_GBK"/>
                <w:kern w:val="0"/>
                <w:sz w:val="32"/>
                <w:szCs w:val="32"/>
                <w:shd w:val="clear" w:color="auto" w:fill="FFFFFF"/>
                <w:lang w:bidi="ar"/>
              </w:rPr>
              <w:t>检查</w:t>
            </w:r>
          </w:p>
        </w:tc>
        <w:tc>
          <w:tcPr>
            <w:tcW w:w="25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sz w:val="32"/>
                <w:szCs w:val="32"/>
              </w:rPr>
              <w:t>重庆浩汇建筑工程有限公司</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土地房屋征收中心</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检查人员随机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9" w:type="dxa"/>
            <w:vMerge w:val="continue"/>
            <w:tcBorders>
              <w:left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p>
        </w:tc>
        <w:tc>
          <w:tcPr>
            <w:tcW w:w="1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hint="eastAsia" w:ascii="Times New Roman" w:hAnsi="Times New Roman" w:eastAsia="方正仿宋_GBK"/>
                <w:kern w:val="0"/>
                <w:sz w:val="32"/>
                <w:szCs w:val="32"/>
                <w:shd w:val="clear" w:color="auto" w:fill="FFFFFF"/>
                <w:lang w:bidi="ar"/>
              </w:rPr>
              <w:t>一般</w:t>
            </w:r>
            <w:r>
              <w:rPr>
                <w:rFonts w:ascii="Times New Roman" w:hAnsi="Times New Roman" w:eastAsia="方正仿宋_GBK"/>
                <w:kern w:val="0"/>
                <w:sz w:val="32"/>
                <w:szCs w:val="32"/>
                <w:shd w:val="clear" w:color="auto" w:fill="FFFFFF"/>
                <w:lang w:bidi="ar"/>
              </w:rPr>
              <w:t>检查</w:t>
            </w:r>
          </w:p>
        </w:tc>
        <w:tc>
          <w:tcPr>
            <w:tcW w:w="25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sz w:val="32"/>
                <w:szCs w:val="32"/>
              </w:rPr>
              <w:t>重庆开德建筑工程有限公司</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土地房屋征收中心</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检查人员随机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9" w:type="dxa"/>
            <w:vMerge w:val="continue"/>
            <w:tcBorders>
              <w:left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p>
        </w:tc>
        <w:tc>
          <w:tcPr>
            <w:tcW w:w="1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一般检查</w:t>
            </w:r>
          </w:p>
        </w:tc>
        <w:tc>
          <w:tcPr>
            <w:tcW w:w="25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sz w:val="32"/>
                <w:szCs w:val="32"/>
              </w:rPr>
              <w:t>重庆鑫振工程有限公司</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土地房屋征收中心</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检查人员随机</w:t>
            </w:r>
          </w:p>
        </w:tc>
      </w:tr>
    </w:tbl>
    <w:p>
      <w:pPr>
        <w:spacing w:line="594" w:lineRule="exact"/>
        <w:ind w:firstLine="640" w:firstLineChars="200"/>
        <w:jc w:val="left"/>
        <w:rPr>
          <w:rFonts w:ascii="Times New Roman" w:hAnsi="Times New Roman" w:eastAsia="方正小标宋_GBK"/>
          <w:sz w:val="32"/>
          <w:szCs w:val="32"/>
        </w:rPr>
      </w:pPr>
      <w:r>
        <w:rPr>
          <w:rFonts w:hint="eastAsia" w:ascii="Times New Roman" w:hAnsi="Times New Roman" w:eastAsia="方正仿宋_GBK"/>
          <w:kern w:val="0"/>
          <w:sz w:val="32"/>
          <w:szCs w:val="32"/>
          <w:shd w:val="clear" w:color="auto" w:fill="FFFFFF"/>
        </w:rPr>
        <w:t>房屋拆除项目受多种因素影响，进场时间不能确定，具体工作安排在现场检查方案中明确。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-158750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2.5pt;height:144pt;width:144pt;mso-position-horizontal:outside;mso-position-horizontal-relative:margin;mso-wrap-style:none;z-index:251676672;mso-width-relative:page;mso-height-relative:page;" filled="f" stroked="f" coordsize="21600,21600" o:gfxdata="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5LwK9QAAAAI&#10;AQAADwAAAAAAAAABACAAAAAiAAAAZHJzL2Rvd25yZXYueG1sUEsBAhQAFAAAAAgAh07iQPFn5OWu&#10;AQAASwMAAA4AAAAAAAAAAQAgAAAAIwEAAGRycy9lMm9Eb2MueG1sUEsFBgAAAAAGAAYAWQEAAEMF&#10;A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1601470</wp:posOffset>
              </wp:positionH>
              <wp:positionV relativeFrom="paragraph">
                <wp:posOffset>-342265</wp:posOffset>
              </wp:positionV>
              <wp:extent cx="2363470" cy="5727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363470" cy="572770"/>
                      </a:xfrm>
                      <a:prstGeom prst="rect">
                        <a:avLst/>
                      </a:prstGeom>
                      <a:noFill/>
                      <a:ln>
                        <a:noFill/>
                      </a:ln>
                    </wps:spPr>
                    <wps:txbx>
                      <w:txbxContent>
                        <w:p>
                          <w:pPr>
                            <w:rPr>
                              <w:rFonts w:hint="eastAsia"/>
                            </w:rPr>
                          </w:pPr>
                        </w:p>
                      </w:txbxContent>
                    </wps:txbx>
                    <wps:bodyPr lIns="0" tIns="0" rIns="0" bIns="0" upright="0"/>
                  </wps:wsp>
                </a:graphicData>
              </a:graphic>
            </wp:anchor>
          </w:drawing>
        </mc:Choice>
        <mc:Fallback>
          <w:pict>
            <v:shape id="_x0000_s1026" o:spid="_x0000_s1026" o:spt="202" type="#_x0000_t202" style="position:absolute;left:0pt;margin-left:126.1pt;margin-top:-26.95pt;height:45.1pt;width:186.1pt;mso-position-horizontal-relative:margin;z-index:251672576;mso-width-relative:page;mso-height-relative:page;" filled="f" stroked="f" coordsize="21600,21600" o:gfxdata="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IA2KT2gAAAAoBAAAPAAAAAAAA&#10;AAEAIAAAACIAAABkcnMvZG93bnJldi54bWxQSwECFAAUAAAACACHTuJAJt29MZ4BAAAkAwAADgAA&#10;AAAAAAABACAAAAApAQAAZHJzL2Uyb0RvYy54bWxQSwUGAAAAAAYABgBZAQAAOQUAAAAA&#10;">
              <v:fill on="f" focussize="0,0"/>
              <v:stroke on="f"/>
              <v:imagedata o:title=""/>
              <o:lock v:ext="edit" aspectratio="f"/>
              <v:textbox inset="0mm,0mm,0mm,0mm">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-169545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3.35pt;height:144pt;width:144pt;mso-position-horizontal:outside;mso-position-horizontal-relative:margin;mso-wrap-style:none;z-index:251677696;mso-width-relative:page;mso-height-relative:page;" filled="f" stroked="f" coordsize="21600,21600" o:gfxdata="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YLsjvVAAAA&#10;CAEAAA8AAAAAAAAAAQAgAAAAIgAAAGRycy9kb3ducmV2LnhtbFBLAQIUABQAAAAIAIdO4kARqoqK&#10;rgEAAEsDAAAOAAAAAAAAAAEAIAAAACQBAABkcnMvZTJvRG9jLnhtbFBLBQYAAAAABgAGAFkBAABE&#10;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43A3"/>
    <w:multiLevelType w:val="singleLevel"/>
    <w:tmpl w:val="23D543A3"/>
    <w:lvl w:ilvl="0" w:tentative="0">
      <w:start w:val="1"/>
      <w:numFmt w:val="chineseCounting"/>
      <w:suff w:val="nothing"/>
      <w:lvlText w:val="（%1）"/>
      <w:lvlJc w:val="left"/>
      <w:pPr>
        <w:ind w:left="-1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C0F3F"/>
    <w:rsid w:val="13FC0F3F"/>
    <w:rsid w:val="38540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next w:val="4"/>
    <w:qFormat/>
    <w:uiPriority w:val="0"/>
    <w:pPr>
      <w:tabs>
        <w:tab w:val="center" w:pos="4153"/>
        <w:tab w:val="right" w:pos="8306"/>
      </w:tabs>
      <w:snapToGrid w:val="0"/>
      <w:jc w:val="left"/>
    </w:pPr>
    <w:rPr>
      <w:kern w:val="0"/>
      <w:sz w:val="18"/>
      <w:szCs w:val="18"/>
    </w:rPr>
  </w:style>
  <w:style w:type="paragraph" w:customStyle="1" w:styleId="4">
    <w:name w:val="索引 51"/>
    <w:basedOn w:val="1"/>
    <w:next w:val="1"/>
    <w:qFormat/>
    <w:uiPriority w:val="0"/>
    <w:pPr>
      <w:ind w:left="1680"/>
    </w:pPr>
    <w:rPr>
      <w:rFonts w:ascii="Times New Roman" w:hAnsi="Times New Roman" w:eastAsia="宋体" w:cs="Times New Roma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2023-06-02T08:19:00Z</dcterms:created>
  <dc:creator>NTKO</dc:creator>
  <cp:lastModifiedBy>NTKO</cp:lastModifiedBy>
  <dcterms:modified xsi:type="dcterms:W3CDTF">2023-06-02T08:44:00Z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