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方正黑体_GBK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7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2023年关闭矿山生态修复安全</w:t>
      </w:r>
    </w:p>
    <w:p>
      <w:pPr>
        <w:spacing w:line="57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生产监督检查计划</w:t>
      </w:r>
    </w:p>
    <w:bookmarkEnd w:id="0"/>
    <w:p>
      <w:pPr>
        <w:spacing w:line="574" w:lineRule="exact"/>
        <w:ind w:firstLine="720" w:firstLineChars="200"/>
        <w:rPr>
          <w:rFonts w:ascii="Times New Roman" w:hAnsi="Times New Roman" w:eastAsia="方正小标宋_GBK"/>
          <w:color w:val="000000"/>
          <w:sz w:val="36"/>
          <w:szCs w:val="36"/>
        </w:rPr>
      </w:pPr>
    </w:p>
    <w:p>
      <w:pPr>
        <w:numPr>
          <w:ilvl w:val="0"/>
          <w:numId w:val="1"/>
        </w:numPr>
        <w:spacing w:line="574" w:lineRule="exact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工作目标</w:t>
      </w:r>
    </w:p>
    <w:p>
      <w:pPr>
        <w:spacing w:line="57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落实安全生产管理要求，排查各类安全隐患，落实各项安全措施，确保全区关闭矿山生态修复工程不出现重大安全事故。</w:t>
      </w:r>
    </w:p>
    <w:p>
      <w:pPr>
        <w:spacing w:line="574" w:lineRule="exact"/>
        <w:ind w:firstLine="640" w:firstLineChars="200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二、主要任务</w:t>
      </w:r>
    </w:p>
    <w:p>
      <w:pPr>
        <w:spacing w:line="57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加强辖区关闭矿山生态修复工程领域安全生产宣传，强化隐患排查力度，督促企业严格落实主体责任，提高企业安全管理水平和能力。</w:t>
      </w:r>
    </w:p>
    <w:p>
      <w:pPr>
        <w:spacing w:line="574" w:lineRule="exact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三、监督检查人员及分工</w:t>
      </w:r>
    </w:p>
    <w:p>
      <w:pPr>
        <w:spacing w:line="57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从事</w:t>
      </w:r>
      <w:r>
        <w:rPr>
          <w:rFonts w:hint="eastAsia" w:eastAsia="方正仿宋_GBK"/>
          <w:sz w:val="32"/>
          <w:szCs w:val="32"/>
        </w:rPr>
        <w:t>关闭矿山生态修复施工</w:t>
      </w:r>
      <w:r>
        <w:rPr>
          <w:rFonts w:eastAsia="方正仿宋_GBK"/>
          <w:sz w:val="32"/>
          <w:szCs w:val="32"/>
        </w:rPr>
        <w:t>安全管理检查工作人员有</w:t>
      </w:r>
      <w:r>
        <w:rPr>
          <w:rFonts w:hint="eastAsia" w:eastAsia="方正仿宋_GBK"/>
          <w:color w:val="000000"/>
          <w:kern w:val="0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人，分别是：</w:t>
      </w:r>
      <w:r>
        <w:rPr>
          <w:rFonts w:hint="eastAsia" w:eastAsia="方正仿宋_GBK"/>
          <w:sz w:val="32"/>
          <w:szCs w:val="32"/>
        </w:rPr>
        <w:t>陈敏、幸贤智、周青龙</w:t>
      </w:r>
      <w:r>
        <w:rPr>
          <w:rFonts w:eastAsia="方正仿宋_GBK"/>
          <w:sz w:val="32"/>
          <w:szCs w:val="32"/>
        </w:rPr>
        <w:t>，监督检查人员的具体检查工作安排</w:t>
      </w:r>
      <w:r>
        <w:rPr>
          <w:rFonts w:hint="eastAsia" w:eastAsia="方正仿宋_GBK"/>
          <w:sz w:val="32"/>
          <w:szCs w:val="32"/>
        </w:rPr>
        <w:t>在现场检查方案中明确</w:t>
      </w:r>
      <w:r>
        <w:rPr>
          <w:rFonts w:eastAsia="方正仿宋_GBK"/>
          <w:sz w:val="32"/>
          <w:szCs w:val="32"/>
        </w:rPr>
        <w:t>。</w:t>
      </w:r>
    </w:p>
    <w:p>
      <w:pPr>
        <w:spacing w:line="574" w:lineRule="exact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四、监督检查工作日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2023年总天数为365天，其中法定节假日116天，工作日249天。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（一）总法定工作日：</w:t>
      </w:r>
      <w:r>
        <w:rPr>
          <w:rFonts w:ascii="Times New Roman" w:hAnsi="Times New Roman" w:eastAsia="方正仿宋_GBK"/>
          <w:kern w:val="0"/>
          <w:sz w:val="32"/>
          <w:szCs w:val="32"/>
        </w:rPr>
        <w:t>3人×249天=747天。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kern w:val="0"/>
          <w:sz w:val="32"/>
          <w:szCs w:val="32"/>
        </w:rPr>
        <w:t>监督检查工作日：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4天。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（三）其它执法工作日：</w:t>
      </w:r>
      <w:r>
        <w:rPr>
          <w:rFonts w:ascii="Times New Roman" w:hAnsi="Times New Roman" w:eastAsia="方正仿宋_GBK"/>
          <w:kern w:val="0"/>
          <w:sz w:val="32"/>
          <w:szCs w:val="32"/>
        </w:rPr>
        <w:t>309天，包括</w:t>
      </w:r>
      <w:r>
        <w:rPr>
          <w:rFonts w:ascii="Times New Roman" w:hAnsi="Times New Roman" w:eastAsia="方正仿宋_GBK"/>
          <w:sz w:val="32"/>
          <w:szCs w:val="32"/>
        </w:rPr>
        <w:t>实施行政许可共计28天；生产安全事故调查和处理共计10天；安全生产举报查处共计30天；参与管委会及有关部门、上级安全监管执法机关组织的安全生产专项行动共计35天；重大安全生产隐患排查报告的受理、登记建档、跟踪监控、督促整改共计40天；有关报告、制度、安全措施的备案共计40天；开展机动执法共计51天；听证、行政复议、行政应诉共计15天；上级安全监管机关安排的工作任务共计60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（四）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非行政执法工作日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：</w:t>
      </w:r>
      <w:r>
        <w:rPr>
          <w:rFonts w:ascii="Times New Roman" w:hAnsi="Times New Roman" w:eastAsia="方正仿宋_GBK"/>
          <w:sz w:val="32"/>
          <w:szCs w:val="32"/>
        </w:rPr>
        <w:t>434天，包括学习、培训、考核、会议、人事管理、日常工作事务共计375天；病假、事假共计15天；公务员法定年休假、探亲假、婚（丧）假共计35天；参加党群活动共计9天。</w:t>
      </w:r>
    </w:p>
    <w:p>
      <w:pPr>
        <w:spacing w:line="574" w:lineRule="exact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bCs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五、监督检查计划的主要内容</w:t>
      </w:r>
    </w:p>
    <w:p>
      <w:pPr>
        <w:spacing w:line="574" w:lineRule="exact"/>
        <w:ind w:firstLine="640" w:firstLineChars="200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（一）计划检查内容。</w:t>
      </w:r>
    </w:p>
    <w:p>
      <w:pPr>
        <w:spacing w:line="574" w:lineRule="exact"/>
        <w:ind w:firstLine="640" w:firstLineChars="200"/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方正仿宋_GBK"/>
          <w:snapToGrid w:val="0"/>
          <w:kern w:val="0"/>
          <w:sz w:val="32"/>
          <w:szCs w:val="32"/>
        </w:rPr>
        <w:t>对企业的施工安全生产制度</w:t>
      </w:r>
      <w:r>
        <w:rPr>
          <w:rFonts w:hint="eastAsia" w:eastAsia="方正仿宋_GBK"/>
          <w:snapToGrid w:val="0"/>
          <w:kern w:val="0"/>
          <w:sz w:val="32"/>
          <w:szCs w:val="32"/>
        </w:rPr>
        <w:t>建立情况进行检查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eastAsia="方正仿宋_GBK"/>
          <w:snapToGrid w:val="0"/>
          <w:color w:val="000000"/>
          <w:kern w:val="0"/>
          <w:sz w:val="32"/>
          <w:szCs w:val="32"/>
        </w:rPr>
        <w:t>进一步督促企业严格落实主体责任，落实安全管理资金，增强法制观念，提高安全认识和安全管理能力，建立安全生产的主体责任意识。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 xml:space="preserve">. </w:t>
      </w:r>
      <w:r>
        <w:rPr>
          <w:rFonts w:hint="eastAsia" w:eastAsia="方正仿宋_GBK"/>
          <w:snapToGrid w:val="0"/>
          <w:kern w:val="0"/>
          <w:sz w:val="32"/>
          <w:szCs w:val="32"/>
        </w:rPr>
        <w:t>对企业安全管理人员履职情况进行检查。督促企业对安全管理人员加强安全培训学习，不断增强安全工作责任感、使命感，不断提高自身素质，提升业务水平。</w:t>
      </w:r>
    </w:p>
    <w:p>
      <w:pPr>
        <w:spacing w:line="574" w:lineRule="exact"/>
        <w:ind w:firstLine="640" w:firstLineChars="200"/>
        <w:rPr>
          <w:rFonts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 xml:space="preserve">. </w:t>
      </w:r>
      <w:r>
        <w:rPr>
          <w:rFonts w:hint="eastAsia" w:eastAsia="方正仿宋_GBK"/>
          <w:snapToGrid w:val="0"/>
          <w:color w:val="000000"/>
          <w:kern w:val="0"/>
          <w:sz w:val="32"/>
          <w:szCs w:val="32"/>
        </w:rPr>
        <w:t>督促企业对可能存在滑坡、落石、机具操作、野外用火等情况的分</w:t>
      </w:r>
      <w:r>
        <w:rPr>
          <w:rFonts w:eastAsia="方正仿宋_GBK"/>
          <w:snapToGrid w:val="0"/>
          <w:kern w:val="0"/>
          <w:sz w:val="32"/>
          <w:szCs w:val="32"/>
        </w:rPr>
        <w:t>部分项工程</w:t>
      </w:r>
      <w:r>
        <w:rPr>
          <w:rFonts w:hint="eastAsia" w:eastAsia="方正仿宋_GBK"/>
          <w:snapToGrid w:val="0"/>
          <w:kern w:val="0"/>
          <w:sz w:val="32"/>
          <w:szCs w:val="32"/>
        </w:rPr>
        <w:t>施工进行安全隐患排查并及时落实整改</w:t>
      </w:r>
      <w:r>
        <w:rPr>
          <w:rFonts w:eastAsia="方正仿宋_GBK"/>
          <w:snapToGrid w:val="0"/>
          <w:kern w:val="0"/>
          <w:sz w:val="32"/>
          <w:szCs w:val="32"/>
        </w:rPr>
        <w:t>。</w:t>
      </w:r>
    </w:p>
    <w:p>
      <w:pPr>
        <w:pStyle w:val="2"/>
        <w:spacing w:line="574" w:lineRule="exact"/>
        <w:jc w:val="both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 xml:space="preserve">    </w:t>
      </w:r>
      <w:r>
        <w:rPr>
          <w:rFonts w:ascii="Times New Roman" w:hAnsi="Times New Roman" w:eastAsia="方正隶书_GBK" w:cs="Times New Roman"/>
          <w:snapToGrid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 xml:space="preserve">. </w:t>
      </w:r>
      <w:r>
        <w:rPr>
          <w:rFonts w:hint="eastAsia" w:eastAsia="方正仿宋_GBK"/>
          <w:snapToGrid w:val="0"/>
          <w:sz w:val="32"/>
          <w:szCs w:val="32"/>
        </w:rPr>
        <w:t>对施工人员资质进行审查，检查是否具有施工资质，是否按照安全生产要求进行施工。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 xml:space="preserve">. </w:t>
      </w:r>
      <w:r>
        <w:rPr>
          <w:rFonts w:eastAsia="方正仿宋_GBK"/>
          <w:color w:val="000000"/>
          <w:sz w:val="32"/>
          <w:szCs w:val="32"/>
        </w:rPr>
        <w:t>检查</w:t>
      </w:r>
      <w:r>
        <w:rPr>
          <w:rFonts w:hint="eastAsia" w:eastAsia="方正仿宋_GBK"/>
          <w:color w:val="000000"/>
          <w:sz w:val="32"/>
          <w:szCs w:val="32"/>
        </w:rPr>
        <w:t>项目实施现场</w:t>
      </w:r>
      <w:r>
        <w:rPr>
          <w:rFonts w:eastAsia="方正仿宋_GBK"/>
          <w:color w:val="000000"/>
          <w:sz w:val="32"/>
          <w:szCs w:val="32"/>
        </w:rPr>
        <w:t>，</w:t>
      </w:r>
      <w:r>
        <w:rPr>
          <w:rFonts w:hint="eastAsia" w:eastAsia="方正仿宋_GBK"/>
          <w:color w:val="000000"/>
          <w:sz w:val="32"/>
          <w:szCs w:val="32"/>
        </w:rPr>
        <w:t>查看</w:t>
      </w:r>
      <w:r>
        <w:rPr>
          <w:rFonts w:eastAsia="方正仿宋_GBK"/>
          <w:color w:val="000000"/>
          <w:sz w:val="32"/>
          <w:szCs w:val="32"/>
        </w:rPr>
        <w:t>是否设置醒目的警示标志，是否配备</w:t>
      </w:r>
      <w:r>
        <w:rPr>
          <w:rFonts w:hint="eastAsia" w:eastAsia="方正仿宋_GBK"/>
          <w:color w:val="000000"/>
          <w:sz w:val="32"/>
          <w:szCs w:val="32"/>
        </w:rPr>
        <w:t>安全</w:t>
      </w:r>
      <w:r>
        <w:rPr>
          <w:rFonts w:eastAsia="方正仿宋_GBK"/>
          <w:color w:val="000000"/>
          <w:sz w:val="32"/>
          <w:szCs w:val="32"/>
        </w:rPr>
        <w:t>器材，施工人员是否正确佩戴安全</w:t>
      </w:r>
      <w:r>
        <w:rPr>
          <w:rFonts w:hint="eastAsia" w:eastAsia="方正仿宋_GBK"/>
          <w:color w:val="000000"/>
          <w:sz w:val="32"/>
          <w:szCs w:val="32"/>
        </w:rPr>
        <w:t>设备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（二）检查方式。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依据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项目具体开展情况，拟开展计划</w:t>
      </w:r>
      <w:r>
        <w:rPr>
          <w:rFonts w:ascii="Times New Roman" w:hAnsi="Times New Roman" w:eastAsia="方正仿宋_GBK"/>
          <w:color w:val="000000"/>
          <w:sz w:val="32"/>
          <w:szCs w:val="32"/>
        </w:rPr>
        <w:t>检查和随机抽查相结合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的检查方式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。对建设施工单位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全年</w:t>
      </w:r>
      <w:r>
        <w:rPr>
          <w:rFonts w:ascii="Times New Roman" w:hAnsi="Times New Roman" w:eastAsia="方正仿宋_GBK"/>
          <w:color w:val="000000"/>
          <w:sz w:val="32"/>
          <w:szCs w:val="32"/>
        </w:rPr>
        <w:t>至少检查一次，具体监督检查对象、监督检查内容在现场检查方案中明确。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</w:p>
    <w:p>
      <w:pPr>
        <w:spacing w:line="574" w:lineRule="exact"/>
        <w:rPr>
          <w:rFonts w:ascii="Times New Roman" w:hAnsi="Times New Roman" w:eastAsia="方正仿宋_GBK"/>
          <w:bCs/>
          <w:color w:val="000000"/>
          <w:w w:val="98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　附件2之附件：1．</w:t>
      </w:r>
      <w:r>
        <w:rPr>
          <w:rFonts w:ascii="Times New Roman" w:hAnsi="Times New Roman" w:eastAsia="方正仿宋_GBK"/>
          <w:bCs/>
          <w:color w:val="000000"/>
          <w:w w:val="98"/>
          <w:kern w:val="0"/>
          <w:sz w:val="32"/>
          <w:szCs w:val="32"/>
        </w:rPr>
        <w:t>耕地保护和生态修复科监督检查人员名单　　　</w:t>
      </w:r>
    </w:p>
    <w:p>
      <w:pPr>
        <w:spacing w:line="574" w:lineRule="exact"/>
        <w:ind w:firstLine="864" w:firstLineChars="270"/>
        <w:rPr>
          <w:rFonts w:ascii="Times New Roman" w:hAnsi="Times New Roman" w:eastAsia="方正仿宋_GBK"/>
          <w:color w:val="000000"/>
          <w:w w:val="99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　　　　　　2．</w:t>
      </w:r>
      <w:r>
        <w:rPr>
          <w:rFonts w:ascii="Times New Roman" w:hAnsi="Times New Roman" w:eastAsia="方正仿宋_GBK"/>
          <w:bCs/>
          <w:color w:val="000000"/>
          <w:w w:val="99"/>
          <w:kern w:val="0"/>
          <w:sz w:val="32"/>
          <w:szCs w:val="32"/>
        </w:rPr>
        <w:t>耕地保护和生态修复科</w:t>
      </w:r>
      <w:r>
        <w:rPr>
          <w:rFonts w:ascii="Times New Roman" w:hAnsi="Times New Roman" w:eastAsia="方正仿宋_GBK"/>
          <w:color w:val="000000"/>
          <w:w w:val="99"/>
          <w:kern w:val="0"/>
          <w:sz w:val="32"/>
          <w:szCs w:val="32"/>
          <w:shd w:val="clear" w:color="auto" w:fill="FFFFFF"/>
        </w:rPr>
        <w:t>监督检查对象名单</w:t>
      </w:r>
    </w:p>
    <w:p>
      <w:pPr>
        <w:adjustRightInd w:val="0"/>
        <w:snapToGrid w:val="0"/>
        <w:spacing w:line="574" w:lineRule="exact"/>
        <w:ind w:left="1762" w:leftChars="839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　　　3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．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耕地保护和生态修复科2023年监督检查</w:t>
      </w:r>
    </w:p>
    <w:p>
      <w:pPr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　　　　　　　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计划</w:t>
      </w:r>
    </w:p>
    <w:p>
      <w:pPr>
        <w:widowControl/>
        <w:adjustRightInd w:val="0"/>
        <w:snapToGrid w:val="0"/>
        <w:spacing w:line="574" w:lineRule="exact"/>
        <w:ind w:firstLine="640" w:firstLineChars="200"/>
        <w:rPr>
          <w:rFonts w:ascii="Times New Roman" w:hAnsi="Times New Roman" w:eastAsia="方正黑体_GBK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spacing w:line="600" w:lineRule="exact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</w:p>
    <w:p>
      <w:pPr>
        <w:pStyle w:val="2"/>
        <w:spacing w:line="600" w:lineRule="exact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黑体_GBK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</w:pPr>
    </w:p>
    <w:p/>
    <w:p>
      <w:pPr>
        <w:pStyle w:val="2"/>
        <w:spacing w:line="600" w:lineRule="exact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</w:p>
    <w:p>
      <w:pPr>
        <w:pStyle w:val="2"/>
        <w:spacing w:line="600" w:lineRule="exact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2之附件1</w:t>
      </w:r>
    </w:p>
    <w:p>
      <w:pPr>
        <w:spacing w:line="580" w:lineRule="exact"/>
        <w:rPr>
          <w:rFonts w:ascii="Times New Roman" w:hAnsi="Times New Roman" w:eastAsia="方正黑体_GBK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</w:rPr>
        <w:t>耕地保护和生态修复科监督检查人员名单</w:t>
      </w:r>
    </w:p>
    <w:tbl>
      <w:tblPr>
        <w:tblStyle w:val="5"/>
        <w:tblpPr w:leftFromText="180" w:rightFromText="180" w:vertAnchor="text" w:horzAnchor="page" w:tblpXSpec="center" w:tblpY="353"/>
        <w:tblOverlap w:val="never"/>
        <w:tblW w:w="8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26"/>
        <w:gridCol w:w="2121"/>
        <w:gridCol w:w="3504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执法证号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所在部门（科室）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陈 敏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22009714097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耕地保护和生态修复科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幸贤智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FF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耕地保护和生态修复科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周青龙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22009714034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耕地保护和生态修复科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方正黑体_GBK"/>
          <w:color w:val="000000"/>
          <w:kern w:val="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cols w:space="720" w:num="1"/>
          <w:docGrid w:type="lines" w:linePitch="312" w:charSpace="0"/>
        </w:sect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之附件2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  <w:t>耕地保护和生态修复科监督检查对象名单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5"/>
        <w:tblW w:w="13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779"/>
        <w:gridCol w:w="1620"/>
        <w:gridCol w:w="3831"/>
        <w:gridCol w:w="925"/>
        <w:gridCol w:w="894"/>
        <w:gridCol w:w="158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行业类别</w:t>
            </w:r>
          </w:p>
        </w:tc>
        <w:tc>
          <w:tcPr>
            <w:tcW w:w="3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单位地址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规模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风险等级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是否重点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四川瑞蝮建设工程有限公司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生态修复</w:t>
            </w:r>
          </w:p>
        </w:tc>
        <w:tc>
          <w:tcPr>
            <w:tcW w:w="3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关坝镇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兴隆村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蓝色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一般检查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2098" w:right="1474" w:bottom="1984" w:left="1587" w:header="851" w:footer="992" w:gutter="0"/>
          <w:cols w:space="720" w:num="1"/>
          <w:docGrid w:type="linesAndChars" w:linePitch="312" w:charSpace="0"/>
        </w:sectPr>
      </w:pPr>
    </w:p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附件2之附件3</w:t>
      </w:r>
    </w:p>
    <w:p>
      <w:pPr>
        <w:spacing w:line="600" w:lineRule="exact"/>
        <w:ind w:firstLine="836" w:firstLineChars="200"/>
        <w:rPr>
          <w:rFonts w:ascii="Times New Roman" w:hAnsi="Times New Roman" w:eastAsia="方正小标宋_GBK"/>
          <w:bCs/>
          <w:color w:val="000000"/>
          <w:w w:val="95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color w:val="000000"/>
          <w:w w:val="95"/>
          <w:kern w:val="0"/>
          <w:sz w:val="44"/>
          <w:szCs w:val="44"/>
        </w:rPr>
        <w:t xml:space="preserve">                </w:t>
      </w:r>
    </w:p>
    <w:p>
      <w:pPr>
        <w:spacing w:line="600" w:lineRule="exact"/>
        <w:ind w:firstLine="418" w:firstLineChars="100"/>
        <w:rPr>
          <w:rFonts w:ascii="Times New Roman" w:hAnsi="Times New Roman" w:eastAsia="方正小标宋_GBK"/>
          <w:color w:val="000000"/>
          <w:w w:val="95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bCs/>
          <w:color w:val="000000"/>
          <w:w w:val="95"/>
          <w:kern w:val="0"/>
          <w:sz w:val="44"/>
          <w:szCs w:val="44"/>
        </w:rPr>
        <w:t>耕地保护和生态修复科202</w:t>
      </w:r>
      <w:r>
        <w:rPr>
          <w:rFonts w:hint="eastAsia" w:ascii="Times New Roman" w:hAnsi="Times New Roman" w:eastAsia="方正小标宋_GBK"/>
          <w:bCs/>
          <w:color w:val="000000"/>
          <w:w w:val="95"/>
          <w:kern w:val="0"/>
          <w:sz w:val="44"/>
          <w:szCs w:val="44"/>
        </w:rPr>
        <w:t>3</w:t>
      </w:r>
      <w:r>
        <w:rPr>
          <w:rFonts w:ascii="Times New Roman" w:hAnsi="Times New Roman" w:eastAsia="方正小标宋_GBK"/>
          <w:bCs/>
          <w:color w:val="000000"/>
          <w:w w:val="95"/>
          <w:kern w:val="0"/>
          <w:sz w:val="44"/>
          <w:szCs w:val="44"/>
        </w:rPr>
        <w:t>年监督检查计划</w:t>
      </w:r>
    </w:p>
    <w:p>
      <w:pPr>
        <w:spacing w:line="600" w:lineRule="exact"/>
        <w:ind w:firstLine="836" w:firstLineChars="200"/>
        <w:jc w:val="center"/>
        <w:rPr>
          <w:rFonts w:ascii="Times New Roman" w:hAnsi="Times New Roman" w:eastAsia="方正小标宋_GBK"/>
          <w:bCs/>
          <w:color w:val="000000"/>
          <w:w w:val="95"/>
          <w:kern w:val="0"/>
          <w:sz w:val="44"/>
          <w:szCs w:val="44"/>
        </w:rPr>
      </w:pPr>
    </w:p>
    <w:tbl>
      <w:tblPr>
        <w:tblStyle w:val="5"/>
        <w:tblW w:w="8984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79"/>
        <w:gridCol w:w="2883"/>
        <w:gridCol w:w="1967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月度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检查类别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监督科室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1-12月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一般检查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四川瑞蝮建设工程有限公司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耕地保护和生态修复科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检查人员随机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随机抽查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待确定新增项目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耕地保护和生态修复科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检查人员随机</w:t>
            </w:r>
          </w:p>
        </w:tc>
      </w:tr>
    </w:tbl>
    <w:p>
      <w:pPr>
        <w:spacing w:line="574" w:lineRule="exact"/>
        <w:ind w:firstLine="640" w:firstLineChars="200"/>
        <w:rPr>
          <w:rFonts w:hint="eastAsia"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矿山生态修复如有新增项目，确保在项目施工期间至少开展一次监督检查，具体检查对象、检查内容在现场检查方案中明确。监管对象以实际开工建设项目为准。</w:t>
      </w:r>
    </w:p>
    <w:p>
      <w:pPr>
        <w:ind w:firstLine="640" w:firstLineChars="200"/>
        <w:jc w:val="center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64770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.1pt;height:144pt;width:144pt;mso-position-horizontal:outside;mso-position-horizontal-relative:margin;mso-wrap-style:none;z-index:251692032;mso-width-relative:page;mso-height-relative:page;" filled="f" stroked="f" coordsize="21600,21600" o:gfxdata="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MHFazSAAAABwEA&#10;AA8AAAAAAAAAAQAgAAAAIgAAAGRycy9kb3ducmV2LnhtbFBLAQIUABQAAAAIAIdO4kDxZ+TlrgEA&#10;AEs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CBB4"/>
    <w:multiLevelType w:val="singleLevel"/>
    <w:tmpl w:val="7304CBB4"/>
    <w:lvl w:ilvl="0" w:tentative="0">
      <w:start w:val="1"/>
      <w:numFmt w:val="chineseCounting"/>
      <w:suff w:val="nothing"/>
      <w:lvlText w:val="%1、"/>
      <w:lvlJc w:val="left"/>
      <w:pPr>
        <w:ind w:left="64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D148F"/>
    <w:rsid w:val="33714D35"/>
    <w:rsid w:val="700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2023-06-02T08:18:00Z</dcterms:created>
  <dc:creator>NTKO</dc:creator>
  <cp:lastModifiedBy>NTKO</cp:lastModifiedBy>
  <dcterms:modified xsi:type="dcterms:W3CDTF">2023-06-02T08:43:05Z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